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493D1">
      <w:pPr>
        <w:tabs>
          <w:tab w:val="left" w:pos="8600"/>
        </w:tabs>
        <w:autoSpaceDE w:val="0"/>
        <w:autoSpaceDN w:val="0"/>
        <w:adjustRightInd w:val="0"/>
        <w:spacing w:line="372" w:lineRule="exact"/>
        <w:ind w:left="105" w:leftChars="50" w:firstLine="150" w:firstLineChars="50"/>
        <w:jc w:val="left"/>
        <w:rPr>
          <w:rFonts w:hint="eastAsia" w:ascii="宋体" w:hAnsi="宋体" w:eastAsia="宋体" w:cs="宋体"/>
          <w:color w:val="auto"/>
          <w:kern w:val="0"/>
          <w:position w:val="-3"/>
          <w:sz w:val="30"/>
          <w:szCs w:val="30"/>
          <w:highlight w:val="none"/>
        </w:rPr>
      </w:pPr>
    </w:p>
    <w:p w14:paraId="05D39EE3">
      <w:pPr>
        <w:autoSpaceDE w:val="0"/>
        <w:autoSpaceDN w:val="0"/>
        <w:adjustRightInd w:val="0"/>
        <w:spacing w:before="13" w:line="260" w:lineRule="exact"/>
        <w:jc w:val="left"/>
        <w:rPr>
          <w:rFonts w:hint="eastAsia" w:ascii="宋体" w:hAnsi="宋体" w:eastAsia="宋体" w:cs="宋体"/>
          <w:color w:val="auto"/>
          <w:kern w:val="0"/>
          <w:sz w:val="28"/>
          <w:szCs w:val="28"/>
          <w:highlight w:val="none"/>
        </w:rPr>
      </w:pPr>
    </w:p>
    <w:p w14:paraId="10EDE886">
      <w:pPr>
        <w:autoSpaceDE w:val="0"/>
        <w:autoSpaceDN w:val="0"/>
        <w:adjustRightInd w:val="0"/>
        <w:spacing w:line="360" w:lineRule="auto"/>
        <w:ind w:right="-85"/>
        <w:jc w:val="center"/>
        <w:rPr>
          <w:rFonts w:hint="eastAsia" w:ascii="宋体" w:hAnsi="宋体" w:eastAsia="宋体" w:cs="宋体"/>
          <w:color w:val="auto"/>
          <w:kern w:val="0"/>
          <w:position w:val="-5"/>
          <w:sz w:val="48"/>
          <w:szCs w:val="48"/>
          <w:highlight w:val="none"/>
        </w:rPr>
      </w:pPr>
      <w:r>
        <w:rPr>
          <w:rFonts w:hint="eastAsia" w:ascii="宋体" w:hAnsi="宋体" w:eastAsia="宋体" w:cs="宋体"/>
          <w:b/>
          <w:color w:val="auto"/>
          <w:sz w:val="44"/>
          <w:szCs w:val="44"/>
          <w:highlight w:val="none"/>
          <w:lang w:eastAsia="zh-CN"/>
        </w:rPr>
        <w:t>番禺区桥山村村镇工业集聚区更新改造试点项目（一期、二期、三期）勘察设计施工总承包及运营（EPCO）</w:t>
      </w:r>
      <w:r>
        <w:rPr>
          <w:rFonts w:hint="eastAsia" w:ascii="宋体" w:hAnsi="宋体" w:eastAsia="宋体" w:cs="宋体"/>
          <w:b/>
          <w:bCs/>
          <w:color w:val="auto"/>
          <w:sz w:val="48"/>
          <w:szCs w:val="48"/>
          <w:highlight w:val="none"/>
        </w:rPr>
        <w:t>合同</w:t>
      </w:r>
    </w:p>
    <w:p w14:paraId="3F82E071">
      <w:pPr>
        <w:autoSpaceDE w:val="0"/>
        <w:autoSpaceDN w:val="0"/>
        <w:adjustRightInd w:val="0"/>
        <w:spacing w:before="4" w:line="130" w:lineRule="exact"/>
        <w:jc w:val="left"/>
        <w:rPr>
          <w:rFonts w:hint="eastAsia" w:ascii="宋体" w:hAnsi="宋体" w:eastAsia="宋体" w:cs="宋体"/>
          <w:color w:val="auto"/>
          <w:kern w:val="0"/>
          <w:sz w:val="28"/>
          <w:szCs w:val="28"/>
          <w:highlight w:val="none"/>
        </w:rPr>
      </w:pPr>
    </w:p>
    <w:p w14:paraId="5A81386B">
      <w:pPr>
        <w:autoSpaceDE w:val="0"/>
        <w:autoSpaceDN w:val="0"/>
        <w:adjustRightInd w:val="0"/>
        <w:spacing w:line="200" w:lineRule="exact"/>
        <w:jc w:val="left"/>
        <w:rPr>
          <w:rFonts w:hint="eastAsia" w:ascii="宋体" w:hAnsi="宋体" w:eastAsia="宋体" w:cs="宋体"/>
          <w:color w:val="auto"/>
          <w:kern w:val="0"/>
          <w:sz w:val="28"/>
          <w:szCs w:val="28"/>
          <w:highlight w:val="none"/>
        </w:rPr>
      </w:pPr>
    </w:p>
    <w:p w14:paraId="17A35D14">
      <w:pPr>
        <w:autoSpaceDE w:val="0"/>
        <w:autoSpaceDN w:val="0"/>
        <w:adjustRightInd w:val="0"/>
        <w:spacing w:line="200" w:lineRule="exact"/>
        <w:jc w:val="left"/>
        <w:rPr>
          <w:rFonts w:hint="eastAsia" w:ascii="宋体" w:hAnsi="宋体" w:eastAsia="宋体" w:cs="宋体"/>
          <w:color w:val="auto"/>
          <w:kern w:val="0"/>
          <w:sz w:val="28"/>
          <w:szCs w:val="28"/>
          <w:highlight w:val="none"/>
        </w:rPr>
      </w:pPr>
    </w:p>
    <w:p w14:paraId="57EEC0CB">
      <w:pPr>
        <w:autoSpaceDE w:val="0"/>
        <w:autoSpaceDN w:val="0"/>
        <w:adjustRightInd w:val="0"/>
        <w:spacing w:line="200" w:lineRule="exact"/>
        <w:jc w:val="left"/>
        <w:rPr>
          <w:rFonts w:hint="eastAsia" w:ascii="宋体" w:hAnsi="宋体" w:eastAsia="宋体" w:cs="宋体"/>
          <w:color w:val="auto"/>
          <w:kern w:val="0"/>
          <w:sz w:val="28"/>
          <w:szCs w:val="28"/>
          <w:highlight w:val="none"/>
        </w:rPr>
      </w:pPr>
    </w:p>
    <w:p w14:paraId="5C612FBA">
      <w:pPr>
        <w:autoSpaceDE w:val="0"/>
        <w:autoSpaceDN w:val="0"/>
        <w:adjustRightInd w:val="0"/>
        <w:spacing w:line="200" w:lineRule="exact"/>
        <w:jc w:val="left"/>
        <w:rPr>
          <w:rFonts w:hint="eastAsia" w:ascii="宋体" w:hAnsi="宋体" w:eastAsia="宋体" w:cs="宋体"/>
          <w:color w:val="auto"/>
          <w:kern w:val="0"/>
          <w:sz w:val="28"/>
          <w:szCs w:val="28"/>
          <w:highlight w:val="none"/>
        </w:rPr>
      </w:pPr>
    </w:p>
    <w:p w14:paraId="7C500E5A">
      <w:pPr>
        <w:autoSpaceDE w:val="0"/>
        <w:autoSpaceDN w:val="0"/>
        <w:adjustRightInd w:val="0"/>
        <w:spacing w:line="200" w:lineRule="exact"/>
        <w:jc w:val="left"/>
        <w:rPr>
          <w:rFonts w:hint="eastAsia" w:ascii="宋体" w:hAnsi="宋体" w:eastAsia="宋体" w:cs="宋体"/>
          <w:color w:val="auto"/>
          <w:kern w:val="0"/>
          <w:sz w:val="28"/>
          <w:szCs w:val="28"/>
          <w:highlight w:val="none"/>
        </w:rPr>
      </w:pPr>
    </w:p>
    <w:p w14:paraId="33F29EC5">
      <w:pPr>
        <w:autoSpaceDE w:val="0"/>
        <w:autoSpaceDN w:val="0"/>
        <w:adjustRightInd w:val="0"/>
        <w:spacing w:line="200" w:lineRule="exact"/>
        <w:jc w:val="left"/>
        <w:rPr>
          <w:rFonts w:hint="eastAsia" w:ascii="宋体" w:hAnsi="宋体" w:eastAsia="宋体" w:cs="宋体"/>
          <w:color w:val="auto"/>
          <w:kern w:val="0"/>
          <w:sz w:val="28"/>
          <w:szCs w:val="28"/>
          <w:highlight w:val="none"/>
        </w:rPr>
      </w:pPr>
    </w:p>
    <w:p w14:paraId="17A7BA2B">
      <w:pPr>
        <w:autoSpaceDE w:val="0"/>
        <w:autoSpaceDN w:val="0"/>
        <w:adjustRightInd w:val="0"/>
        <w:spacing w:line="200" w:lineRule="exact"/>
        <w:jc w:val="left"/>
        <w:rPr>
          <w:rFonts w:hint="eastAsia" w:ascii="宋体" w:hAnsi="宋体" w:eastAsia="宋体" w:cs="宋体"/>
          <w:color w:val="auto"/>
          <w:kern w:val="0"/>
          <w:sz w:val="28"/>
          <w:szCs w:val="28"/>
          <w:highlight w:val="none"/>
        </w:rPr>
      </w:pPr>
    </w:p>
    <w:p w14:paraId="642363BF">
      <w:pPr>
        <w:pStyle w:val="120"/>
        <w:ind w:left="2936" w:leftChars="665" w:hanging="1540" w:hangingChars="550"/>
        <w:rPr>
          <w:rFonts w:hint="eastAsia" w:eastAsia="宋体"/>
          <w:bCs/>
          <w:color w:val="auto"/>
          <w:sz w:val="28"/>
          <w:szCs w:val="28"/>
          <w:highlight w:val="none"/>
          <w:u w:val="single"/>
          <w:lang w:eastAsia="zh-CN"/>
        </w:rPr>
      </w:pPr>
      <w:r>
        <w:rPr>
          <w:rFonts w:hint="eastAsia" w:eastAsia="宋体"/>
          <w:bCs/>
          <w:color w:val="auto"/>
          <w:sz w:val="28"/>
          <w:szCs w:val="28"/>
          <w:highlight w:val="none"/>
        </w:rPr>
        <w:t>项目名称：</w:t>
      </w:r>
      <w:r>
        <w:rPr>
          <w:rFonts w:hint="eastAsia" w:eastAsia="宋体"/>
          <w:bCs/>
          <w:color w:val="auto"/>
          <w:sz w:val="28"/>
          <w:szCs w:val="28"/>
          <w:highlight w:val="none"/>
          <w:u w:val="single"/>
        </w:rPr>
        <w:t xml:space="preserve"> </w:t>
      </w:r>
      <w:r>
        <w:rPr>
          <w:rFonts w:hint="eastAsia" w:eastAsia="宋体"/>
          <w:bCs/>
          <w:color w:val="auto"/>
          <w:sz w:val="28"/>
          <w:szCs w:val="28"/>
          <w:highlight w:val="none"/>
          <w:u w:val="single"/>
          <w:lang w:eastAsia="zh-CN"/>
        </w:rPr>
        <w:t>番禺区桥山村村镇工业集聚区更新改造试点项目（一期、二期、三期）勘察设计施工总承包及运营（EPCO）</w:t>
      </w:r>
    </w:p>
    <w:p w14:paraId="226E464F">
      <w:pPr>
        <w:pStyle w:val="120"/>
        <w:spacing w:before="312"/>
        <w:ind w:firstLine="1260" w:firstLineChars="450"/>
        <w:jc w:val="left"/>
        <w:rPr>
          <w:rFonts w:hint="eastAsia" w:eastAsia="宋体"/>
          <w:bCs/>
          <w:color w:val="auto"/>
          <w:sz w:val="28"/>
          <w:szCs w:val="28"/>
          <w:highlight w:val="none"/>
          <w:u w:val="single"/>
        </w:rPr>
      </w:pPr>
      <w:r>
        <w:rPr>
          <w:rFonts w:hint="eastAsia" w:eastAsia="宋体"/>
          <w:bCs/>
          <w:color w:val="auto"/>
          <w:sz w:val="28"/>
          <w:szCs w:val="28"/>
          <w:highlight w:val="none"/>
        </w:rPr>
        <w:t>项目地点：</w:t>
      </w:r>
      <w:r>
        <w:rPr>
          <w:rFonts w:hint="eastAsia" w:eastAsia="宋体"/>
          <w:bCs/>
          <w:color w:val="auto"/>
          <w:sz w:val="28"/>
          <w:szCs w:val="28"/>
          <w:highlight w:val="none"/>
          <w:u w:val="single"/>
        </w:rPr>
        <w:t xml:space="preserve"> </w:t>
      </w:r>
      <w:r>
        <w:rPr>
          <w:rFonts w:hint="eastAsia" w:eastAsia="宋体"/>
          <w:bCs/>
          <w:color w:val="auto"/>
          <w:sz w:val="28"/>
          <w:szCs w:val="28"/>
          <w:highlight w:val="none"/>
          <w:u w:val="single"/>
          <w:lang w:eastAsia="zh-CN"/>
        </w:rPr>
        <w:t>广州市番禺区石碁镇桥山村内</w:t>
      </w:r>
      <w:r>
        <w:rPr>
          <w:rFonts w:hint="eastAsia" w:eastAsia="宋体"/>
          <w:bCs/>
          <w:color w:val="auto"/>
          <w:sz w:val="28"/>
          <w:szCs w:val="28"/>
          <w:highlight w:val="none"/>
          <w:u w:val="single"/>
        </w:rPr>
        <w:t xml:space="preserve">   　　　　             </w:t>
      </w:r>
    </w:p>
    <w:p w14:paraId="42F129DD">
      <w:pPr>
        <w:pStyle w:val="120"/>
        <w:spacing w:before="312"/>
        <w:ind w:firstLine="1260" w:firstLineChars="450"/>
        <w:jc w:val="left"/>
        <w:rPr>
          <w:rFonts w:hint="eastAsia" w:eastAsia="宋体"/>
          <w:bCs/>
          <w:color w:val="auto"/>
          <w:sz w:val="28"/>
          <w:szCs w:val="28"/>
          <w:highlight w:val="none"/>
        </w:rPr>
      </w:pPr>
    </w:p>
    <w:p w14:paraId="1A541675">
      <w:pPr>
        <w:pStyle w:val="120"/>
        <w:spacing w:before="312"/>
        <w:ind w:firstLine="1260" w:firstLineChars="450"/>
        <w:jc w:val="left"/>
        <w:rPr>
          <w:rFonts w:hint="eastAsia" w:eastAsia="宋体"/>
          <w:color w:val="auto"/>
          <w:sz w:val="28"/>
          <w:szCs w:val="28"/>
          <w:highlight w:val="none"/>
          <w:lang w:eastAsia="zh-CN"/>
        </w:rPr>
      </w:pPr>
      <w:r>
        <w:rPr>
          <w:rFonts w:hint="eastAsia" w:eastAsia="宋体"/>
          <w:bCs/>
          <w:color w:val="auto"/>
          <w:sz w:val="28"/>
          <w:szCs w:val="28"/>
          <w:highlight w:val="none"/>
        </w:rPr>
        <w:t>甲方（建设管理单位）</w:t>
      </w:r>
      <w:r>
        <w:rPr>
          <w:rFonts w:hint="eastAsia" w:eastAsia="宋体"/>
          <w:color w:val="auto"/>
          <w:sz w:val="28"/>
          <w:szCs w:val="28"/>
          <w:highlight w:val="none"/>
        </w:rPr>
        <w:t>：</w:t>
      </w:r>
      <w:r>
        <w:rPr>
          <w:rFonts w:hint="eastAsia" w:eastAsia="宋体"/>
          <w:color w:val="auto"/>
          <w:sz w:val="28"/>
          <w:szCs w:val="28"/>
          <w:highlight w:val="none"/>
          <w:u w:val="single"/>
        </w:rPr>
        <w:t xml:space="preserve"> </w:t>
      </w:r>
      <w:r>
        <w:rPr>
          <w:rFonts w:hint="eastAsia" w:eastAsia="宋体"/>
          <w:color w:val="auto"/>
          <w:sz w:val="28"/>
          <w:szCs w:val="28"/>
          <w:highlight w:val="none"/>
          <w:u w:val="single"/>
          <w:lang w:eastAsia="zh-CN"/>
        </w:rPr>
        <w:t>广州市番禺区石碁镇桥山村股份合作经济社</w:t>
      </w:r>
    </w:p>
    <w:p w14:paraId="76A8D1E7">
      <w:pPr>
        <w:pStyle w:val="120"/>
        <w:spacing w:before="240" w:beforeLines="100" w:line="360" w:lineRule="auto"/>
        <w:ind w:firstLine="1260" w:firstLineChars="450"/>
        <w:jc w:val="left"/>
        <w:rPr>
          <w:rFonts w:hint="eastAsia" w:eastAsia="宋体"/>
          <w:color w:val="auto"/>
          <w:sz w:val="28"/>
          <w:szCs w:val="28"/>
          <w:highlight w:val="none"/>
          <w:u w:val="single"/>
        </w:rPr>
      </w:pPr>
      <w:r>
        <w:rPr>
          <w:rFonts w:hint="eastAsia" w:eastAsia="宋体"/>
          <w:bCs/>
          <w:color w:val="auto"/>
          <w:sz w:val="28"/>
          <w:szCs w:val="28"/>
          <w:highlight w:val="none"/>
        </w:rPr>
        <w:t>甲方合同编号</w:t>
      </w:r>
      <w:r>
        <w:rPr>
          <w:rFonts w:hint="eastAsia" w:eastAsia="宋体"/>
          <w:color w:val="auto"/>
          <w:sz w:val="28"/>
          <w:szCs w:val="28"/>
          <w:highlight w:val="none"/>
        </w:rPr>
        <w:t>：</w:t>
      </w:r>
      <w:r>
        <w:rPr>
          <w:rFonts w:hint="eastAsia" w:eastAsia="宋体"/>
          <w:color w:val="auto"/>
          <w:sz w:val="28"/>
          <w:szCs w:val="28"/>
          <w:highlight w:val="none"/>
          <w:u w:val="single"/>
        </w:rPr>
        <w:t xml:space="preserve">                                                 </w:t>
      </w:r>
    </w:p>
    <w:p w14:paraId="4BE31A97">
      <w:pPr>
        <w:pStyle w:val="120"/>
        <w:spacing w:before="312"/>
        <w:ind w:firstLine="1260" w:firstLineChars="450"/>
        <w:jc w:val="left"/>
        <w:rPr>
          <w:rFonts w:hint="eastAsia" w:eastAsia="宋体"/>
          <w:bCs/>
          <w:color w:val="auto"/>
          <w:sz w:val="28"/>
          <w:szCs w:val="28"/>
          <w:highlight w:val="none"/>
        </w:rPr>
      </w:pPr>
    </w:p>
    <w:p w14:paraId="13978154">
      <w:pPr>
        <w:pStyle w:val="120"/>
        <w:spacing w:before="312"/>
        <w:ind w:firstLine="1260" w:firstLineChars="450"/>
        <w:jc w:val="left"/>
        <w:rPr>
          <w:rFonts w:hint="eastAsia" w:eastAsia="宋体"/>
          <w:bCs/>
          <w:color w:val="auto"/>
          <w:sz w:val="28"/>
          <w:szCs w:val="28"/>
          <w:highlight w:val="none"/>
        </w:rPr>
      </w:pPr>
      <w:r>
        <w:rPr>
          <w:rFonts w:hint="eastAsia" w:eastAsia="宋体"/>
          <w:bCs/>
          <w:color w:val="auto"/>
          <w:sz w:val="28"/>
          <w:szCs w:val="28"/>
          <w:highlight w:val="none"/>
        </w:rPr>
        <w:t>乙方（</w:t>
      </w:r>
      <w:bookmarkStart w:id="0" w:name="_Hlk55295482"/>
      <w:r>
        <w:rPr>
          <w:rFonts w:hint="eastAsia" w:eastAsia="宋体"/>
          <w:bCs/>
          <w:color w:val="auto"/>
          <w:sz w:val="28"/>
          <w:szCs w:val="28"/>
          <w:highlight w:val="none"/>
        </w:rPr>
        <w:t>承包人</w:t>
      </w:r>
      <w:bookmarkEnd w:id="0"/>
      <w:r>
        <w:rPr>
          <w:rFonts w:hint="eastAsia" w:eastAsia="宋体"/>
          <w:bCs/>
          <w:color w:val="auto"/>
          <w:sz w:val="28"/>
          <w:szCs w:val="28"/>
          <w:highlight w:val="none"/>
        </w:rPr>
        <w:t>）（主</w:t>
      </w:r>
      <w:r>
        <w:rPr>
          <w:rFonts w:hint="eastAsia" w:eastAsia="宋体"/>
          <w:bCs/>
          <w:color w:val="auto"/>
          <w:sz w:val="28"/>
          <w:szCs w:val="28"/>
          <w:highlight w:val="none"/>
          <w:lang w:val="en-US" w:eastAsia="zh-CN"/>
        </w:rPr>
        <w:t>办方/牵头方</w:t>
      </w:r>
      <w:r>
        <w:rPr>
          <w:rFonts w:hint="eastAsia" w:eastAsia="宋体"/>
          <w:bCs/>
          <w:color w:val="auto"/>
          <w:sz w:val="28"/>
          <w:szCs w:val="28"/>
          <w:highlight w:val="none"/>
        </w:rPr>
        <w:t>）：</w:t>
      </w:r>
      <w:r>
        <w:rPr>
          <w:rFonts w:hint="eastAsia" w:eastAsia="宋体"/>
          <w:bCs/>
          <w:color w:val="auto"/>
          <w:sz w:val="28"/>
          <w:szCs w:val="28"/>
          <w:highlight w:val="none"/>
          <w:u w:val="single"/>
        </w:rPr>
        <w:t xml:space="preserve">                                         </w:t>
      </w:r>
      <w:r>
        <w:rPr>
          <w:rFonts w:hint="eastAsia" w:eastAsia="宋体"/>
          <w:bCs/>
          <w:color w:val="auto"/>
          <w:sz w:val="28"/>
          <w:szCs w:val="28"/>
          <w:highlight w:val="none"/>
        </w:rPr>
        <w:t xml:space="preserve">                        </w:t>
      </w:r>
    </w:p>
    <w:p w14:paraId="71B747AE">
      <w:pPr>
        <w:pStyle w:val="120"/>
        <w:spacing w:before="312"/>
        <w:ind w:firstLine="1260" w:firstLineChars="450"/>
        <w:jc w:val="left"/>
        <w:rPr>
          <w:rFonts w:hint="eastAsia" w:eastAsia="宋体"/>
          <w:bCs/>
          <w:color w:val="auto"/>
          <w:sz w:val="28"/>
          <w:szCs w:val="28"/>
          <w:highlight w:val="none"/>
        </w:rPr>
      </w:pPr>
      <w:r>
        <w:rPr>
          <w:rFonts w:hint="eastAsia" w:eastAsia="宋体"/>
          <w:bCs/>
          <w:color w:val="auto"/>
          <w:sz w:val="28"/>
          <w:szCs w:val="28"/>
          <w:highlight w:val="none"/>
        </w:rPr>
        <w:t>乙方（承包人）（成</w:t>
      </w:r>
      <w:r>
        <w:rPr>
          <w:rFonts w:hint="eastAsia" w:eastAsia="宋体"/>
          <w:bCs/>
          <w:color w:val="auto"/>
          <w:sz w:val="28"/>
          <w:szCs w:val="28"/>
          <w:highlight w:val="none"/>
          <w:lang w:val="en-US" w:eastAsia="zh-CN"/>
        </w:rPr>
        <w:t>员方</w:t>
      </w:r>
      <w:r>
        <w:rPr>
          <w:rFonts w:hint="eastAsia" w:eastAsia="宋体"/>
          <w:bCs/>
          <w:color w:val="auto"/>
          <w:sz w:val="28"/>
          <w:szCs w:val="28"/>
          <w:highlight w:val="none"/>
        </w:rPr>
        <w:t>）：</w:t>
      </w:r>
      <w:r>
        <w:rPr>
          <w:rFonts w:hint="eastAsia" w:eastAsia="宋体"/>
          <w:bCs/>
          <w:color w:val="auto"/>
          <w:sz w:val="28"/>
          <w:szCs w:val="28"/>
          <w:highlight w:val="none"/>
          <w:u w:val="single"/>
        </w:rPr>
        <w:t xml:space="preserve">                                         </w:t>
      </w:r>
      <w:r>
        <w:rPr>
          <w:rFonts w:hint="eastAsia" w:eastAsia="宋体"/>
          <w:bCs/>
          <w:color w:val="auto"/>
          <w:sz w:val="28"/>
          <w:szCs w:val="28"/>
          <w:highlight w:val="none"/>
        </w:rPr>
        <w:t xml:space="preserve">                            </w:t>
      </w:r>
    </w:p>
    <w:p w14:paraId="2D81FA84">
      <w:pPr>
        <w:pStyle w:val="120"/>
        <w:spacing w:before="312"/>
        <w:ind w:firstLine="1260" w:firstLineChars="450"/>
        <w:jc w:val="left"/>
        <w:rPr>
          <w:rFonts w:hint="eastAsia" w:eastAsia="宋体"/>
          <w:bCs/>
          <w:color w:val="auto"/>
          <w:sz w:val="28"/>
          <w:szCs w:val="28"/>
          <w:highlight w:val="none"/>
        </w:rPr>
      </w:pPr>
      <w:r>
        <w:rPr>
          <w:rFonts w:hint="eastAsia" w:eastAsia="宋体"/>
          <w:bCs/>
          <w:color w:val="auto"/>
          <w:sz w:val="28"/>
          <w:szCs w:val="28"/>
          <w:highlight w:val="none"/>
        </w:rPr>
        <w:t>乙方（承包人）（成</w:t>
      </w:r>
      <w:r>
        <w:rPr>
          <w:rFonts w:hint="eastAsia" w:eastAsia="宋体"/>
          <w:bCs/>
          <w:color w:val="auto"/>
          <w:sz w:val="28"/>
          <w:szCs w:val="28"/>
          <w:highlight w:val="none"/>
          <w:lang w:val="en-US" w:eastAsia="zh-CN"/>
        </w:rPr>
        <w:t>员方</w:t>
      </w:r>
      <w:r>
        <w:rPr>
          <w:rFonts w:hint="eastAsia" w:eastAsia="宋体"/>
          <w:bCs/>
          <w:color w:val="auto"/>
          <w:sz w:val="28"/>
          <w:szCs w:val="28"/>
          <w:highlight w:val="none"/>
        </w:rPr>
        <w:t>）：</w:t>
      </w:r>
      <w:r>
        <w:rPr>
          <w:rFonts w:hint="eastAsia" w:eastAsia="宋体"/>
          <w:bCs/>
          <w:color w:val="auto"/>
          <w:sz w:val="28"/>
          <w:szCs w:val="28"/>
          <w:highlight w:val="none"/>
          <w:u w:val="single"/>
        </w:rPr>
        <w:t xml:space="preserve">                                         </w:t>
      </w:r>
      <w:r>
        <w:rPr>
          <w:rFonts w:hint="eastAsia" w:eastAsia="宋体"/>
          <w:bCs/>
          <w:color w:val="auto"/>
          <w:sz w:val="28"/>
          <w:szCs w:val="28"/>
          <w:highlight w:val="none"/>
        </w:rPr>
        <w:t xml:space="preserve">                                                     </w:t>
      </w:r>
    </w:p>
    <w:p w14:paraId="2E23A323">
      <w:pPr>
        <w:pStyle w:val="120"/>
        <w:spacing w:before="312"/>
        <w:ind w:firstLine="1260" w:firstLineChars="450"/>
        <w:jc w:val="left"/>
        <w:rPr>
          <w:rFonts w:hint="eastAsia" w:eastAsia="宋体"/>
          <w:color w:val="auto"/>
          <w:sz w:val="28"/>
          <w:szCs w:val="28"/>
          <w:highlight w:val="none"/>
        </w:rPr>
      </w:pPr>
      <w:r>
        <w:rPr>
          <w:rFonts w:hint="eastAsia" w:eastAsia="宋体"/>
          <w:bCs/>
          <w:color w:val="auto"/>
          <w:sz w:val="28"/>
          <w:szCs w:val="28"/>
          <w:highlight w:val="none"/>
        </w:rPr>
        <w:t>乙方合同编号：</w:t>
      </w:r>
      <w:r>
        <w:rPr>
          <w:rFonts w:hint="eastAsia" w:eastAsia="宋体"/>
          <w:bCs/>
          <w:color w:val="auto"/>
          <w:sz w:val="28"/>
          <w:szCs w:val="28"/>
          <w:highlight w:val="none"/>
          <w:u w:val="single"/>
        </w:rPr>
        <w:t xml:space="preserve">                                                  </w:t>
      </w:r>
      <w:r>
        <w:rPr>
          <w:rFonts w:hint="eastAsia" w:eastAsia="宋体"/>
          <w:bCs/>
          <w:color w:val="auto"/>
          <w:sz w:val="28"/>
          <w:szCs w:val="28"/>
          <w:highlight w:val="none"/>
        </w:rPr>
        <w:t xml:space="preserve"> </w:t>
      </w:r>
      <w:r>
        <w:rPr>
          <w:rFonts w:hint="eastAsia" w:eastAsia="宋体"/>
          <w:color w:val="auto"/>
          <w:sz w:val="28"/>
          <w:szCs w:val="28"/>
          <w:highlight w:val="none"/>
          <w:u w:val="single"/>
        </w:rPr>
        <w:t xml:space="preserve">  </w:t>
      </w:r>
    </w:p>
    <w:p w14:paraId="709557DD">
      <w:pPr>
        <w:pStyle w:val="120"/>
        <w:spacing w:before="312"/>
        <w:ind w:firstLine="1260" w:firstLineChars="450"/>
        <w:jc w:val="left"/>
        <w:rPr>
          <w:rFonts w:hint="eastAsia" w:eastAsia="宋体"/>
          <w:bCs/>
          <w:color w:val="auto"/>
          <w:sz w:val="28"/>
          <w:szCs w:val="28"/>
          <w:highlight w:val="none"/>
        </w:rPr>
      </w:pPr>
    </w:p>
    <w:p w14:paraId="6D7F1A07">
      <w:pPr>
        <w:pStyle w:val="120"/>
        <w:spacing w:before="312"/>
        <w:ind w:firstLine="1260" w:firstLineChars="450"/>
        <w:jc w:val="left"/>
        <w:rPr>
          <w:rFonts w:hint="eastAsia" w:eastAsia="宋体"/>
          <w:color w:val="auto"/>
          <w:sz w:val="28"/>
          <w:szCs w:val="28"/>
          <w:highlight w:val="none"/>
        </w:rPr>
      </w:pPr>
      <w:r>
        <w:rPr>
          <w:rFonts w:hint="eastAsia" w:eastAsia="宋体"/>
          <w:bCs/>
          <w:color w:val="auto"/>
          <w:sz w:val="28"/>
          <w:szCs w:val="28"/>
          <w:highlight w:val="none"/>
        </w:rPr>
        <w:t>签订地点</w:t>
      </w:r>
      <w:r>
        <w:rPr>
          <w:rFonts w:hint="eastAsia" w:eastAsia="宋体"/>
          <w:color w:val="auto"/>
          <w:sz w:val="28"/>
          <w:szCs w:val="28"/>
          <w:highlight w:val="none"/>
        </w:rPr>
        <w:t>：</w:t>
      </w:r>
      <w:r>
        <w:rPr>
          <w:rFonts w:hint="eastAsia" w:eastAsia="宋体"/>
          <w:color w:val="auto"/>
          <w:sz w:val="28"/>
          <w:szCs w:val="28"/>
          <w:highlight w:val="none"/>
          <w:u w:val="single"/>
          <w:lang w:eastAsia="zh-CN"/>
        </w:rPr>
        <w:t>广州市番禺区石碁镇</w:t>
      </w:r>
      <w:r>
        <w:rPr>
          <w:rFonts w:hint="eastAsia" w:eastAsia="宋体"/>
          <w:color w:val="auto"/>
          <w:sz w:val="28"/>
          <w:szCs w:val="28"/>
          <w:highlight w:val="none"/>
          <w:u w:val="single"/>
        </w:rPr>
        <w:t xml:space="preserve">                                 </w:t>
      </w:r>
    </w:p>
    <w:p w14:paraId="1CB36E73">
      <w:pPr>
        <w:autoSpaceDE w:val="0"/>
        <w:autoSpaceDN w:val="0"/>
        <w:adjustRightInd w:val="0"/>
        <w:spacing w:before="240" w:beforeLines="100" w:line="360" w:lineRule="auto"/>
        <w:ind w:firstLine="1260" w:firstLineChars="450"/>
        <w:jc w:val="left"/>
        <w:rPr>
          <w:rFonts w:hint="eastAsia" w:ascii="宋体" w:hAnsi="宋体" w:eastAsia="宋体" w:cs="宋体"/>
          <w:color w:val="auto"/>
          <w:kern w:val="0"/>
          <w:sz w:val="28"/>
          <w:szCs w:val="28"/>
          <w:highlight w:val="none"/>
        </w:rPr>
      </w:pPr>
      <w:r>
        <w:rPr>
          <w:rFonts w:hint="eastAsia" w:ascii="宋体" w:hAnsi="宋体" w:eastAsia="宋体" w:cs="宋体"/>
          <w:bCs/>
          <w:color w:val="auto"/>
          <w:sz w:val="28"/>
          <w:szCs w:val="28"/>
          <w:highlight w:val="none"/>
        </w:rPr>
        <w:t>签订日期</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年     月     日                            </w:t>
      </w:r>
    </w:p>
    <w:p w14:paraId="3CF88958">
      <w:pPr>
        <w:autoSpaceDE w:val="0"/>
        <w:autoSpaceDN w:val="0"/>
        <w:adjustRightInd w:val="0"/>
        <w:spacing w:line="200" w:lineRule="exact"/>
        <w:jc w:val="left"/>
        <w:rPr>
          <w:rFonts w:hint="eastAsia" w:ascii="宋体" w:hAnsi="宋体" w:eastAsia="宋体" w:cs="宋体"/>
          <w:color w:val="auto"/>
          <w:kern w:val="0"/>
          <w:sz w:val="28"/>
          <w:szCs w:val="28"/>
          <w:highlight w:val="none"/>
        </w:rPr>
      </w:pPr>
    </w:p>
    <w:p w14:paraId="6A64605E">
      <w:pPr>
        <w:autoSpaceDE w:val="0"/>
        <w:autoSpaceDN w:val="0"/>
        <w:adjustRightInd w:val="0"/>
        <w:spacing w:line="420" w:lineRule="exact"/>
        <w:rPr>
          <w:rFonts w:hint="eastAsia" w:ascii="宋体" w:hAnsi="宋体" w:eastAsia="宋体" w:cs="宋体"/>
          <w:color w:val="auto"/>
          <w:kern w:val="0"/>
          <w:position w:val="-3"/>
          <w:sz w:val="36"/>
          <w:szCs w:val="36"/>
          <w:highlight w:val="none"/>
        </w:rPr>
      </w:pPr>
    </w:p>
    <w:p w14:paraId="4247E45D">
      <w:pPr>
        <w:autoSpaceDE w:val="0"/>
        <w:autoSpaceDN w:val="0"/>
        <w:adjustRightInd w:val="0"/>
        <w:spacing w:line="420" w:lineRule="exact"/>
        <w:rPr>
          <w:rFonts w:hint="eastAsia" w:ascii="宋体" w:hAnsi="宋体" w:eastAsia="宋体" w:cs="宋体"/>
          <w:color w:val="auto"/>
          <w:kern w:val="0"/>
          <w:position w:val="-3"/>
          <w:sz w:val="36"/>
          <w:szCs w:val="36"/>
          <w:highlight w:val="none"/>
        </w:rPr>
      </w:pPr>
    </w:p>
    <w:p w14:paraId="5524F06A">
      <w:pPr>
        <w:pStyle w:val="6"/>
        <w:ind w:firstLine="0" w:firstLineChars="0"/>
        <w:rPr>
          <w:rFonts w:hint="eastAsia" w:ascii="宋体" w:hAnsi="宋体" w:eastAsia="宋体" w:cs="宋体"/>
          <w:color w:val="auto"/>
          <w:kern w:val="0"/>
          <w:position w:val="-3"/>
          <w:sz w:val="36"/>
          <w:szCs w:val="36"/>
          <w:highlight w:val="none"/>
        </w:rPr>
      </w:pPr>
    </w:p>
    <w:p w14:paraId="17E9A5A7">
      <w:pPr>
        <w:rPr>
          <w:rFonts w:hint="eastAsia" w:ascii="宋体" w:hAnsi="宋体" w:eastAsia="宋体" w:cs="宋体"/>
          <w:color w:val="auto"/>
          <w:highlight w:val="none"/>
        </w:rPr>
        <w:sectPr>
          <w:footerReference r:id="rId3" w:type="default"/>
          <w:footerReference r:id="rId4" w:type="even"/>
          <w:pgSz w:w="11920" w:h="16840"/>
          <w:pgMar w:top="1580" w:right="880" w:bottom="280" w:left="920" w:header="720" w:footer="720" w:gutter="0"/>
          <w:pgNumType w:fmt="numberInDash" w:start="1"/>
          <w:cols w:space="720" w:num="1"/>
          <w:titlePg/>
          <w:docGrid w:linePitch="286" w:charSpace="0"/>
        </w:sectPr>
      </w:pPr>
    </w:p>
    <w:p w14:paraId="1811C818">
      <w:pPr>
        <w:pStyle w:val="90"/>
        <w:spacing w:line="360" w:lineRule="auto"/>
        <w:jc w:val="center"/>
        <w:rPr>
          <w:rFonts w:hint="eastAsia" w:ascii="宋体" w:hAnsi="宋体" w:eastAsia="宋体" w:cs="宋体"/>
          <w:b/>
          <w:color w:val="auto"/>
          <w:sz w:val="32"/>
          <w:szCs w:val="32"/>
          <w:highlight w:val="none"/>
        </w:rPr>
      </w:pPr>
      <w:bookmarkStart w:id="1" w:name="_Toc287627913"/>
      <w:r>
        <w:rPr>
          <w:rFonts w:hint="eastAsia" w:ascii="宋体" w:hAnsi="宋体" w:eastAsia="宋体" w:cs="宋体"/>
          <w:b/>
          <w:color w:val="auto"/>
          <w:sz w:val="32"/>
          <w:szCs w:val="32"/>
          <w:highlight w:val="none"/>
        </w:rPr>
        <w:t>合　同　目  录</w:t>
      </w:r>
    </w:p>
    <w:p w14:paraId="30AC1B9A">
      <w:pPr>
        <w:pStyle w:val="90"/>
        <w:spacing w:line="360" w:lineRule="auto"/>
        <w:jc w:val="left"/>
        <w:rPr>
          <w:rFonts w:hint="eastAsia" w:ascii="宋体" w:hAnsi="宋体" w:eastAsia="宋体" w:cs="宋体"/>
          <w:b/>
          <w:color w:val="auto"/>
          <w:sz w:val="32"/>
          <w:szCs w:val="32"/>
          <w:highlight w:val="none"/>
        </w:rPr>
      </w:pPr>
    </w:p>
    <w:p w14:paraId="61C9C227">
      <w:pPr>
        <w:pStyle w:val="90"/>
        <w:spacing w:line="360" w:lineRule="auto"/>
        <w:ind w:firstLine="562" w:firstLineChars="20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第一篇 合同协议书</w:t>
      </w:r>
    </w:p>
    <w:p w14:paraId="378F47C8">
      <w:pPr>
        <w:pStyle w:val="90"/>
        <w:spacing w:line="360" w:lineRule="auto"/>
        <w:ind w:firstLine="562" w:firstLineChars="20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第二篇 工程勘察合同条款</w:t>
      </w:r>
    </w:p>
    <w:p w14:paraId="1A7373CE">
      <w:pPr>
        <w:pStyle w:val="90"/>
        <w:spacing w:line="360" w:lineRule="auto"/>
        <w:ind w:firstLine="562" w:firstLineChars="20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第三篇 工程设计合同条款</w:t>
      </w:r>
    </w:p>
    <w:p w14:paraId="133F3F71">
      <w:pPr>
        <w:pStyle w:val="90"/>
        <w:spacing w:line="360" w:lineRule="auto"/>
        <w:ind w:firstLine="562" w:firstLineChars="20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第四篇 工程施工总承包合同条款</w:t>
      </w:r>
    </w:p>
    <w:p w14:paraId="526AACF0">
      <w:pPr>
        <w:pStyle w:val="90"/>
        <w:spacing w:line="360" w:lineRule="auto"/>
        <w:ind w:firstLine="562" w:firstLineChars="20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第五篇 产业园整体租赁合同条款</w:t>
      </w:r>
    </w:p>
    <w:p w14:paraId="2C481680">
      <w:pPr>
        <w:pStyle w:val="90"/>
        <w:spacing w:line="360" w:lineRule="auto"/>
        <w:ind w:firstLine="562" w:firstLineChars="20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第六篇 组成合同附件</w:t>
      </w:r>
    </w:p>
    <w:p w14:paraId="3E6DDA75">
      <w:pPr>
        <w:pStyle w:val="90"/>
        <w:spacing w:line="360" w:lineRule="auto"/>
        <w:ind w:firstLine="1275" w:firstLineChars="397"/>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23AA7F5F">
      <w:pPr>
        <w:pStyle w:val="90"/>
        <w:spacing w:line="360" w:lineRule="auto"/>
        <w:ind w:firstLine="1275" w:firstLineChars="397"/>
        <w:jc w:val="left"/>
        <w:rPr>
          <w:rFonts w:hint="eastAsia" w:ascii="宋体" w:hAnsi="宋体" w:eastAsia="宋体" w:cs="宋体"/>
          <w:b/>
          <w:color w:val="auto"/>
          <w:sz w:val="32"/>
          <w:szCs w:val="32"/>
          <w:highlight w:val="none"/>
        </w:rPr>
      </w:pPr>
    </w:p>
    <w:p w14:paraId="453EF7F8">
      <w:pPr>
        <w:pStyle w:val="90"/>
        <w:spacing w:line="360" w:lineRule="auto"/>
        <w:ind w:firstLine="1275" w:firstLineChars="397"/>
        <w:jc w:val="left"/>
        <w:rPr>
          <w:rFonts w:hint="eastAsia" w:ascii="宋体" w:hAnsi="宋体" w:eastAsia="宋体" w:cs="宋体"/>
          <w:b/>
          <w:color w:val="auto"/>
          <w:sz w:val="32"/>
          <w:szCs w:val="32"/>
          <w:highlight w:val="none"/>
        </w:rPr>
      </w:pPr>
    </w:p>
    <w:p w14:paraId="29FE4F2E">
      <w:pPr>
        <w:pStyle w:val="90"/>
        <w:spacing w:line="360" w:lineRule="auto"/>
        <w:ind w:firstLine="1275" w:firstLineChars="397"/>
        <w:jc w:val="left"/>
        <w:rPr>
          <w:rFonts w:hint="eastAsia" w:ascii="宋体" w:hAnsi="宋体" w:eastAsia="宋体" w:cs="宋体"/>
          <w:b/>
          <w:color w:val="auto"/>
          <w:sz w:val="32"/>
          <w:szCs w:val="32"/>
          <w:highlight w:val="none"/>
        </w:rPr>
      </w:pPr>
    </w:p>
    <w:p w14:paraId="582ADE63">
      <w:pPr>
        <w:pStyle w:val="90"/>
        <w:spacing w:line="360" w:lineRule="auto"/>
        <w:ind w:firstLine="1275" w:firstLineChars="397"/>
        <w:jc w:val="left"/>
        <w:rPr>
          <w:rFonts w:hint="eastAsia" w:ascii="宋体" w:hAnsi="宋体" w:eastAsia="宋体" w:cs="宋体"/>
          <w:b/>
          <w:color w:val="auto"/>
          <w:sz w:val="32"/>
          <w:szCs w:val="32"/>
          <w:highlight w:val="none"/>
        </w:rPr>
      </w:pPr>
    </w:p>
    <w:p w14:paraId="33C77867">
      <w:pPr>
        <w:pStyle w:val="90"/>
        <w:spacing w:line="360" w:lineRule="auto"/>
        <w:ind w:firstLine="1275" w:firstLineChars="397"/>
        <w:jc w:val="left"/>
        <w:rPr>
          <w:rFonts w:hint="eastAsia" w:ascii="宋体" w:hAnsi="宋体" w:eastAsia="宋体" w:cs="宋体"/>
          <w:b/>
          <w:color w:val="auto"/>
          <w:sz w:val="32"/>
          <w:szCs w:val="32"/>
          <w:highlight w:val="none"/>
        </w:rPr>
      </w:pPr>
    </w:p>
    <w:p w14:paraId="69936DBE">
      <w:pPr>
        <w:pStyle w:val="90"/>
        <w:spacing w:line="360" w:lineRule="auto"/>
        <w:ind w:firstLine="1275" w:firstLineChars="397"/>
        <w:jc w:val="left"/>
        <w:rPr>
          <w:rFonts w:hint="eastAsia" w:ascii="宋体" w:hAnsi="宋体" w:eastAsia="宋体" w:cs="宋体"/>
          <w:b/>
          <w:color w:val="auto"/>
          <w:sz w:val="32"/>
          <w:szCs w:val="32"/>
          <w:highlight w:val="none"/>
        </w:rPr>
      </w:pPr>
    </w:p>
    <w:p w14:paraId="1030191B">
      <w:pPr>
        <w:pStyle w:val="90"/>
        <w:spacing w:line="360" w:lineRule="auto"/>
        <w:ind w:firstLine="1275" w:firstLineChars="397"/>
        <w:jc w:val="left"/>
        <w:rPr>
          <w:rFonts w:hint="eastAsia" w:ascii="宋体" w:hAnsi="宋体" w:eastAsia="宋体" w:cs="宋体"/>
          <w:b/>
          <w:color w:val="auto"/>
          <w:sz w:val="32"/>
          <w:szCs w:val="32"/>
          <w:highlight w:val="none"/>
        </w:rPr>
      </w:pPr>
    </w:p>
    <w:p w14:paraId="5BF733E7">
      <w:pPr>
        <w:pStyle w:val="90"/>
        <w:spacing w:line="360" w:lineRule="auto"/>
        <w:ind w:firstLine="1275" w:firstLineChars="397"/>
        <w:jc w:val="left"/>
        <w:rPr>
          <w:rFonts w:hint="eastAsia" w:ascii="宋体" w:hAnsi="宋体" w:eastAsia="宋体" w:cs="宋体"/>
          <w:b/>
          <w:color w:val="auto"/>
          <w:sz w:val="32"/>
          <w:szCs w:val="32"/>
          <w:highlight w:val="none"/>
        </w:rPr>
      </w:pPr>
    </w:p>
    <w:p w14:paraId="404BBFC9">
      <w:pPr>
        <w:pStyle w:val="90"/>
        <w:spacing w:line="360" w:lineRule="auto"/>
        <w:ind w:firstLine="1275" w:firstLineChars="397"/>
        <w:jc w:val="left"/>
        <w:rPr>
          <w:rFonts w:hint="eastAsia" w:ascii="宋体" w:hAnsi="宋体" w:eastAsia="宋体" w:cs="宋体"/>
          <w:b/>
          <w:color w:val="auto"/>
          <w:sz w:val="32"/>
          <w:szCs w:val="32"/>
          <w:highlight w:val="none"/>
        </w:rPr>
      </w:pPr>
    </w:p>
    <w:p w14:paraId="307DB149">
      <w:pPr>
        <w:pStyle w:val="90"/>
        <w:spacing w:line="360" w:lineRule="auto"/>
        <w:ind w:firstLine="1275" w:firstLineChars="397"/>
        <w:jc w:val="left"/>
        <w:rPr>
          <w:rFonts w:hint="eastAsia" w:ascii="宋体" w:hAnsi="宋体" w:eastAsia="宋体" w:cs="宋体"/>
          <w:b/>
          <w:color w:val="auto"/>
          <w:sz w:val="32"/>
          <w:szCs w:val="32"/>
          <w:highlight w:val="none"/>
        </w:rPr>
      </w:pPr>
    </w:p>
    <w:p w14:paraId="282CA195">
      <w:pPr>
        <w:pStyle w:val="90"/>
        <w:spacing w:line="360" w:lineRule="auto"/>
        <w:ind w:firstLine="1275" w:firstLineChars="397"/>
        <w:jc w:val="left"/>
        <w:rPr>
          <w:rFonts w:hint="eastAsia" w:ascii="宋体" w:hAnsi="宋体" w:eastAsia="宋体" w:cs="宋体"/>
          <w:b/>
          <w:color w:val="auto"/>
          <w:sz w:val="32"/>
          <w:szCs w:val="32"/>
          <w:highlight w:val="none"/>
        </w:rPr>
      </w:pPr>
    </w:p>
    <w:p w14:paraId="043CD24B">
      <w:pPr>
        <w:pStyle w:val="90"/>
        <w:spacing w:line="360" w:lineRule="auto"/>
        <w:ind w:firstLine="1275" w:firstLineChars="397"/>
        <w:jc w:val="left"/>
        <w:rPr>
          <w:rFonts w:hint="eastAsia" w:ascii="宋体" w:hAnsi="宋体" w:eastAsia="宋体" w:cs="宋体"/>
          <w:b/>
          <w:color w:val="auto"/>
          <w:sz w:val="32"/>
          <w:szCs w:val="32"/>
          <w:highlight w:val="none"/>
        </w:rPr>
      </w:pPr>
    </w:p>
    <w:p w14:paraId="4D512048">
      <w:pPr>
        <w:pStyle w:val="90"/>
        <w:spacing w:line="360" w:lineRule="auto"/>
        <w:ind w:firstLine="1275" w:firstLineChars="397"/>
        <w:jc w:val="left"/>
        <w:rPr>
          <w:rFonts w:hint="eastAsia" w:ascii="宋体" w:hAnsi="宋体" w:eastAsia="宋体" w:cs="宋体"/>
          <w:b/>
          <w:color w:val="auto"/>
          <w:sz w:val="32"/>
          <w:szCs w:val="32"/>
          <w:highlight w:val="none"/>
        </w:rPr>
      </w:pPr>
    </w:p>
    <w:p w14:paraId="0C1398BC">
      <w:pPr>
        <w:pStyle w:val="90"/>
        <w:spacing w:line="360" w:lineRule="auto"/>
        <w:ind w:firstLine="833" w:firstLineChars="397"/>
        <w:jc w:val="left"/>
        <w:rPr>
          <w:rFonts w:hint="eastAsia" w:ascii="宋体" w:hAnsi="宋体" w:eastAsia="宋体" w:cs="宋体"/>
          <w:color w:val="auto"/>
          <w:highlight w:val="none"/>
        </w:rPr>
      </w:pPr>
    </w:p>
    <w:p w14:paraId="603E55CA">
      <w:pPr>
        <w:pStyle w:val="81"/>
        <w:jc w:val="both"/>
        <w:rPr>
          <w:rFonts w:hint="eastAsia" w:ascii="宋体" w:hAnsi="宋体" w:eastAsia="宋体" w:cs="宋体"/>
          <w:color w:val="auto"/>
          <w:highlight w:val="none"/>
        </w:rPr>
      </w:pPr>
    </w:p>
    <w:p w14:paraId="4D83B9D7">
      <w:pPr>
        <w:rPr>
          <w:rFonts w:hint="eastAsia" w:ascii="宋体" w:hAnsi="宋体" w:eastAsia="宋体" w:cs="宋体"/>
          <w:color w:val="auto"/>
          <w:highlight w:val="none"/>
        </w:rPr>
        <w:sectPr>
          <w:footerReference r:id="rId6" w:type="first"/>
          <w:footerReference r:id="rId5" w:type="default"/>
          <w:pgSz w:w="11920" w:h="16840"/>
          <w:pgMar w:top="1580" w:right="880" w:bottom="280" w:left="920" w:header="720" w:footer="720" w:gutter="0"/>
          <w:pgNumType w:fmt="numberInDash" w:start="1"/>
          <w:cols w:space="720" w:num="1"/>
          <w:titlePg/>
          <w:docGrid w:linePitch="286" w:charSpace="0"/>
        </w:sectPr>
      </w:pPr>
    </w:p>
    <w:p w14:paraId="67E17779">
      <w:pPr>
        <w:pStyle w:val="81"/>
        <w:rPr>
          <w:rFonts w:hint="eastAsia" w:ascii="宋体" w:hAnsi="宋体" w:eastAsia="宋体" w:cs="宋体"/>
          <w:b/>
          <w:bCs w:val="0"/>
          <w:color w:val="auto"/>
          <w:highlight w:val="none"/>
        </w:rPr>
      </w:pPr>
      <w:r>
        <w:rPr>
          <w:rFonts w:hint="eastAsia" w:ascii="宋体" w:hAnsi="宋体" w:eastAsia="宋体" w:cs="宋体"/>
          <w:b/>
          <w:bCs w:val="0"/>
          <w:color w:val="auto"/>
          <w:highlight w:val="none"/>
        </w:rPr>
        <w:t>第一篇  合 同 协 议 书</w:t>
      </w:r>
      <w:bookmarkEnd w:id="1"/>
    </w:p>
    <w:p w14:paraId="6B6E97B8">
      <w:pPr>
        <w:autoSpaceDE w:val="0"/>
        <w:autoSpaceDN w:val="0"/>
        <w:adjustRightInd w:val="0"/>
        <w:spacing w:before="4" w:line="130" w:lineRule="exact"/>
        <w:jc w:val="left"/>
        <w:rPr>
          <w:rFonts w:hint="eastAsia" w:ascii="宋体" w:hAnsi="宋体" w:eastAsia="宋体" w:cs="宋体"/>
          <w:color w:val="auto"/>
          <w:kern w:val="0"/>
          <w:sz w:val="13"/>
          <w:szCs w:val="13"/>
          <w:highlight w:val="none"/>
        </w:rPr>
      </w:pPr>
    </w:p>
    <w:p w14:paraId="23A635C8">
      <w:pPr>
        <w:adjustRightInd w:val="0"/>
        <w:snapToGrid w:val="0"/>
        <w:spacing w:line="360" w:lineRule="auto"/>
        <w:ind w:firstLine="482" w:firstLineChars="200"/>
        <w:jc w:val="left"/>
        <w:rPr>
          <w:rFonts w:hint="eastAsia" w:ascii="宋体" w:hAnsi="宋体" w:eastAsia="宋体" w:cs="宋体"/>
          <w:b/>
          <w:color w:val="auto"/>
          <w:sz w:val="24"/>
          <w:highlight w:val="none"/>
        </w:rPr>
      </w:pPr>
    </w:p>
    <w:p w14:paraId="64B7BBE5">
      <w:pPr>
        <w:adjustRightInd w:val="0"/>
        <w:snapToGrid w:val="0"/>
        <w:spacing w:line="360" w:lineRule="auto"/>
        <w:ind w:firstLine="482" w:firstLineChars="200"/>
        <w:jc w:val="left"/>
        <w:rPr>
          <w:rFonts w:hint="eastAsia" w:ascii="宋体" w:hAnsi="宋体" w:eastAsia="宋体" w:cs="宋体"/>
          <w:b/>
          <w:snapToGrid w:val="0"/>
          <w:color w:val="auto"/>
          <w:kern w:val="13"/>
          <w:sz w:val="24"/>
          <w:highlight w:val="none"/>
          <w:u w:val="single"/>
        </w:rPr>
      </w:pPr>
      <w:r>
        <w:rPr>
          <w:rFonts w:hint="eastAsia" w:ascii="宋体" w:hAnsi="宋体" w:eastAsia="宋体" w:cs="宋体"/>
          <w:b/>
          <w:color w:val="auto"/>
          <w:sz w:val="24"/>
          <w:highlight w:val="none"/>
        </w:rPr>
        <w:t>甲方（建设管理单位）</w:t>
      </w:r>
      <w:r>
        <w:rPr>
          <w:rFonts w:hint="eastAsia" w:ascii="宋体" w:hAnsi="宋体" w:eastAsia="宋体" w:cs="宋体"/>
          <w:b/>
          <w:snapToGrid w:val="0"/>
          <w:color w:val="auto"/>
          <w:kern w:val="13"/>
          <w:sz w:val="24"/>
          <w:highlight w:val="none"/>
        </w:rPr>
        <w:t>：</w:t>
      </w:r>
      <w:r>
        <w:rPr>
          <w:rFonts w:hint="eastAsia"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lang w:eastAsia="zh-CN"/>
        </w:rPr>
        <w:t>广州市番禺区石碁镇桥山村股份合作经济社</w:t>
      </w:r>
      <w:r>
        <w:rPr>
          <w:rFonts w:hint="eastAsia" w:ascii="宋体" w:hAnsi="宋体" w:eastAsia="宋体" w:cs="宋体"/>
          <w:b/>
          <w:snapToGrid w:val="0"/>
          <w:color w:val="auto"/>
          <w:kern w:val="13"/>
          <w:sz w:val="24"/>
          <w:highlight w:val="none"/>
          <w:u w:val="single"/>
        </w:rPr>
        <w:t xml:space="preserve">                                        </w:t>
      </w:r>
      <w:r>
        <w:rPr>
          <w:rFonts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p>
    <w:p w14:paraId="3DA735C8">
      <w:pPr>
        <w:adjustRightInd w:val="0"/>
        <w:snapToGrid w:val="0"/>
        <w:spacing w:line="360" w:lineRule="auto"/>
        <w:ind w:firstLine="482" w:firstLineChars="200"/>
        <w:jc w:val="left"/>
        <w:rPr>
          <w:rFonts w:hint="eastAsia" w:ascii="宋体" w:hAnsi="宋体" w:eastAsia="宋体" w:cs="宋体"/>
          <w:b/>
          <w:snapToGrid w:val="0"/>
          <w:color w:val="auto"/>
          <w:kern w:val="13"/>
          <w:sz w:val="24"/>
          <w:highlight w:val="none"/>
          <w:u w:val="single"/>
        </w:rPr>
      </w:pPr>
      <w:r>
        <w:rPr>
          <w:rFonts w:hint="eastAsia" w:ascii="宋体" w:hAnsi="宋体" w:eastAsia="宋体" w:cs="宋体"/>
          <w:b/>
          <w:snapToGrid w:val="0"/>
          <w:color w:val="auto"/>
          <w:kern w:val="13"/>
          <w:sz w:val="24"/>
          <w:highlight w:val="none"/>
        </w:rPr>
        <w:t>法定代表人：</w:t>
      </w:r>
      <w:r>
        <w:rPr>
          <w:rFonts w:hint="eastAsia" w:ascii="宋体" w:hAnsi="宋体" w:eastAsia="宋体" w:cs="宋体"/>
          <w:b/>
          <w:snapToGrid w:val="0"/>
          <w:color w:val="auto"/>
          <w:kern w:val="13"/>
          <w:sz w:val="24"/>
          <w:highlight w:val="none"/>
          <w:u w:val="single"/>
        </w:rPr>
        <w:t xml:space="preserve">                                                          </w:t>
      </w:r>
      <w:r>
        <w:rPr>
          <w:rFonts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p>
    <w:p w14:paraId="3ADFF00B">
      <w:pPr>
        <w:adjustRightInd w:val="0"/>
        <w:snapToGrid w:val="0"/>
        <w:spacing w:after="240" w:afterLines="100" w:line="360" w:lineRule="auto"/>
        <w:ind w:firstLine="482" w:firstLineChars="200"/>
        <w:jc w:val="left"/>
        <w:rPr>
          <w:rFonts w:hint="eastAsia" w:ascii="宋体" w:hAnsi="宋体" w:eastAsia="宋体" w:cs="宋体"/>
          <w:b/>
          <w:snapToGrid w:val="0"/>
          <w:color w:val="auto"/>
          <w:kern w:val="13"/>
          <w:sz w:val="24"/>
          <w:highlight w:val="none"/>
          <w:u w:val="single"/>
        </w:rPr>
      </w:pPr>
      <w:r>
        <w:rPr>
          <w:rFonts w:hint="eastAsia" w:ascii="宋体" w:hAnsi="宋体" w:eastAsia="宋体" w:cs="宋体"/>
          <w:b/>
          <w:snapToGrid w:val="0"/>
          <w:color w:val="auto"/>
          <w:kern w:val="13"/>
          <w:sz w:val="24"/>
          <w:highlight w:val="none"/>
        </w:rPr>
        <w:t>通信地址：</w:t>
      </w:r>
      <w:r>
        <w:rPr>
          <w:rFonts w:hint="eastAsia"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lang w:eastAsia="zh-CN"/>
        </w:rPr>
        <w:t>广州市番禺区石碁镇桥山村内</w:t>
      </w:r>
      <w:r>
        <w:rPr>
          <w:rFonts w:hint="eastAsia" w:ascii="宋体" w:hAnsi="宋体" w:eastAsia="宋体" w:cs="宋体"/>
          <w:b/>
          <w:snapToGrid w:val="0"/>
          <w:color w:val="auto"/>
          <w:kern w:val="13"/>
          <w:sz w:val="24"/>
          <w:highlight w:val="none"/>
          <w:u w:val="single"/>
        </w:rPr>
        <w:t xml:space="preserve">                                  </w:t>
      </w:r>
      <w:r>
        <w:rPr>
          <w:rFonts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p>
    <w:p w14:paraId="7F04EA43">
      <w:pPr>
        <w:adjustRightInd w:val="0"/>
        <w:snapToGrid w:val="0"/>
        <w:spacing w:line="360" w:lineRule="auto"/>
        <w:ind w:firstLine="482" w:firstLineChars="200"/>
        <w:jc w:val="left"/>
        <w:rPr>
          <w:rFonts w:hint="eastAsia" w:ascii="宋体" w:hAnsi="宋体" w:eastAsia="宋体" w:cs="宋体"/>
          <w:b/>
          <w:snapToGrid w:val="0"/>
          <w:color w:val="auto"/>
          <w:kern w:val="13"/>
          <w:sz w:val="24"/>
          <w:highlight w:val="none"/>
          <w:u w:val="single"/>
        </w:rPr>
      </w:pPr>
      <w:r>
        <w:rPr>
          <w:rFonts w:hint="eastAsia" w:ascii="宋体" w:hAnsi="宋体" w:eastAsia="宋体" w:cs="宋体"/>
          <w:b/>
          <w:color w:val="auto"/>
          <w:sz w:val="24"/>
          <w:highlight w:val="none"/>
        </w:rPr>
        <w:t>乙方（承包人）（</w:t>
      </w:r>
      <w:r>
        <w:rPr>
          <w:rFonts w:hint="eastAsia" w:ascii="宋体" w:hAnsi="宋体" w:eastAsia="宋体" w:cs="宋体"/>
          <w:b/>
          <w:color w:val="auto"/>
          <w:sz w:val="24"/>
          <w:highlight w:val="none"/>
          <w:lang w:val="en-US" w:eastAsia="zh-CN"/>
        </w:rPr>
        <w:t>主办方/牵头方</w:t>
      </w:r>
      <w:r>
        <w:rPr>
          <w:rFonts w:hint="eastAsia" w:ascii="宋体" w:hAnsi="宋体" w:eastAsia="宋体" w:cs="宋体"/>
          <w:b/>
          <w:color w:val="auto"/>
          <w:sz w:val="24"/>
          <w:highlight w:val="none"/>
        </w:rPr>
        <w:t>）</w:t>
      </w:r>
      <w:r>
        <w:rPr>
          <w:rFonts w:hint="eastAsia" w:ascii="宋体" w:hAnsi="宋体" w:eastAsia="宋体" w:cs="宋体"/>
          <w:b/>
          <w:snapToGrid w:val="0"/>
          <w:color w:val="auto"/>
          <w:kern w:val="13"/>
          <w:sz w:val="24"/>
          <w:highlight w:val="none"/>
        </w:rPr>
        <w:t>：</w:t>
      </w:r>
      <w:r>
        <w:rPr>
          <w:rFonts w:hint="eastAsia" w:ascii="宋体" w:hAnsi="宋体" w:eastAsia="宋体" w:cs="宋体"/>
          <w:b/>
          <w:snapToGrid w:val="0"/>
          <w:color w:val="auto"/>
          <w:kern w:val="13"/>
          <w:sz w:val="24"/>
          <w:highlight w:val="none"/>
          <w:u w:val="single"/>
        </w:rPr>
        <w:t xml:space="preserve">                                                             </w:t>
      </w:r>
    </w:p>
    <w:p w14:paraId="631F373A">
      <w:pPr>
        <w:adjustRightInd w:val="0"/>
        <w:snapToGrid w:val="0"/>
        <w:spacing w:line="360" w:lineRule="auto"/>
        <w:ind w:firstLine="482" w:firstLineChars="200"/>
        <w:jc w:val="left"/>
        <w:rPr>
          <w:rFonts w:hint="eastAsia" w:ascii="宋体" w:hAnsi="宋体" w:eastAsia="宋体" w:cs="宋体"/>
          <w:b/>
          <w:snapToGrid w:val="0"/>
          <w:color w:val="auto"/>
          <w:kern w:val="13"/>
          <w:sz w:val="24"/>
          <w:highlight w:val="none"/>
          <w:u w:val="single"/>
        </w:rPr>
      </w:pPr>
      <w:r>
        <w:rPr>
          <w:rFonts w:hint="eastAsia" w:ascii="宋体" w:hAnsi="宋体" w:eastAsia="宋体" w:cs="宋体"/>
          <w:b/>
          <w:snapToGrid w:val="0"/>
          <w:color w:val="auto"/>
          <w:kern w:val="13"/>
          <w:sz w:val="24"/>
          <w:highlight w:val="none"/>
        </w:rPr>
        <w:t>法定代表人：</w:t>
      </w:r>
      <w:r>
        <w:rPr>
          <w:rFonts w:hint="eastAsia" w:ascii="宋体" w:hAnsi="宋体" w:eastAsia="宋体" w:cs="宋体"/>
          <w:b/>
          <w:color w:val="auto"/>
          <w:highlight w:val="none"/>
          <w:u w:val="single"/>
        </w:rPr>
        <w:t xml:space="preserve"> </w:t>
      </w:r>
      <w:r>
        <w:rPr>
          <w:rFonts w:hint="eastAsia" w:ascii="宋体" w:hAnsi="宋体" w:eastAsia="宋体" w:cs="宋体"/>
          <w:b/>
          <w:snapToGrid w:val="0"/>
          <w:color w:val="auto"/>
          <w:kern w:val="13"/>
          <w:sz w:val="24"/>
          <w:highlight w:val="none"/>
          <w:u w:val="single"/>
        </w:rPr>
        <w:t xml:space="preserve">                                                              </w:t>
      </w:r>
      <w:r>
        <w:rPr>
          <w:rFonts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p>
    <w:p w14:paraId="2BAFAEFC">
      <w:pPr>
        <w:adjustRightInd w:val="0"/>
        <w:snapToGrid w:val="0"/>
        <w:spacing w:after="240" w:afterLines="100" w:line="360" w:lineRule="auto"/>
        <w:ind w:firstLine="482" w:firstLineChars="200"/>
        <w:jc w:val="left"/>
        <w:rPr>
          <w:rFonts w:hint="eastAsia" w:ascii="宋体" w:hAnsi="宋体" w:eastAsia="宋体" w:cs="宋体"/>
          <w:b/>
          <w:snapToGrid w:val="0"/>
          <w:color w:val="auto"/>
          <w:kern w:val="13"/>
          <w:sz w:val="24"/>
          <w:highlight w:val="none"/>
          <w:u w:val="single"/>
        </w:rPr>
      </w:pPr>
      <w:r>
        <w:rPr>
          <w:rFonts w:hint="eastAsia" w:ascii="宋体" w:hAnsi="宋体" w:eastAsia="宋体" w:cs="宋体"/>
          <w:b/>
          <w:snapToGrid w:val="0"/>
          <w:color w:val="auto"/>
          <w:kern w:val="13"/>
          <w:sz w:val="24"/>
          <w:highlight w:val="none"/>
        </w:rPr>
        <w:t>通信地址：</w:t>
      </w:r>
      <w:r>
        <w:rPr>
          <w:rFonts w:hint="eastAsia" w:ascii="宋体" w:hAnsi="宋体" w:eastAsia="宋体" w:cs="宋体"/>
          <w:b/>
          <w:snapToGrid w:val="0"/>
          <w:color w:val="auto"/>
          <w:kern w:val="13"/>
          <w:sz w:val="24"/>
          <w:highlight w:val="none"/>
          <w:u w:val="single"/>
        </w:rPr>
        <w:t xml:space="preserve">                                                                  </w:t>
      </w:r>
      <w:r>
        <w:rPr>
          <w:rFonts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p>
    <w:p w14:paraId="22E544B8">
      <w:pPr>
        <w:adjustRightInd w:val="0"/>
        <w:snapToGrid w:val="0"/>
        <w:spacing w:line="360" w:lineRule="auto"/>
        <w:ind w:firstLine="482" w:firstLineChars="200"/>
        <w:jc w:val="left"/>
        <w:rPr>
          <w:rFonts w:hint="eastAsia" w:ascii="宋体" w:hAnsi="宋体" w:eastAsia="宋体" w:cs="宋体"/>
          <w:b/>
          <w:snapToGrid w:val="0"/>
          <w:color w:val="auto"/>
          <w:kern w:val="13"/>
          <w:sz w:val="24"/>
          <w:highlight w:val="none"/>
          <w:u w:val="single"/>
        </w:rPr>
      </w:pPr>
      <w:r>
        <w:rPr>
          <w:rFonts w:hint="eastAsia" w:ascii="宋体" w:hAnsi="宋体" w:eastAsia="宋体" w:cs="宋体"/>
          <w:b/>
          <w:color w:val="auto"/>
          <w:sz w:val="24"/>
          <w:highlight w:val="none"/>
        </w:rPr>
        <w:t>乙方（承包人）</w:t>
      </w:r>
      <w:r>
        <w:rPr>
          <w:rFonts w:hint="eastAsia" w:ascii="宋体" w:hAnsi="宋体" w:eastAsia="宋体" w:cs="宋体"/>
          <w:b/>
          <w:snapToGrid w:val="0"/>
          <w:color w:val="auto"/>
          <w:kern w:val="13"/>
          <w:sz w:val="24"/>
          <w:highlight w:val="none"/>
        </w:rPr>
        <w:t>(</w:t>
      </w:r>
      <w:r>
        <w:rPr>
          <w:rFonts w:hint="eastAsia" w:ascii="宋体" w:hAnsi="宋体" w:eastAsia="宋体" w:cs="宋体"/>
          <w:b/>
          <w:snapToGrid w:val="0"/>
          <w:color w:val="auto"/>
          <w:kern w:val="13"/>
          <w:sz w:val="24"/>
          <w:highlight w:val="none"/>
          <w:lang w:val="en-US" w:eastAsia="zh-CN"/>
        </w:rPr>
        <w:t>成员方</w:t>
      </w:r>
      <w:r>
        <w:rPr>
          <w:rFonts w:hint="eastAsia" w:ascii="宋体" w:hAnsi="宋体" w:eastAsia="宋体" w:cs="宋体"/>
          <w:b/>
          <w:snapToGrid w:val="0"/>
          <w:color w:val="auto"/>
          <w:kern w:val="13"/>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r>
        <w:rPr>
          <w:rFonts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p>
    <w:p w14:paraId="4C85FE19">
      <w:pPr>
        <w:adjustRightInd w:val="0"/>
        <w:snapToGrid w:val="0"/>
        <w:spacing w:line="360" w:lineRule="auto"/>
        <w:ind w:firstLine="482" w:firstLineChars="200"/>
        <w:jc w:val="left"/>
        <w:rPr>
          <w:rFonts w:hint="eastAsia" w:ascii="宋体" w:hAnsi="宋体" w:eastAsia="宋体" w:cs="宋体"/>
          <w:b/>
          <w:snapToGrid w:val="0"/>
          <w:color w:val="auto"/>
          <w:kern w:val="13"/>
          <w:sz w:val="24"/>
          <w:highlight w:val="none"/>
          <w:u w:val="single"/>
        </w:rPr>
      </w:pPr>
      <w:r>
        <w:rPr>
          <w:rFonts w:hint="eastAsia" w:ascii="宋体" w:hAnsi="宋体" w:eastAsia="宋体" w:cs="宋体"/>
          <w:b/>
          <w:snapToGrid w:val="0"/>
          <w:color w:val="auto"/>
          <w:kern w:val="13"/>
          <w:sz w:val="24"/>
          <w:highlight w:val="none"/>
        </w:rPr>
        <w:t>法定代表人：</w:t>
      </w:r>
      <w:r>
        <w:rPr>
          <w:rFonts w:hint="eastAsia" w:ascii="宋体" w:hAnsi="宋体" w:eastAsia="宋体" w:cs="宋体"/>
          <w:b/>
          <w:snapToGrid w:val="0"/>
          <w:color w:val="auto"/>
          <w:kern w:val="13"/>
          <w:sz w:val="24"/>
          <w:highlight w:val="none"/>
          <w:u w:val="single"/>
        </w:rPr>
        <w:t xml:space="preserve">                                                 </w:t>
      </w:r>
      <w:r>
        <w:rPr>
          <w:rFonts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p>
    <w:p w14:paraId="31BC4D46">
      <w:pPr>
        <w:autoSpaceDE w:val="0"/>
        <w:autoSpaceDN w:val="0"/>
        <w:adjustRightInd w:val="0"/>
        <w:snapToGrid w:val="0"/>
        <w:spacing w:after="240" w:afterLines="100" w:line="360" w:lineRule="auto"/>
        <w:ind w:firstLine="482" w:firstLineChars="200"/>
        <w:jc w:val="left"/>
        <w:rPr>
          <w:rFonts w:hint="eastAsia" w:ascii="宋体" w:hAnsi="宋体" w:eastAsia="宋体" w:cs="宋体"/>
          <w:color w:val="auto"/>
          <w:spacing w:val="1"/>
          <w:kern w:val="0"/>
          <w:position w:val="-3"/>
          <w:sz w:val="24"/>
          <w:highlight w:val="none"/>
        </w:rPr>
      </w:pPr>
      <w:r>
        <w:rPr>
          <w:rFonts w:hint="eastAsia" w:ascii="宋体" w:hAnsi="宋体" w:eastAsia="宋体" w:cs="宋体"/>
          <w:b/>
          <w:snapToGrid w:val="0"/>
          <w:color w:val="auto"/>
          <w:kern w:val="13"/>
          <w:sz w:val="24"/>
          <w:highlight w:val="none"/>
        </w:rPr>
        <w:t>通信地址：</w:t>
      </w:r>
      <w:r>
        <w:rPr>
          <w:rFonts w:hint="eastAsia" w:ascii="宋体" w:hAnsi="宋体" w:eastAsia="宋体" w:cs="宋体"/>
          <w:b/>
          <w:snapToGrid w:val="0"/>
          <w:color w:val="auto"/>
          <w:kern w:val="13"/>
          <w:sz w:val="24"/>
          <w:highlight w:val="none"/>
          <w:u w:val="single"/>
        </w:rPr>
        <w:t xml:space="preserve">                                                      </w:t>
      </w:r>
      <w:r>
        <w:rPr>
          <w:rFonts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r>
        <w:rPr>
          <w:rFonts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p>
    <w:p w14:paraId="40825B74">
      <w:pPr>
        <w:adjustRightInd w:val="0"/>
        <w:snapToGrid w:val="0"/>
        <w:spacing w:line="360" w:lineRule="auto"/>
        <w:ind w:firstLine="482" w:firstLineChars="200"/>
        <w:jc w:val="left"/>
        <w:rPr>
          <w:rFonts w:hint="eastAsia" w:ascii="宋体" w:hAnsi="宋体" w:eastAsia="宋体" w:cs="宋体"/>
          <w:b/>
          <w:snapToGrid w:val="0"/>
          <w:color w:val="auto"/>
          <w:kern w:val="13"/>
          <w:sz w:val="24"/>
          <w:highlight w:val="none"/>
          <w:u w:val="single"/>
        </w:rPr>
      </w:pPr>
      <w:r>
        <w:rPr>
          <w:rFonts w:hint="eastAsia" w:ascii="宋体" w:hAnsi="宋体" w:eastAsia="宋体" w:cs="宋体"/>
          <w:b/>
          <w:color w:val="auto"/>
          <w:sz w:val="24"/>
          <w:highlight w:val="none"/>
        </w:rPr>
        <w:t>乙方（承包人）</w:t>
      </w:r>
      <w:r>
        <w:rPr>
          <w:rFonts w:hint="eastAsia" w:ascii="宋体" w:hAnsi="宋体" w:eastAsia="宋体" w:cs="宋体"/>
          <w:b/>
          <w:snapToGrid w:val="0"/>
          <w:color w:val="auto"/>
          <w:kern w:val="13"/>
          <w:sz w:val="24"/>
          <w:highlight w:val="none"/>
        </w:rPr>
        <w:t>(</w:t>
      </w:r>
      <w:r>
        <w:rPr>
          <w:rFonts w:hint="eastAsia" w:ascii="宋体" w:hAnsi="宋体" w:eastAsia="宋体" w:cs="宋体"/>
          <w:b/>
          <w:snapToGrid w:val="0"/>
          <w:color w:val="auto"/>
          <w:kern w:val="13"/>
          <w:sz w:val="24"/>
          <w:highlight w:val="none"/>
          <w:lang w:val="en-US" w:eastAsia="zh-CN"/>
        </w:rPr>
        <w:t>成员方</w:t>
      </w:r>
      <w:r>
        <w:rPr>
          <w:rFonts w:hint="eastAsia" w:ascii="宋体" w:hAnsi="宋体" w:eastAsia="宋体" w:cs="宋体"/>
          <w:b/>
          <w:snapToGrid w:val="0"/>
          <w:color w:val="auto"/>
          <w:kern w:val="13"/>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r>
        <w:rPr>
          <w:rFonts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p>
    <w:p w14:paraId="551143CA">
      <w:pPr>
        <w:adjustRightInd w:val="0"/>
        <w:snapToGrid w:val="0"/>
        <w:spacing w:line="360" w:lineRule="auto"/>
        <w:ind w:firstLine="482" w:firstLineChars="200"/>
        <w:jc w:val="left"/>
        <w:rPr>
          <w:rFonts w:hint="eastAsia" w:ascii="宋体" w:hAnsi="宋体" w:eastAsia="宋体" w:cs="宋体"/>
          <w:b/>
          <w:snapToGrid w:val="0"/>
          <w:color w:val="auto"/>
          <w:kern w:val="13"/>
          <w:sz w:val="24"/>
          <w:highlight w:val="none"/>
          <w:u w:val="single"/>
        </w:rPr>
      </w:pPr>
      <w:r>
        <w:rPr>
          <w:rFonts w:hint="eastAsia" w:ascii="宋体" w:hAnsi="宋体" w:eastAsia="宋体" w:cs="宋体"/>
          <w:b/>
          <w:snapToGrid w:val="0"/>
          <w:color w:val="auto"/>
          <w:kern w:val="13"/>
          <w:sz w:val="24"/>
          <w:highlight w:val="none"/>
        </w:rPr>
        <w:t>法定代表人：</w:t>
      </w:r>
      <w:r>
        <w:rPr>
          <w:rFonts w:hint="eastAsia" w:ascii="宋体" w:hAnsi="宋体" w:eastAsia="宋体" w:cs="宋体"/>
          <w:b/>
          <w:snapToGrid w:val="0"/>
          <w:color w:val="auto"/>
          <w:kern w:val="13"/>
          <w:sz w:val="24"/>
          <w:highlight w:val="none"/>
          <w:u w:val="single"/>
        </w:rPr>
        <w:t xml:space="preserve">                                                            </w:t>
      </w:r>
      <w:r>
        <w:rPr>
          <w:rFonts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p>
    <w:p w14:paraId="47C9F91D">
      <w:pPr>
        <w:adjustRightInd w:val="0"/>
        <w:snapToGrid w:val="0"/>
        <w:spacing w:after="240" w:afterLines="100" w:line="360" w:lineRule="auto"/>
        <w:ind w:firstLine="482" w:firstLineChars="200"/>
        <w:jc w:val="left"/>
        <w:rPr>
          <w:rFonts w:hint="eastAsia" w:ascii="宋体" w:hAnsi="宋体" w:eastAsia="宋体" w:cs="宋体"/>
          <w:color w:val="auto"/>
          <w:spacing w:val="1"/>
          <w:kern w:val="0"/>
          <w:position w:val="-3"/>
          <w:sz w:val="24"/>
          <w:highlight w:val="none"/>
        </w:rPr>
      </w:pPr>
      <w:r>
        <w:rPr>
          <w:rFonts w:hint="eastAsia" w:ascii="宋体" w:hAnsi="宋体" w:eastAsia="宋体" w:cs="宋体"/>
          <w:b/>
          <w:snapToGrid w:val="0"/>
          <w:color w:val="auto"/>
          <w:kern w:val="13"/>
          <w:sz w:val="24"/>
          <w:highlight w:val="none"/>
        </w:rPr>
        <w:t>通信地址：</w:t>
      </w:r>
      <w:r>
        <w:rPr>
          <w:rFonts w:hint="eastAsia" w:ascii="宋体" w:hAnsi="宋体" w:eastAsia="宋体" w:cs="宋体"/>
          <w:b/>
          <w:snapToGrid w:val="0"/>
          <w:color w:val="auto"/>
          <w:kern w:val="13"/>
          <w:sz w:val="24"/>
          <w:highlight w:val="none"/>
          <w:u w:val="single"/>
        </w:rPr>
        <w:t xml:space="preserve">                                                                 </w:t>
      </w:r>
      <w:r>
        <w:rPr>
          <w:rFonts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p>
    <w:p w14:paraId="1B5A3653">
      <w:pPr>
        <w:autoSpaceDE w:val="0"/>
        <w:autoSpaceDN w:val="0"/>
        <w:adjustRightInd w:val="0"/>
        <w:spacing w:line="360" w:lineRule="auto"/>
        <w:ind w:right="81" w:firstLine="578" w:firstLineChars="239"/>
        <w:rPr>
          <w:rFonts w:hint="eastAsia" w:ascii="宋体" w:hAnsi="宋体" w:eastAsia="宋体" w:cs="宋体"/>
          <w:color w:val="auto"/>
          <w:kern w:val="0"/>
          <w:sz w:val="24"/>
          <w:highlight w:val="none"/>
        </w:rPr>
      </w:pPr>
      <w:r>
        <w:rPr>
          <w:rFonts w:hint="eastAsia" w:ascii="宋体" w:hAnsi="宋体" w:eastAsia="宋体" w:cs="宋体"/>
          <w:color w:val="auto"/>
          <w:spacing w:val="1"/>
          <w:kern w:val="0"/>
          <w:position w:val="-3"/>
          <w:sz w:val="24"/>
          <w:highlight w:val="none"/>
        </w:rPr>
        <w:t>依照《中华人民共和国民法典》、《中华人民共和国建筑法》及</w:t>
      </w:r>
      <w:r>
        <w:rPr>
          <w:rFonts w:hint="eastAsia" w:ascii="宋体" w:hAnsi="宋体" w:eastAsia="宋体" w:cs="宋体"/>
          <w:color w:val="auto"/>
          <w:kern w:val="0"/>
          <w:position w:val="-3"/>
          <w:sz w:val="24"/>
          <w:highlight w:val="none"/>
        </w:rPr>
        <w:t>其</w:t>
      </w:r>
      <w:r>
        <w:rPr>
          <w:rFonts w:hint="eastAsia" w:ascii="宋体" w:hAnsi="宋体" w:eastAsia="宋体" w:cs="宋体"/>
          <w:color w:val="auto"/>
          <w:spacing w:val="1"/>
          <w:kern w:val="0"/>
          <w:position w:val="-3"/>
          <w:sz w:val="24"/>
          <w:highlight w:val="none"/>
        </w:rPr>
        <w:t>他有关法律法规，遵循平</w:t>
      </w:r>
      <w:r>
        <w:rPr>
          <w:rFonts w:hint="eastAsia" w:ascii="宋体" w:hAnsi="宋体" w:eastAsia="宋体" w:cs="宋体"/>
          <w:color w:val="auto"/>
          <w:kern w:val="0"/>
          <w:sz w:val="24"/>
          <w:highlight w:val="none"/>
        </w:rPr>
        <w:t>等、自愿、公平和诚实信用</w:t>
      </w:r>
      <w:r>
        <w:rPr>
          <w:rFonts w:hint="eastAsia" w:ascii="宋体" w:hAnsi="宋体" w:eastAsia="宋体" w:cs="宋体"/>
          <w:color w:val="auto"/>
          <w:spacing w:val="2"/>
          <w:kern w:val="0"/>
          <w:sz w:val="24"/>
          <w:highlight w:val="none"/>
        </w:rPr>
        <w:t>的</w:t>
      </w:r>
      <w:r>
        <w:rPr>
          <w:rFonts w:hint="eastAsia" w:ascii="宋体" w:hAnsi="宋体" w:eastAsia="宋体" w:cs="宋体"/>
          <w:color w:val="auto"/>
          <w:kern w:val="0"/>
          <w:sz w:val="24"/>
          <w:highlight w:val="none"/>
        </w:rPr>
        <w:t>原则，合同各方当事人就合同工</w:t>
      </w:r>
      <w:r>
        <w:rPr>
          <w:rFonts w:hint="eastAsia" w:ascii="宋体" w:hAnsi="宋体" w:eastAsia="宋体" w:cs="宋体"/>
          <w:color w:val="auto"/>
          <w:spacing w:val="2"/>
          <w:kern w:val="0"/>
          <w:sz w:val="24"/>
          <w:highlight w:val="none"/>
        </w:rPr>
        <w:t>程勘察、设计、</w:t>
      </w:r>
      <w:r>
        <w:rPr>
          <w:rFonts w:hint="eastAsia" w:ascii="宋体" w:hAnsi="宋体" w:eastAsia="宋体" w:cs="宋体"/>
          <w:color w:val="auto"/>
          <w:kern w:val="0"/>
          <w:sz w:val="24"/>
          <w:highlight w:val="none"/>
        </w:rPr>
        <w:t>施工总承包及物业运营管理有关事项达成一</w:t>
      </w:r>
      <w:r>
        <w:rPr>
          <w:rFonts w:hint="eastAsia" w:ascii="宋体" w:hAnsi="宋体" w:eastAsia="宋体" w:cs="宋体"/>
          <w:color w:val="auto"/>
          <w:spacing w:val="2"/>
          <w:kern w:val="0"/>
          <w:sz w:val="24"/>
          <w:highlight w:val="none"/>
        </w:rPr>
        <w:t>致</w:t>
      </w:r>
      <w:r>
        <w:rPr>
          <w:rFonts w:hint="eastAsia" w:ascii="宋体" w:hAnsi="宋体" w:eastAsia="宋体" w:cs="宋体"/>
          <w:color w:val="auto"/>
          <w:kern w:val="0"/>
          <w:sz w:val="24"/>
          <w:highlight w:val="none"/>
        </w:rPr>
        <w:t>意</w:t>
      </w:r>
      <w:r>
        <w:rPr>
          <w:rFonts w:hint="eastAsia" w:ascii="宋体" w:hAnsi="宋体" w:eastAsia="宋体" w:cs="宋体"/>
          <w:color w:val="auto"/>
          <w:spacing w:val="2"/>
          <w:kern w:val="0"/>
          <w:sz w:val="24"/>
          <w:highlight w:val="none"/>
        </w:rPr>
        <w:t>见</w:t>
      </w:r>
      <w:r>
        <w:rPr>
          <w:rFonts w:hint="eastAsia" w:ascii="宋体" w:hAnsi="宋体" w:eastAsia="宋体" w:cs="宋体"/>
          <w:color w:val="auto"/>
          <w:kern w:val="0"/>
          <w:sz w:val="24"/>
          <w:highlight w:val="none"/>
        </w:rPr>
        <w:t xml:space="preserve">，订立本协议书。 </w:t>
      </w:r>
    </w:p>
    <w:p w14:paraId="39457AF7">
      <w:pPr>
        <w:pStyle w:val="116"/>
        <w:spacing w:line="360" w:lineRule="auto"/>
        <w:rPr>
          <w:rFonts w:hint="eastAsia" w:ascii="宋体" w:hAnsi="宋体" w:eastAsia="宋体" w:cs="宋体"/>
          <w:b/>
          <w:bCs w:val="0"/>
          <w:color w:val="auto"/>
          <w:highlight w:val="none"/>
        </w:rPr>
      </w:pPr>
      <w:bookmarkStart w:id="2" w:name="_Toc287627914"/>
      <w:r>
        <w:rPr>
          <w:rFonts w:hint="eastAsia" w:ascii="宋体" w:hAnsi="宋体" w:eastAsia="宋体" w:cs="宋体"/>
          <w:b/>
          <w:bCs w:val="0"/>
          <w:color w:val="auto"/>
          <w:highlight w:val="none"/>
        </w:rPr>
        <w:t>一、工程概况</w:t>
      </w:r>
      <w:bookmarkEnd w:id="2"/>
    </w:p>
    <w:p w14:paraId="4BC2C106">
      <w:pPr>
        <w:autoSpaceDE w:val="0"/>
        <w:autoSpaceDN w:val="0"/>
        <w:adjustRightInd w:val="0"/>
        <w:spacing w:line="360" w:lineRule="auto"/>
        <w:ind w:right="930"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1、工程名称：</w:t>
      </w:r>
      <w:r>
        <w:rPr>
          <w:rFonts w:hint="eastAsia" w:ascii="宋体" w:hAnsi="宋体" w:eastAsia="宋体" w:cs="宋体"/>
          <w:color w:val="auto"/>
          <w:sz w:val="24"/>
          <w:highlight w:val="none"/>
          <w:u w:val="single"/>
          <w:lang w:eastAsia="zh-CN"/>
        </w:rPr>
        <w:t>番禺区桥山村村镇工业集聚区更新改造试点项目（一期、二期、三期）勘察设计施工总承包及运营（EPCO）</w:t>
      </w:r>
      <w:r>
        <w:rPr>
          <w:rFonts w:hint="eastAsia" w:ascii="宋体" w:hAnsi="宋体" w:eastAsia="宋体" w:cs="宋体"/>
          <w:color w:val="auto"/>
          <w:kern w:val="0"/>
          <w:sz w:val="24"/>
          <w:highlight w:val="none"/>
          <w:u w:val="single"/>
        </w:rPr>
        <w:t>。</w:t>
      </w:r>
    </w:p>
    <w:p w14:paraId="4DCD6B9A">
      <w:pPr>
        <w:autoSpaceDE w:val="0"/>
        <w:autoSpaceDN w:val="0"/>
        <w:adjustRightInd w:val="0"/>
        <w:spacing w:line="360" w:lineRule="auto"/>
        <w:ind w:right="930"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2、工程地点：</w:t>
      </w:r>
      <w:r>
        <w:rPr>
          <w:rFonts w:hint="eastAsia" w:ascii="宋体" w:hAnsi="宋体" w:eastAsia="宋体" w:cs="宋体"/>
          <w:color w:val="auto"/>
          <w:kern w:val="0"/>
          <w:sz w:val="24"/>
          <w:highlight w:val="none"/>
          <w:u w:val="single"/>
          <w:lang w:eastAsia="zh-CN"/>
        </w:rPr>
        <w:t>广州市番禺区石碁镇桥山村内</w:t>
      </w:r>
      <w:r>
        <w:rPr>
          <w:rFonts w:hint="eastAsia" w:ascii="宋体" w:hAnsi="宋体" w:eastAsia="宋体" w:cs="宋体"/>
          <w:color w:val="auto"/>
          <w:kern w:val="0"/>
          <w:sz w:val="24"/>
          <w:highlight w:val="none"/>
          <w:u w:val="single"/>
        </w:rPr>
        <w:t xml:space="preserve"> 。</w:t>
      </w:r>
    </w:p>
    <w:p w14:paraId="50C18D4F">
      <w:pPr>
        <w:spacing w:line="360" w:lineRule="auto"/>
        <w:ind w:firstLine="480" w:firstLineChars="200"/>
        <w:jc w:val="left"/>
        <w:rPr>
          <w:rFonts w:hint="eastAsia" w:ascii="宋体" w:hAnsi="宋体" w:eastAsia="宋体" w:cs="Times New Roman"/>
          <w:bCs/>
          <w:color w:val="auto"/>
          <w:sz w:val="24"/>
          <w:szCs w:val="24"/>
          <w:highlight w:val="none"/>
          <w:u w:val="single"/>
          <w:lang w:val="en-US" w:eastAsia="zh-CN"/>
        </w:rPr>
      </w:pPr>
      <w:r>
        <w:rPr>
          <w:rFonts w:hint="eastAsia" w:ascii="宋体" w:hAnsi="宋体" w:eastAsia="宋体" w:cs="宋体"/>
          <w:color w:val="auto"/>
          <w:kern w:val="0"/>
          <w:sz w:val="24"/>
          <w:highlight w:val="none"/>
        </w:rPr>
        <w:t>3、工程规模和建设内容：</w:t>
      </w:r>
      <w:r>
        <w:rPr>
          <w:rFonts w:hint="eastAsia" w:ascii="宋体" w:hAnsi="宋体" w:eastAsia="宋体" w:cs="Times New Roman"/>
          <w:bCs/>
          <w:color w:val="auto"/>
          <w:sz w:val="24"/>
          <w:szCs w:val="24"/>
          <w:highlight w:val="none"/>
          <w:u w:val="single"/>
          <w:lang w:val="en-US" w:eastAsia="zh-CN"/>
        </w:rPr>
        <w:t>本项目采用EPCO的建设管理模式，项目规划总用地面积约111084平方米，建筑占地约80332平方米。计划分一、二、三期完成全部建设。</w:t>
      </w:r>
    </w:p>
    <w:p w14:paraId="095FC719">
      <w:pPr>
        <w:spacing w:line="360" w:lineRule="auto"/>
        <w:ind w:firstLine="480" w:firstLineChars="200"/>
        <w:jc w:val="left"/>
        <w:rPr>
          <w:rFonts w:hint="eastAsia" w:ascii="宋体" w:hAnsi="宋体" w:eastAsia="宋体" w:cs="Times New Roman"/>
          <w:bCs/>
          <w:color w:val="auto"/>
          <w:sz w:val="24"/>
          <w:szCs w:val="24"/>
          <w:highlight w:val="none"/>
          <w:u w:val="single"/>
          <w:lang w:val="en-US" w:eastAsia="zh-CN"/>
        </w:rPr>
      </w:pPr>
      <w:r>
        <w:rPr>
          <w:rFonts w:hint="eastAsia" w:ascii="宋体" w:hAnsi="宋体" w:eastAsia="宋体" w:cs="Times New Roman"/>
          <w:bCs/>
          <w:color w:val="auto"/>
          <w:sz w:val="24"/>
          <w:szCs w:val="24"/>
          <w:highlight w:val="none"/>
          <w:u w:val="single"/>
          <w:lang w:val="en-US" w:eastAsia="zh-CN"/>
        </w:rPr>
        <w:t>项目（一期）规划总用地面积为36219.95㎡（约合54.3亩），总建筑面积108202.93㎡（含地上建筑面积105526.93㎡，地下2676㎡），地块规划15栋建筑物（含12栋厂房、1栋宿舍、1栋社区卫生服务中心、1栋商业）；</w:t>
      </w:r>
    </w:p>
    <w:p w14:paraId="37C18A5E">
      <w:pPr>
        <w:spacing w:line="360" w:lineRule="auto"/>
        <w:ind w:firstLine="480" w:firstLineChars="200"/>
        <w:jc w:val="left"/>
        <w:rPr>
          <w:rFonts w:hint="eastAsia" w:ascii="宋体" w:hAnsi="宋体" w:eastAsia="宋体" w:cs="Times New Roman"/>
          <w:bCs/>
          <w:color w:val="auto"/>
          <w:sz w:val="24"/>
          <w:szCs w:val="24"/>
          <w:highlight w:val="none"/>
          <w:u w:val="single"/>
          <w:lang w:val="en-US" w:eastAsia="zh-CN"/>
        </w:rPr>
      </w:pPr>
      <w:r>
        <w:rPr>
          <w:rFonts w:hint="eastAsia" w:ascii="宋体" w:hAnsi="宋体" w:eastAsia="宋体" w:cs="Times New Roman"/>
          <w:bCs/>
          <w:color w:val="auto"/>
          <w:sz w:val="24"/>
          <w:szCs w:val="24"/>
          <w:highlight w:val="none"/>
          <w:u w:val="single"/>
          <w:lang w:val="en-US" w:eastAsia="zh-CN"/>
        </w:rPr>
        <w:t>项目（二期）规划总用地面积为25370.73㎡（约合38.06亩），总建筑面积78320㎡（含地上建筑面积76320㎡，地下2000㎡），地块规划5栋建筑物（含2栋多层厂房、3栋高层厂房）；</w:t>
      </w:r>
    </w:p>
    <w:p w14:paraId="1EC0F10A">
      <w:pPr>
        <w:autoSpaceDE/>
        <w:autoSpaceDN/>
        <w:adjustRightInd/>
        <w:spacing w:line="360" w:lineRule="auto"/>
        <w:ind w:right="0" w:firstLine="480" w:firstLineChars="200"/>
        <w:jc w:val="left"/>
        <w:rPr>
          <w:rFonts w:hint="eastAsia" w:ascii="宋体" w:hAnsi="宋体" w:eastAsia="宋体" w:cs="宋体"/>
          <w:color w:val="auto"/>
          <w:kern w:val="0"/>
          <w:sz w:val="24"/>
          <w:highlight w:val="none"/>
        </w:rPr>
      </w:pPr>
      <w:r>
        <w:rPr>
          <w:rFonts w:hint="eastAsia" w:ascii="宋体" w:hAnsi="宋体" w:eastAsia="宋体" w:cs="Times New Roman"/>
          <w:bCs/>
          <w:color w:val="auto"/>
          <w:sz w:val="24"/>
          <w:szCs w:val="24"/>
          <w:highlight w:val="none"/>
          <w:u w:val="single"/>
          <w:lang w:val="en-US" w:eastAsia="zh-CN"/>
        </w:rPr>
        <w:t>项目（三期）规划总用地面积为18740.8㎡（约合28.11亩），总建筑面积58502.5㎡（含地上建筑面积57502.5㎡，地下1000㎡），地块规划6栋建筑物（含5栋厂房、1栋首末站）。</w:t>
      </w:r>
    </w:p>
    <w:p w14:paraId="33BE4ABE">
      <w:pPr>
        <w:autoSpaceDE w:val="0"/>
        <w:autoSpaceDN w:val="0"/>
        <w:adjustRightInd w:val="0"/>
        <w:spacing w:line="360" w:lineRule="auto"/>
        <w:ind w:right="930"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4、广东省建设项目投资备案证编号：</w:t>
      </w:r>
      <w:r>
        <w:rPr>
          <w:rFonts w:hint="eastAsia" w:ascii="宋体" w:hAnsi="宋体" w:eastAsia="宋体" w:cs="宋体"/>
          <w:color w:val="auto"/>
          <w:kern w:val="0"/>
          <w:sz w:val="24"/>
          <w:highlight w:val="none"/>
          <w:u w:val="single"/>
        </w:rPr>
        <w:t xml:space="preserve">  [2501-440113-04-01-122263][2501-440113-04-01-903327][2501-440</w:t>
      </w:r>
      <w:r>
        <w:rPr>
          <w:rFonts w:hint="eastAsia" w:ascii="宋体" w:hAnsi="宋体" w:eastAsia="宋体" w:cs="宋体"/>
          <w:color w:val="auto"/>
          <w:kern w:val="0"/>
          <w:sz w:val="24"/>
          <w:highlight w:val="none"/>
          <w:u w:val="single"/>
          <w:lang w:val="en-US" w:eastAsia="zh-CN"/>
        </w:rPr>
        <w:t>113</w:t>
      </w:r>
      <w:bookmarkStart w:id="305" w:name="_GoBack"/>
      <w:bookmarkEnd w:id="305"/>
      <w:r>
        <w:rPr>
          <w:rFonts w:hint="eastAsia" w:ascii="宋体" w:hAnsi="宋体" w:eastAsia="宋体" w:cs="宋体"/>
          <w:color w:val="auto"/>
          <w:kern w:val="0"/>
          <w:sz w:val="24"/>
          <w:highlight w:val="none"/>
          <w:u w:val="single"/>
        </w:rPr>
        <w:t>-04-01-768738] 。</w:t>
      </w:r>
    </w:p>
    <w:p w14:paraId="793FD632">
      <w:pPr>
        <w:autoSpaceDE w:val="0"/>
        <w:autoSpaceDN w:val="0"/>
        <w:adjustRightInd w:val="0"/>
        <w:spacing w:line="360" w:lineRule="auto"/>
        <w:ind w:right="930"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5、资金来源：</w:t>
      </w:r>
      <w:r>
        <w:rPr>
          <w:rFonts w:hint="eastAsia" w:ascii="宋体" w:hAnsi="宋体" w:eastAsia="宋体" w:cs="宋体"/>
          <w:color w:val="auto"/>
          <w:kern w:val="0"/>
          <w:sz w:val="24"/>
          <w:highlight w:val="none"/>
          <w:u w:val="single"/>
        </w:rPr>
        <w:t xml:space="preserve"> 村集体自筹资金 。</w:t>
      </w:r>
    </w:p>
    <w:p w14:paraId="6AE8F9AE">
      <w:pPr>
        <w:pStyle w:val="116"/>
        <w:spacing w:line="360" w:lineRule="auto"/>
        <w:rPr>
          <w:rFonts w:hint="eastAsia" w:ascii="宋体" w:hAnsi="宋体" w:eastAsia="宋体" w:cs="宋体"/>
          <w:b/>
          <w:bCs w:val="0"/>
          <w:color w:val="auto"/>
          <w:highlight w:val="none"/>
        </w:rPr>
      </w:pPr>
      <w:bookmarkStart w:id="3" w:name="_Toc287627915"/>
      <w:r>
        <w:rPr>
          <w:rFonts w:hint="eastAsia" w:ascii="宋体" w:hAnsi="宋体" w:eastAsia="宋体" w:cs="宋体"/>
          <w:b/>
          <w:bCs w:val="0"/>
          <w:color w:val="auto"/>
          <w:highlight w:val="none"/>
        </w:rPr>
        <w:t>二、工程承包范围及承包方式</w:t>
      </w:r>
      <w:bookmarkEnd w:id="3"/>
    </w:p>
    <w:p w14:paraId="7100FFA5">
      <w:pPr>
        <w:autoSpaceDE w:val="0"/>
        <w:autoSpaceDN w:val="0"/>
        <w:adjustRightIn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（一）工程承包方式：</w:t>
      </w:r>
    </w:p>
    <w:p w14:paraId="2E95D42D">
      <w:pPr>
        <w:autoSpaceDE w:val="0"/>
        <w:autoSpaceDN w:val="0"/>
        <w:adjustRightInd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1、EPC</w:t>
      </w:r>
      <w:r>
        <w:rPr>
          <w:rFonts w:ascii="宋体" w:hAnsi="宋体" w:eastAsia="宋体" w:cs="宋体"/>
          <w:color w:val="auto"/>
          <w:kern w:val="0"/>
          <w:sz w:val="24"/>
          <w:highlight w:val="none"/>
        </w:rPr>
        <w:t>+</w:t>
      </w:r>
      <w:r>
        <w:rPr>
          <w:rFonts w:hint="eastAsia" w:ascii="宋体" w:hAnsi="宋体" w:eastAsia="宋体" w:cs="宋体"/>
          <w:color w:val="auto"/>
          <w:kern w:val="0"/>
          <w:sz w:val="24"/>
          <w:highlight w:val="none"/>
        </w:rPr>
        <w:t>O</w:t>
      </w:r>
      <w:r>
        <w:rPr>
          <w:rFonts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rPr>
        <w:t>，即勘察</w:t>
      </w:r>
      <w:r>
        <w:rPr>
          <w:rFonts w:hint="eastAsia" w:ascii="宋体" w:hAnsi="宋体" w:eastAsia="宋体" w:cs="宋体"/>
          <w:color w:val="auto"/>
          <w:sz w:val="24"/>
          <w:highlight w:val="none"/>
        </w:rPr>
        <w:t>设计施工总承包及运营（EPCO）。</w:t>
      </w:r>
      <w:r>
        <w:rPr>
          <w:rFonts w:ascii="宋体" w:hAnsi="宋体" w:eastAsia="宋体" w:cs="宋体"/>
          <w:color w:val="auto"/>
          <w:sz w:val="24"/>
          <w:highlight w:val="none"/>
        </w:rPr>
        <w:t>包勘察、包设计（含深化设计）、包</w:t>
      </w:r>
      <w:r>
        <w:rPr>
          <w:rFonts w:hint="eastAsia" w:ascii="宋体" w:hAnsi="宋体" w:eastAsia="宋体" w:cs="宋体"/>
          <w:color w:val="auto"/>
          <w:sz w:val="24"/>
          <w:highlight w:val="none"/>
        </w:rPr>
        <w:t>工程</w:t>
      </w:r>
      <w:r>
        <w:rPr>
          <w:rFonts w:ascii="宋体" w:hAnsi="宋体" w:eastAsia="宋体" w:cs="宋体"/>
          <w:color w:val="auto"/>
          <w:sz w:val="24"/>
          <w:highlight w:val="none"/>
        </w:rPr>
        <w:t>施工、包工</w:t>
      </w:r>
      <w:r>
        <w:rPr>
          <w:rFonts w:hint="eastAsia" w:ascii="宋体" w:hAnsi="宋体" w:eastAsia="宋体" w:cs="宋体"/>
          <w:color w:val="auto"/>
          <w:sz w:val="24"/>
          <w:highlight w:val="none"/>
        </w:rPr>
        <w:t>、</w:t>
      </w:r>
      <w:r>
        <w:rPr>
          <w:rFonts w:ascii="宋体" w:hAnsi="宋体" w:eastAsia="宋体" w:cs="宋体"/>
          <w:color w:val="auto"/>
          <w:sz w:val="24"/>
          <w:highlight w:val="none"/>
        </w:rPr>
        <w:t>包料、包工期、包质量、包安全、包文明施工、包验收通过、包</w:t>
      </w:r>
      <w:r>
        <w:rPr>
          <w:rFonts w:hint="eastAsia" w:ascii="宋体" w:hAnsi="宋体" w:eastAsia="宋体" w:cs="宋体"/>
          <w:color w:val="auto"/>
          <w:sz w:val="24"/>
          <w:highlight w:val="none"/>
        </w:rPr>
        <w:t>保修、包</w:t>
      </w:r>
      <w:r>
        <w:rPr>
          <w:rFonts w:ascii="宋体" w:hAnsi="宋体" w:eastAsia="宋体" w:cs="宋体"/>
          <w:color w:val="auto"/>
          <w:sz w:val="24"/>
          <w:highlight w:val="none"/>
        </w:rPr>
        <w:t>工程概、预算编制</w:t>
      </w:r>
      <w:r>
        <w:rPr>
          <w:rFonts w:hint="eastAsia" w:ascii="宋体" w:hAnsi="宋体" w:eastAsia="宋体" w:cs="宋体"/>
          <w:color w:val="auto"/>
          <w:sz w:val="24"/>
          <w:highlight w:val="none"/>
        </w:rPr>
        <w:t>、包变更预算</w:t>
      </w:r>
      <w:r>
        <w:rPr>
          <w:rFonts w:ascii="宋体" w:hAnsi="宋体" w:eastAsia="宋体" w:cs="宋体"/>
          <w:color w:val="auto"/>
          <w:sz w:val="24"/>
          <w:highlight w:val="none"/>
        </w:rPr>
        <w:t>及结</w:t>
      </w:r>
      <w:r>
        <w:rPr>
          <w:rFonts w:hint="eastAsia" w:ascii="宋体" w:hAnsi="宋体" w:eastAsia="宋体" w:cs="宋体"/>
          <w:color w:val="auto"/>
          <w:sz w:val="24"/>
          <w:highlight w:val="none"/>
        </w:rPr>
        <w:t>算编制、负责办理报建、报批及</w:t>
      </w:r>
      <w:r>
        <w:rPr>
          <w:rFonts w:hint="eastAsia" w:ascii="宋体" w:hAnsi="宋体" w:eastAsia="宋体" w:cs="宋体"/>
          <w:color w:val="auto"/>
          <w:sz w:val="24"/>
          <w:highlight w:val="none"/>
          <w:lang w:eastAsia="zh-CN"/>
        </w:rPr>
        <w:t>工业园</w:t>
      </w:r>
      <w:r>
        <w:rPr>
          <w:rFonts w:hint="eastAsia" w:ascii="宋体" w:hAnsi="宋体" w:eastAsia="宋体" w:cs="宋体"/>
          <w:color w:val="auto"/>
          <w:sz w:val="24"/>
          <w:highlight w:val="none"/>
        </w:rPr>
        <w:t>运营、产业招商、行业</w:t>
      </w:r>
      <w:r>
        <w:rPr>
          <w:rFonts w:hint="eastAsia" w:ascii="宋体" w:hAnsi="宋体" w:eastAsia="宋体" w:cs="宋体"/>
          <w:color w:val="auto"/>
          <w:kern w:val="0"/>
          <w:sz w:val="24"/>
          <w:highlight w:val="none"/>
        </w:rPr>
        <w:t>孵化</w:t>
      </w:r>
      <w:r>
        <w:rPr>
          <w:rFonts w:ascii="宋体" w:hAnsi="宋体" w:eastAsia="宋体" w:cs="宋体"/>
          <w:color w:val="auto"/>
          <w:sz w:val="24"/>
          <w:highlight w:val="none"/>
        </w:rPr>
        <w:t>、</w:t>
      </w:r>
      <w:r>
        <w:rPr>
          <w:rFonts w:hint="eastAsia" w:ascii="宋体" w:hAnsi="宋体" w:eastAsia="宋体" w:cs="宋体"/>
          <w:color w:val="auto"/>
          <w:sz w:val="24"/>
          <w:highlight w:val="none"/>
        </w:rPr>
        <w:t>品牌</w:t>
      </w:r>
      <w:r>
        <w:rPr>
          <w:rFonts w:ascii="宋体" w:hAnsi="宋体" w:eastAsia="宋体" w:cs="宋体"/>
          <w:color w:val="auto"/>
          <w:sz w:val="24"/>
          <w:highlight w:val="none"/>
        </w:rPr>
        <w:t>运营</w:t>
      </w:r>
      <w:r>
        <w:rPr>
          <w:rFonts w:hint="eastAsia" w:ascii="宋体" w:hAnsi="宋体" w:eastAsia="宋体" w:cs="宋体"/>
          <w:color w:val="auto"/>
          <w:sz w:val="24"/>
          <w:highlight w:val="none"/>
        </w:rPr>
        <w:t>、园区物业</w:t>
      </w:r>
      <w:r>
        <w:rPr>
          <w:rFonts w:ascii="宋体" w:hAnsi="宋体" w:eastAsia="宋体" w:cs="宋体"/>
          <w:color w:val="auto"/>
          <w:sz w:val="24"/>
          <w:highlight w:val="none"/>
        </w:rPr>
        <w:t>管理。</w:t>
      </w:r>
      <w:r>
        <w:rPr>
          <w:rFonts w:hint="eastAsia" w:ascii="宋体" w:hAnsi="宋体" w:eastAsia="宋体" w:cs="宋体"/>
          <w:color w:val="auto"/>
          <w:sz w:val="24"/>
          <w:highlight w:val="none"/>
        </w:rPr>
        <w:t>（施工图预算、变更预算及结算需经甲方审核确认）</w:t>
      </w:r>
    </w:p>
    <w:p w14:paraId="4F6FC8B8">
      <w:pPr>
        <w:autoSpaceDE w:val="0"/>
        <w:autoSpaceDN w:val="0"/>
        <w:adjustRightInd w:val="0"/>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ascii="宋体" w:hAnsi="宋体" w:eastAsia="宋体" w:cs="宋体"/>
          <w:color w:val="auto"/>
          <w:kern w:val="0"/>
          <w:sz w:val="24"/>
          <w:highlight w:val="none"/>
        </w:rPr>
        <w:t>本项目采用EPC+O总承包模式，即工程勘察、设计、施工及运营</w:t>
      </w:r>
      <w:r>
        <w:rPr>
          <w:rFonts w:hint="eastAsia" w:ascii="宋体" w:hAnsi="宋体" w:eastAsia="宋体" w:cs="宋体"/>
          <w:color w:val="auto"/>
          <w:kern w:val="0"/>
          <w:sz w:val="24"/>
          <w:highlight w:val="none"/>
        </w:rPr>
        <w:t>、招商、推广一</w:t>
      </w:r>
      <w:r>
        <w:rPr>
          <w:rFonts w:ascii="宋体" w:hAnsi="宋体" w:eastAsia="宋体" w:cs="宋体"/>
          <w:color w:val="auto"/>
          <w:kern w:val="0"/>
          <w:sz w:val="24"/>
          <w:highlight w:val="none"/>
        </w:rPr>
        <w:t>体化模式。乙方负责勘察</w:t>
      </w:r>
      <w:r>
        <w:rPr>
          <w:rFonts w:hint="eastAsia" w:ascii="宋体" w:hAnsi="宋体" w:eastAsia="宋体" w:cs="宋体"/>
          <w:color w:val="auto"/>
          <w:kern w:val="0"/>
          <w:sz w:val="24"/>
          <w:highlight w:val="none"/>
        </w:rPr>
        <w:t>（详勘）、</w:t>
      </w:r>
      <w:r>
        <w:rPr>
          <w:rFonts w:ascii="宋体" w:hAnsi="宋体" w:eastAsia="宋体" w:cs="宋体"/>
          <w:color w:val="auto"/>
          <w:kern w:val="0"/>
          <w:sz w:val="24"/>
          <w:highlight w:val="none"/>
        </w:rPr>
        <w:t>设计、施工</w:t>
      </w: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在项目竣工并验收后，</w:t>
      </w:r>
      <w:r>
        <w:rPr>
          <w:rFonts w:hint="eastAsia" w:ascii="宋体" w:hAnsi="宋体" w:eastAsia="宋体" w:cs="宋体"/>
          <w:color w:val="auto"/>
          <w:kern w:val="0"/>
          <w:sz w:val="24"/>
          <w:highlight w:val="none"/>
        </w:rPr>
        <w:t>需要组织</w:t>
      </w:r>
      <w:r>
        <w:rPr>
          <w:rFonts w:hint="eastAsia" w:ascii="宋体" w:hAnsi="宋体" w:eastAsia="宋体" w:cs="宋体"/>
          <w:color w:val="auto"/>
          <w:kern w:val="0"/>
          <w:sz w:val="24"/>
          <w:highlight w:val="none"/>
          <w:lang w:eastAsia="zh-CN"/>
        </w:rPr>
        <w:t>工业园</w:t>
      </w:r>
      <w:r>
        <w:rPr>
          <w:rFonts w:ascii="宋体" w:hAnsi="宋体" w:eastAsia="宋体" w:cs="宋体"/>
          <w:color w:val="auto"/>
          <w:kern w:val="0"/>
          <w:sz w:val="24"/>
          <w:highlight w:val="none"/>
        </w:rPr>
        <w:t>招商与运营</w:t>
      </w:r>
      <w:r>
        <w:rPr>
          <w:rFonts w:hint="eastAsia" w:ascii="宋体" w:hAnsi="宋体" w:eastAsia="宋体" w:cs="宋体"/>
          <w:color w:val="auto"/>
          <w:kern w:val="0"/>
          <w:sz w:val="24"/>
          <w:highlight w:val="none"/>
        </w:rPr>
        <w:t>，策划运营管理实施方案及招商执行方案，</w:t>
      </w:r>
      <w:r>
        <w:rPr>
          <w:rFonts w:ascii="宋体" w:hAnsi="宋体" w:eastAsia="宋体" w:cs="宋体"/>
          <w:color w:val="auto"/>
          <w:kern w:val="0"/>
          <w:sz w:val="24"/>
          <w:highlight w:val="none"/>
        </w:rPr>
        <w:t>统筹</w:t>
      </w:r>
      <w:r>
        <w:rPr>
          <w:rFonts w:hint="eastAsia" w:ascii="宋体" w:hAnsi="宋体" w:eastAsia="宋体" w:cs="宋体"/>
          <w:color w:val="auto"/>
          <w:kern w:val="0"/>
          <w:sz w:val="24"/>
          <w:highlight w:val="none"/>
        </w:rPr>
        <w:t>组织</w:t>
      </w:r>
      <w:r>
        <w:rPr>
          <w:rFonts w:ascii="宋体" w:hAnsi="宋体" w:eastAsia="宋体" w:cs="宋体"/>
          <w:color w:val="auto"/>
          <w:kern w:val="0"/>
          <w:sz w:val="24"/>
          <w:highlight w:val="none"/>
        </w:rPr>
        <w:t>招</w:t>
      </w:r>
      <w:r>
        <w:rPr>
          <w:rFonts w:hint="eastAsia" w:ascii="宋体" w:hAnsi="宋体" w:eastAsia="宋体" w:cs="宋体"/>
          <w:color w:val="auto"/>
          <w:kern w:val="0"/>
          <w:sz w:val="24"/>
          <w:highlight w:val="none"/>
        </w:rPr>
        <w:t>商</w:t>
      </w:r>
      <w:r>
        <w:rPr>
          <w:rFonts w:ascii="宋体" w:hAnsi="宋体" w:eastAsia="宋体" w:cs="宋体"/>
          <w:color w:val="auto"/>
          <w:kern w:val="0"/>
          <w:sz w:val="24"/>
          <w:highlight w:val="none"/>
        </w:rPr>
        <w:t>推广工作，负责园区厂房及配套综合楼的出租与</w:t>
      </w:r>
      <w:r>
        <w:rPr>
          <w:rFonts w:hint="eastAsia" w:ascii="宋体" w:hAnsi="宋体" w:eastAsia="宋体" w:cs="宋体"/>
          <w:color w:val="auto"/>
          <w:kern w:val="0"/>
          <w:sz w:val="24"/>
          <w:highlight w:val="none"/>
        </w:rPr>
        <w:t>经</w:t>
      </w:r>
      <w:r>
        <w:rPr>
          <w:rFonts w:ascii="宋体" w:hAnsi="宋体" w:eastAsia="宋体" w:cs="宋体"/>
          <w:color w:val="auto"/>
          <w:kern w:val="0"/>
          <w:sz w:val="24"/>
          <w:highlight w:val="none"/>
        </w:rPr>
        <w:t>营，针对引入的新兴</w:t>
      </w:r>
      <w:r>
        <w:rPr>
          <w:rFonts w:hint="eastAsia" w:ascii="宋体" w:hAnsi="宋体" w:eastAsia="宋体" w:cs="宋体"/>
          <w:color w:val="auto"/>
          <w:kern w:val="0"/>
          <w:sz w:val="24"/>
          <w:highlight w:val="none"/>
        </w:rPr>
        <w:t>产</w:t>
      </w:r>
      <w:r>
        <w:rPr>
          <w:rFonts w:ascii="宋体" w:hAnsi="宋体" w:eastAsia="宋体" w:cs="宋体"/>
          <w:color w:val="auto"/>
          <w:kern w:val="0"/>
          <w:sz w:val="24"/>
          <w:highlight w:val="none"/>
        </w:rPr>
        <w:t>业进行管理。</w:t>
      </w:r>
      <w:r>
        <w:rPr>
          <w:rFonts w:ascii="宋体" w:hAnsi="宋体" w:eastAsia="宋体" w:cs="宋体"/>
          <w:color w:val="auto"/>
          <w:sz w:val="24"/>
          <w:highlight w:val="none"/>
        </w:rPr>
        <w:t>通过全过程</w:t>
      </w:r>
      <w:r>
        <w:rPr>
          <w:rFonts w:hint="eastAsia" w:ascii="宋体" w:hAnsi="宋体" w:eastAsia="宋体" w:cs="宋体"/>
          <w:color w:val="auto"/>
          <w:kern w:val="0"/>
          <w:sz w:val="24"/>
          <w:highlight w:val="none"/>
        </w:rPr>
        <w:t>生命周期管理与控制，</w:t>
      </w:r>
      <w:r>
        <w:rPr>
          <w:rFonts w:ascii="宋体" w:hAnsi="宋体" w:eastAsia="宋体" w:cs="宋体"/>
          <w:color w:val="auto"/>
          <w:kern w:val="0"/>
          <w:sz w:val="24"/>
          <w:highlight w:val="none"/>
        </w:rPr>
        <w:t>高质量、高效率</w:t>
      </w:r>
      <w:r>
        <w:rPr>
          <w:rFonts w:hint="eastAsia" w:ascii="宋体" w:hAnsi="宋体" w:eastAsia="宋体" w:cs="宋体"/>
          <w:color w:val="auto"/>
          <w:kern w:val="0"/>
          <w:sz w:val="24"/>
          <w:highlight w:val="none"/>
        </w:rPr>
        <w:t>推进</w:t>
      </w:r>
      <w:r>
        <w:rPr>
          <w:rFonts w:ascii="宋体" w:hAnsi="宋体" w:eastAsia="宋体" w:cs="宋体"/>
          <w:color w:val="auto"/>
          <w:kern w:val="0"/>
          <w:sz w:val="24"/>
          <w:highlight w:val="none"/>
        </w:rPr>
        <w:t>园区运营</w:t>
      </w:r>
      <w:r>
        <w:rPr>
          <w:rFonts w:hint="eastAsia" w:ascii="宋体" w:hAnsi="宋体" w:eastAsia="宋体" w:cs="宋体"/>
          <w:color w:val="auto"/>
          <w:kern w:val="0"/>
          <w:sz w:val="24"/>
          <w:highlight w:val="none"/>
        </w:rPr>
        <w:t>管理</w:t>
      </w:r>
      <w:r>
        <w:rPr>
          <w:rFonts w:ascii="宋体" w:hAnsi="宋体" w:eastAsia="宋体" w:cs="宋体"/>
          <w:color w:val="auto"/>
          <w:kern w:val="0"/>
          <w:sz w:val="24"/>
          <w:highlight w:val="none"/>
        </w:rPr>
        <w:t>、</w:t>
      </w:r>
      <w:r>
        <w:rPr>
          <w:rFonts w:hint="eastAsia" w:ascii="宋体" w:hAnsi="宋体" w:eastAsia="宋体" w:cs="宋体"/>
          <w:color w:val="auto"/>
          <w:sz w:val="24"/>
          <w:highlight w:val="none"/>
        </w:rPr>
        <w:t>行业招商、</w:t>
      </w:r>
      <w:r>
        <w:rPr>
          <w:rFonts w:hint="eastAsia" w:ascii="宋体" w:hAnsi="宋体" w:eastAsia="宋体" w:cs="宋体"/>
          <w:color w:val="auto"/>
          <w:kern w:val="0"/>
          <w:sz w:val="24"/>
          <w:highlight w:val="none"/>
        </w:rPr>
        <w:t>企业招租与孵化</w:t>
      </w:r>
      <w:r>
        <w:rPr>
          <w:rFonts w:ascii="宋体" w:hAnsi="宋体" w:eastAsia="宋体" w:cs="宋体"/>
          <w:color w:val="auto"/>
          <w:sz w:val="24"/>
          <w:highlight w:val="none"/>
        </w:rPr>
        <w:t>、</w:t>
      </w:r>
      <w:r>
        <w:rPr>
          <w:rFonts w:hint="eastAsia" w:ascii="宋体" w:hAnsi="宋体" w:eastAsia="宋体" w:cs="宋体"/>
          <w:color w:val="auto"/>
          <w:sz w:val="24"/>
          <w:highlight w:val="none"/>
        </w:rPr>
        <w:t>品牌</w:t>
      </w:r>
      <w:r>
        <w:rPr>
          <w:rFonts w:ascii="宋体" w:hAnsi="宋体" w:eastAsia="宋体" w:cs="宋体"/>
          <w:color w:val="auto"/>
          <w:sz w:val="24"/>
          <w:highlight w:val="none"/>
        </w:rPr>
        <w:t>运营</w:t>
      </w:r>
      <w:r>
        <w:rPr>
          <w:rFonts w:hint="eastAsia" w:ascii="宋体" w:hAnsi="宋体" w:eastAsia="宋体" w:cs="宋体"/>
          <w:color w:val="auto"/>
          <w:sz w:val="24"/>
          <w:highlight w:val="none"/>
        </w:rPr>
        <w:t>、物业</w:t>
      </w:r>
      <w:r>
        <w:rPr>
          <w:rFonts w:ascii="宋体" w:hAnsi="宋体" w:eastAsia="宋体" w:cs="宋体"/>
          <w:color w:val="auto"/>
          <w:sz w:val="24"/>
          <w:highlight w:val="none"/>
        </w:rPr>
        <w:t>管理</w:t>
      </w:r>
      <w:r>
        <w:rPr>
          <w:rFonts w:ascii="宋体" w:hAnsi="宋体" w:eastAsia="宋体" w:cs="宋体"/>
          <w:color w:val="auto"/>
          <w:kern w:val="0"/>
          <w:sz w:val="24"/>
          <w:highlight w:val="none"/>
        </w:rPr>
        <w:t>。</w:t>
      </w:r>
    </w:p>
    <w:p w14:paraId="4E4C670A">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3、工程勘察按甲方确认的勘察工作大纲中实际发生的工作量，根据</w:t>
      </w:r>
      <w:r>
        <w:rPr>
          <w:rFonts w:hint="eastAsia" w:ascii="宋体" w:hAnsi="宋体" w:eastAsia="宋体" w:cs="宋体"/>
          <w:color w:val="auto"/>
          <w:sz w:val="24"/>
          <w:highlight w:val="none"/>
          <w:lang w:val="zh-CN"/>
        </w:rPr>
        <w:t>《工程勘察设计收费标准》（2002年修订本）</w:t>
      </w:r>
      <w:r>
        <w:rPr>
          <w:rFonts w:hint="eastAsia" w:ascii="宋体" w:hAnsi="宋体" w:eastAsia="宋体" w:cs="宋体"/>
          <w:color w:val="auto"/>
          <w:spacing w:val="10"/>
          <w:sz w:val="24"/>
          <w:highlight w:val="none"/>
        </w:rPr>
        <w:t>中对应项目的价格标准</w:t>
      </w:r>
      <w:r>
        <w:rPr>
          <w:rFonts w:hint="eastAsia" w:ascii="宋体" w:hAnsi="宋体" w:eastAsia="宋体" w:cs="宋体"/>
          <w:color w:val="auto"/>
          <w:sz w:val="24"/>
          <w:highlight w:val="none"/>
        </w:rPr>
        <w:t>乘以（1-中标下浮率）</w:t>
      </w:r>
      <w:r>
        <w:rPr>
          <w:rFonts w:hint="eastAsia" w:ascii="宋体" w:hAnsi="宋体" w:eastAsia="宋体" w:cs="宋体"/>
          <w:color w:val="auto"/>
          <w:sz w:val="24"/>
          <w:highlight w:val="none"/>
          <w:lang w:val="en-US" w:eastAsia="zh-CN"/>
        </w:rPr>
        <w:t>-初步勘察费19.2150万元</w:t>
      </w:r>
      <w:r>
        <w:rPr>
          <w:rFonts w:hint="eastAsia" w:ascii="宋体" w:hAnsi="宋体" w:eastAsia="宋体" w:cs="宋体"/>
          <w:color w:val="auto"/>
          <w:spacing w:val="10"/>
          <w:sz w:val="24"/>
          <w:highlight w:val="none"/>
        </w:rPr>
        <w:t>来结算勘察费用。</w:t>
      </w:r>
      <w:r>
        <w:rPr>
          <w:rFonts w:hint="eastAsia" w:ascii="宋体" w:hAnsi="宋体" w:eastAsia="宋体" w:cs="宋体"/>
          <w:color w:val="auto"/>
          <w:sz w:val="24"/>
          <w:highlight w:val="none"/>
        </w:rPr>
        <w:t>工程量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包括增加、变更工作内容）</w:t>
      </w:r>
      <w:r>
        <w:rPr>
          <w:rFonts w:hint="eastAsia" w:ascii="宋体" w:hAnsi="宋体" w:eastAsia="宋体" w:cs="宋体"/>
          <w:color w:val="auto"/>
          <w:sz w:val="24"/>
          <w:highlight w:val="none"/>
        </w:rPr>
        <w:t>按实计算，最终结算价不得超出</w:t>
      </w:r>
      <w:r>
        <w:rPr>
          <w:rFonts w:hint="eastAsia" w:ascii="宋体" w:hAnsi="宋体" w:eastAsia="宋体" w:cs="宋体"/>
          <w:color w:val="auto"/>
          <w:sz w:val="24"/>
          <w:highlight w:val="none"/>
          <w:lang w:val="en-US" w:eastAsia="zh-CN"/>
        </w:rPr>
        <w:t>该期的</w:t>
      </w:r>
      <w:r>
        <w:rPr>
          <w:rFonts w:hint="eastAsia" w:ascii="宋体" w:hAnsi="宋体" w:eastAsia="宋体" w:cs="宋体"/>
          <w:color w:val="auto"/>
          <w:sz w:val="24"/>
          <w:highlight w:val="none"/>
        </w:rPr>
        <w:t>中标价，如超出</w:t>
      </w:r>
      <w:r>
        <w:rPr>
          <w:rFonts w:hint="eastAsia" w:ascii="宋体" w:hAnsi="宋体" w:eastAsia="宋体" w:cs="宋体"/>
          <w:color w:val="auto"/>
          <w:sz w:val="24"/>
          <w:highlight w:val="none"/>
          <w:lang w:val="en-US" w:eastAsia="zh-CN"/>
        </w:rPr>
        <w:t>该期的</w:t>
      </w:r>
      <w:r>
        <w:rPr>
          <w:rFonts w:hint="eastAsia" w:ascii="宋体" w:hAnsi="宋体" w:eastAsia="宋体" w:cs="宋体"/>
          <w:color w:val="auto"/>
          <w:sz w:val="24"/>
          <w:highlight w:val="none"/>
        </w:rPr>
        <w:t>中标价，则按勘察费</w:t>
      </w:r>
      <w:r>
        <w:rPr>
          <w:rFonts w:hint="eastAsia" w:ascii="宋体" w:hAnsi="宋体" w:eastAsia="宋体" w:cs="宋体"/>
          <w:color w:val="auto"/>
          <w:sz w:val="24"/>
          <w:highlight w:val="none"/>
          <w:lang w:val="en-US" w:eastAsia="zh-CN"/>
        </w:rPr>
        <w:t>该期的</w:t>
      </w:r>
      <w:r>
        <w:rPr>
          <w:rFonts w:hint="eastAsia" w:ascii="宋体" w:hAnsi="宋体" w:eastAsia="宋体" w:cs="宋体"/>
          <w:color w:val="auto"/>
          <w:sz w:val="24"/>
          <w:highlight w:val="none"/>
        </w:rPr>
        <w:t>中标价结算。最终结算价以甲方</w:t>
      </w:r>
      <w:r>
        <w:rPr>
          <w:rFonts w:hint="eastAsia" w:ascii="宋体" w:hAnsi="宋体" w:eastAsia="宋体" w:cs="宋体"/>
          <w:color w:val="auto"/>
          <w:sz w:val="24"/>
          <w:highlight w:val="none"/>
          <w:lang w:val="en-US" w:eastAsia="zh-CN"/>
        </w:rPr>
        <w:t>委托的第三方造价咨询机构</w:t>
      </w:r>
      <w:r>
        <w:rPr>
          <w:rFonts w:hint="eastAsia" w:ascii="宋体" w:hAnsi="宋体" w:eastAsia="宋体" w:cs="宋体"/>
          <w:color w:val="auto"/>
          <w:sz w:val="24"/>
          <w:highlight w:val="none"/>
        </w:rPr>
        <w:t>审定结果为准。</w:t>
      </w:r>
    </w:p>
    <w:p w14:paraId="4BE2654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snapToGrid w:val="0"/>
          <w:color w:val="auto"/>
          <w:kern w:val="0"/>
          <w:sz w:val="24"/>
          <w:highlight w:val="none"/>
        </w:rPr>
        <w:t>4、</w:t>
      </w:r>
      <w:r>
        <w:rPr>
          <w:rFonts w:hint="eastAsia" w:ascii="宋体" w:hAnsi="宋体" w:eastAsia="宋体" w:cs="宋体"/>
          <w:color w:val="auto"/>
          <w:sz w:val="24"/>
          <w:highlight w:val="none"/>
        </w:rPr>
        <w:t>工程设计必须依据可行性研究报告进行初步设计和施工图设计，工程设计的范围、标准、规格、限额均不得超过可行性研究报告的要求，满足甲方成本控制要求。设计费的结算以经甲方最终确定的施工图预算为计费基数，按《工程勘察设计收费标准》（2002年修订本）规定计算的设计收费基价并结合各调整系数（工程复杂程度调整系数为1.0、专业调整系数为1.</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、附加调整系数为1.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）后乘以</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1</w:t>
      </w:r>
      <w:r>
        <w:rPr>
          <w:rFonts w:hint="eastAsia" w:ascii="宋体" w:hAnsi="宋体" w:eastAsia="宋体" w:cs="宋体"/>
          <w:color w:val="auto"/>
          <w:sz w:val="24"/>
          <w:highlight w:val="none"/>
          <w:u w:val="none"/>
        </w:rPr>
        <w:t>-中标下浮率）</w:t>
      </w:r>
      <w:r>
        <w:rPr>
          <w:rFonts w:hint="eastAsia" w:ascii="宋体" w:hAnsi="宋体" w:eastAsia="宋体" w:cs="宋体"/>
          <w:color w:val="auto"/>
          <w:sz w:val="24"/>
          <w:highlight w:val="none"/>
          <w:u w:val="none"/>
          <w:lang w:val="en-US" w:eastAsia="zh-CN"/>
        </w:rPr>
        <w:t>-概念</w:t>
      </w:r>
      <w:r>
        <w:rPr>
          <w:rFonts w:hint="eastAsia" w:ascii="宋体" w:hAnsi="宋体" w:eastAsia="宋体" w:cs="宋体"/>
          <w:color w:val="auto"/>
          <w:sz w:val="24"/>
          <w:highlight w:val="none"/>
          <w:lang w:val="en-US" w:eastAsia="zh-CN"/>
        </w:rPr>
        <w:t>性设计方案费96万元</w:t>
      </w:r>
      <w:r>
        <w:rPr>
          <w:rFonts w:hint="eastAsia" w:ascii="宋体" w:hAnsi="宋体" w:eastAsia="宋体" w:cs="宋体"/>
          <w:color w:val="auto"/>
          <w:sz w:val="24"/>
          <w:highlight w:val="none"/>
        </w:rPr>
        <w:t>计算。</w:t>
      </w:r>
    </w:p>
    <w:p w14:paraId="56B85965">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设计费最终结算价不得超过设计费</w:t>
      </w:r>
      <w:r>
        <w:rPr>
          <w:rFonts w:hint="eastAsia" w:ascii="宋体" w:hAnsi="宋体" w:eastAsia="宋体" w:cs="宋体"/>
          <w:color w:val="auto"/>
          <w:sz w:val="24"/>
          <w:highlight w:val="none"/>
          <w:lang w:val="en-US" w:eastAsia="zh-CN"/>
        </w:rPr>
        <w:t>该期的</w:t>
      </w:r>
      <w:r>
        <w:rPr>
          <w:rFonts w:hint="eastAsia" w:ascii="宋体" w:hAnsi="宋体" w:eastAsia="宋体" w:cs="宋体"/>
          <w:color w:val="auto"/>
          <w:sz w:val="24"/>
          <w:highlight w:val="none"/>
        </w:rPr>
        <w:t>中标价，如超过</w:t>
      </w:r>
      <w:r>
        <w:rPr>
          <w:rFonts w:hint="eastAsia" w:ascii="宋体" w:hAnsi="宋体" w:eastAsia="宋体" w:cs="宋体"/>
          <w:color w:val="auto"/>
          <w:sz w:val="24"/>
          <w:highlight w:val="none"/>
          <w:lang w:val="en-US" w:eastAsia="zh-CN"/>
        </w:rPr>
        <w:t>该期的</w:t>
      </w:r>
      <w:r>
        <w:rPr>
          <w:rFonts w:hint="eastAsia" w:ascii="宋体" w:hAnsi="宋体" w:eastAsia="宋体" w:cs="宋体"/>
          <w:color w:val="auto"/>
          <w:sz w:val="24"/>
          <w:highlight w:val="none"/>
        </w:rPr>
        <w:t>中标价，则按设计费</w:t>
      </w:r>
      <w:r>
        <w:rPr>
          <w:rFonts w:hint="eastAsia" w:ascii="宋体" w:hAnsi="宋体" w:eastAsia="宋体" w:cs="宋体"/>
          <w:color w:val="auto"/>
          <w:sz w:val="24"/>
          <w:highlight w:val="none"/>
          <w:lang w:val="en-US" w:eastAsia="zh-CN"/>
        </w:rPr>
        <w:t>该期的</w:t>
      </w:r>
      <w:r>
        <w:rPr>
          <w:rFonts w:hint="eastAsia" w:ascii="宋体" w:hAnsi="宋体" w:eastAsia="宋体" w:cs="宋体"/>
          <w:color w:val="auto"/>
          <w:sz w:val="24"/>
          <w:highlight w:val="none"/>
        </w:rPr>
        <w:t>中标价结算，设计费最终结算价以甲方</w:t>
      </w:r>
      <w:r>
        <w:rPr>
          <w:rFonts w:hint="eastAsia" w:ascii="宋体" w:hAnsi="宋体" w:eastAsia="宋体" w:cs="宋体"/>
          <w:color w:val="auto"/>
          <w:sz w:val="24"/>
          <w:highlight w:val="none"/>
          <w:lang w:val="en-US" w:eastAsia="zh-CN"/>
        </w:rPr>
        <w:t>委托的第三方造价咨询机构</w:t>
      </w:r>
      <w:r>
        <w:rPr>
          <w:rFonts w:hint="eastAsia" w:ascii="宋体" w:hAnsi="宋体" w:eastAsia="宋体" w:cs="宋体"/>
          <w:color w:val="auto"/>
          <w:sz w:val="24"/>
          <w:highlight w:val="none"/>
        </w:rPr>
        <w:t>审定结果为准。</w:t>
      </w:r>
    </w:p>
    <w:p w14:paraId="1B9C0E1B">
      <w:pPr>
        <w:pStyle w:val="90"/>
        <w:snapToGrid w:val="0"/>
        <w:spacing w:line="360" w:lineRule="auto"/>
        <w:ind w:firstLine="4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5、工程施工部分：按经甲方确认的施工图预算及合同约定的计价方式确定的综合单价包干，项目措施费总价包干，工程量按实计算。</w:t>
      </w:r>
    </w:p>
    <w:p w14:paraId="0CB0978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施工图预算编制须按本合同的相关规定并结合中标下浮率编制。施工费结算价不得超过甲方确认的施工图预算价（甲方增加的指令变更除外）。最终结算价以甲方</w:t>
      </w:r>
      <w:r>
        <w:rPr>
          <w:rFonts w:hint="eastAsia" w:ascii="宋体" w:hAnsi="宋体" w:eastAsia="宋体" w:cs="宋体"/>
          <w:color w:val="auto"/>
          <w:sz w:val="24"/>
          <w:highlight w:val="none"/>
          <w:lang w:val="en-US" w:eastAsia="zh-CN"/>
        </w:rPr>
        <w:t>委托的第三方造价咨询机构</w:t>
      </w:r>
      <w:r>
        <w:rPr>
          <w:rFonts w:hint="eastAsia" w:ascii="宋体" w:hAnsi="宋体" w:eastAsia="宋体" w:cs="宋体"/>
          <w:color w:val="auto"/>
          <w:sz w:val="24"/>
          <w:highlight w:val="none"/>
        </w:rPr>
        <w:t>审定结果为准。</w:t>
      </w:r>
    </w:p>
    <w:p w14:paraId="1222657F">
      <w:pPr>
        <w:autoSpaceDE w:val="0"/>
        <w:autoSpaceDN w:val="0"/>
        <w:adjustRightIn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（二）承包范围：</w:t>
      </w:r>
    </w:p>
    <w:p w14:paraId="263775F2">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1、勘察部分：</w:t>
      </w:r>
    </w:p>
    <w:p w14:paraId="536B2672">
      <w:pPr>
        <w:pStyle w:val="44"/>
        <w:spacing w:line="360" w:lineRule="auto"/>
        <w:ind w:left="0" w:leftChars="0" w:firstLineChars="0"/>
        <w:rPr>
          <w:rFonts w:hint="eastAsia" w:ascii="宋体" w:hAnsi="宋体" w:eastAsia="宋体" w:cs="宋体"/>
          <w:color w:val="auto"/>
          <w:sz w:val="24"/>
          <w:highlight w:val="none"/>
        </w:rPr>
      </w:pPr>
      <w:bookmarkStart w:id="4" w:name="_Hlk76388454"/>
      <w:r>
        <w:rPr>
          <w:rFonts w:hint="eastAsia" w:ascii="宋体" w:hAnsi="宋体" w:eastAsia="宋体" w:cs="宋体"/>
          <w:color w:val="auto"/>
          <w:sz w:val="24"/>
          <w:highlight w:val="none"/>
        </w:rPr>
        <w:t>完成本项目规划红线图范围及周边所需的所有勘察工作(具体范围根据场地情况确定)，</w:t>
      </w:r>
      <w:bookmarkEnd w:id="4"/>
      <w:r>
        <w:rPr>
          <w:rFonts w:hint="eastAsia" w:ascii="宋体" w:hAnsi="宋体" w:eastAsia="宋体" w:cs="宋体"/>
          <w:color w:val="auto"/>
          <w:sz w:val="24"/>
          <w:highlight w:val="none"/>
        </w:rPr>
        <w:t xml:space="preserve"> 包括但不限于岩土工程勘察[详细勘察和施工阶段勘察（超前钻）、工程物探（含管线探测）、基坑设计、按相关要求包工、包料、包安全、包水电，包通过建设等主管部门组织的勘察报告审查及备案，包配合设计阶段和施工阶段的技术支持和服务，包验收以及其他相关的技术支持和服务等（具体详见勘察设计任务书和合同约定为准）。本合同条款约定的价格已综合考虑不同自然条件下、不同作业内容、不同复杂程度及高温勘察等一切因素下实施上述所有勘察工作内容所需要的费用。</w:t>
      </w:r>
    </w:p>
    <w:p w14:paraId="7FC621BE">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2、设计部分：</w:t>
      </w:r>
      <w:bookmarkStart w:id="5" w:name="_Hlk13734755"/>
      <w:bookmarkStart w:id="6" w:name="_Hlk15398477"/>
      <w:bookmarkStart w:id="7" w:name="_Hlk15368512"/>
    </w:p>
    <w:p w14:paraId="2100D4C0">
      <w:pPr>
        <w:pStyle w:val="44"/>
        <w:spacing w:after="0" w:line="360" w:lineRule="auto"/>
        <w:ind w:left="0" w:leftChars="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总平面规划设计（修详规）、管线综合规划设计、所有单体建（构）筑方案设计及修改（含效果图）、初步设计(含基坑支护)、施工图设计、配合设计优化、绿色建筑（如需）、施工用地围蔽设计、相关报建（包括但不限于环评、水保、海绵城市、绿色建筑设计标识、规划含修详通、报建通以及竣工通等）配合、出具设计变更图并附变更清单（如有）、结算配合服务、保修配合服务，提供竣工图编制所需电子文件及竣工图审核等保证本项目正常投入运营所需的其他发包方认为会纳入的其他专业设计。</w:t>
      </w:r>
    </w:p>
    <w:p w14:paraId="2556C646">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内容主要包括但不限于：</w:t>
      </w:r>
    </w:p>
    <w:p w14:paraId="1B1997F7">
      <w:pPr>
        <w:adjustRightInd w:val="0"/>
        <w:snapToGrid w:val="0"/>
        <w:spacing w:line="360" w:lineRule="auto"/>
        <w:ind w:firstLine="240" w:firstLineChars="100"/>
        <w:rPr>
          <w:rFonts w:hint="eastAsia" w:ascii="宋体" w:hAnsi="宋体" w:eastAsia="宋体" w:cs="宋体"/>
          <w:color w:val="auto"/>
          <w:sz w:val="24"/>
          <w:highlight w:val="none"/>
        </w:rPr>
      </w:pPr>
      <w:r>
        <w:rPr>
          <w:rFonts w:ascii="宋体" w:hAnsi="宋体" w:eastAsia="宋体" w:cs="宋体"/>
          <w:color w:val="auto"/>
          <w:sz w:val="24"/>
          <w:highlight w:val="none"/>
        </w:rPr>
        <w:t>（1）负责编制方案设计及深化、报建，规划阶段技术审查、修建性详细规划设计及报批（修详通</w:t>
      </w:r>
      <w:r>
        <w:rPr>
          <w:rFonts w:hint="eastAsia" w:ascii="宋体" w:hAnsi="宋体" w:eastAsia="宋体" w:cs="宋体"/>
          <w:color w:val="auto"/>
          <w:sz w:val="24"/>
          <w:highlight w:val="none"/>
        </w:rPr>
        <w:t>过</w:t>
      </w:r>
      <w:r>
        <w:rPr>
          <w:rFonts w:ascii="宋体" w:hAnsi="宋体" w:eastAsia="宋体" w:cs="宋体"/>
          <w:color w:val="auto"/>
          <w:sz w:val="24"/>
          <w:highlight w:val="none"/>
        </w:rPr>
        <w:t>完成），单体报建（报建通</w:t>
      </w:r>
      <w:r>
        <w:rPr>
          <w:rFonts w:hint="eastAsia" w:ascii="宋体" w:hAnsi="宋体" w:eastAsia="宋体" w:cs="宋体"/>
          <w:color w:val="auto"/>
          <w:sz w:val="24"/>
          <w:highlight w:val="none"/>
        </w:rPr>
        <w:t>过</w:t>
      </w:r>
      <w:r>
        <w:rPr>
          <w:rFonts w:ascii="宋体" w:hAnsi="宋体" w:eastAsia="宋体" w:cs="宋体"/>
          <w:color w:val="auto"/>
          <w:sz w:val="24"/>
          <w:highlight w:val="none"/>
        </w:rPr>
        <w:t>完成），设计成果需获得规划批复部门认可并取得修建性详细规划方案批复、配合确定工程规划许可证等一切工作。</w:t>
      </w:r>
    </w:p>
    <w:p w14:paraId="4A0E030C">
      <w:pPr>
        <w:adjustRightInd w:val="0"/>
        <w:snapToGrid w:val="0"/>
        <w:spacing w:line="456"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完成初步设计（含编制项目概算），配合初步设计审查及设计概算审核，形成相关初步设计评审意见文件。完成本项目招标范围内工程概算等造价文件的编制工作及相关配合报审工作，还包括各阶段方案比选、技术造型比选等的投资分析，负责审核签确分包设计单位的设计成果，根据发包人要求提供项目的成本指标数据。</w:t>
      </w:r>
    </w:p>
    <w:p w14:paraId="580AD257">
      <w:pPr>
        <w:adjustRightInd w:val="0"/>
        <w:snapToGrid w:val="0"/>
        <w:spacing w:line="456"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（3）负责项目施工图设计，配合施工图审查，并取得施工图审查合格书。同时需配合后续消防、住建等部门及施工图质量抽检复核修改工作。</w:t>
      </w:r>
    </w:p>
    <w:p w14:paraId="377DAF46">
      <w:pPr>
        <w:adjustRightInd w:val="0"/>
        <w:snapToGrid w:val="0"/>
        <w:spacing w:line="456"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（4）负责规划用地红线范围内所有正式建筑物和市政配套工程各专业施工图设计，包括：</w:t>
      </w:r>
    </w:p>
    <w:p w14:paraId="40AE9292">
      <w:pPr>
        <w:adjustRightInd w:val="0"/>
        <w:snapToGrid w:val="0"/>
        <w:spacing w:line="456" w:lineRule="exact"/>
        <w:ind w:firstLine="480" w:firstLineChars="200"/>
        <w:rPr>
          <w:rFonts w:hint="eastAsia" w:ascii="宋体" w:hAnsi="宋体" w:eastAsia="宋体" w:cs="宋体"/>
          <w:color w:val="auto"/>
          <w:sz w:val="24"/>
          <w:highlight w:val="none"/>
        </w:rPr>
      </w:pPr>
      <w:r>
        <w:rPr>
          <w:rFonts w:hint="eastAsia" w:ascii="微软雅黑" w:hAnsi="微软雅黑" w:eastAsia="微软雅黑" w:cs="微软雅黑"/>
          <w:color w:val="auto"/>
          <w:sz w:val="24"/>
          <w:highlight w:val="none"/>
        </w:rPr>
        <w:t>①</w:t>
      </w:r>
      <w:r>
        <w:rPr>
          <w:rFonts w:hint="eastAsia" w:ascii="宋体" w:hAnsi="宋体" w:eastAsia="宋体" w:cs="宋体"/>
          <w:color w:val="auto"/>
          <w:sz w:val="24"/>
          <w:highlight w:val="none"/>
        </w:rPr>
        <w:t>建筑、结构、给排水、强电（含永久供电）、弱电、通风、空调、消防、室</w:t>
      </w:r>
      <w:r>
        <w:rPr>
          <w:rFonts w:hint="eastAsia" w:ascii="宋体" w:hAnsi="宋体" w:eastAsia="宋体" w:cs="宋体"/>
          <w:color w:val="auto"/>
          <w:sz w:val="24"/>
          <w:highlight w:val="none"/>
          <w:lang w:val="en-US" w:eastAsia="zh-CN"/>
        </w:rPr>
        <w:t>内</w:t>
      </w:r>
      <w:r>
        <w:rPr>
          <w:rFonts w:hint="eastAsia" w:ascii="宋体" w:hAnsi="宋体" w:eastAsia="宋体" w:cs="宋体"/>
          <w:color w:val="auto"/>
          <w:sz w:val="24"/>
          <w:highlight w:val="none"/>
        </w:rPr>
        <w:t>项目、幕墙等施工图设计。</w:t>
      </w:r>
    </w:p>
    <w:p w14:paraId="7EC5B217">
      <w:pPr>
        <w:adjustRightInd w:val="0"/>
        <w:snapToGrid w:val="0"/>
        <w:spacing w:line="456" w:lineRule="exact"/>
        <w:ind w:firstLine="480" w:firstLineChars="200"/>
        <w:rPr>
          <w:rFonts w:hint="eastAsia" w:ascii="宋体" w:hAnsi="宋体" w:eastAsia="宋体" w:cs="宋体"/>
          <w:color w:val="auto"/>
          <w:sz w:val="24"/>
          <w:highlight w:val="none"/>
        </w:rPr>
      </w:pPr>
      <w:r>
        <w:rPr>
          <w:rFonts w:hint="eastAsia" w:ascii="微软雅黑" w:hAnsi="微软雅黑" w:eastAsia="微软雅黑" w:cs="微软雅黑"/>
          <w:color w:val="auto"/>
          <w:sz w:val="24"/>
          <w:highlight w:val="none"/>
        </w:rPr>
        <w:t>②</w:t>
      </w:r>
      <w:r>
        <w:rPr>
          <w:rFonts w:hint="eastAsia" w:ascii="宋体" w:hAnsi="宋体" w:eastAsia="宋体" w:cs="宋体"/>
          <w:color w:val="auto"/>
          <w:sz w:val="24"/>
          <w:highlight w:val="none"/>
        </w:rPr>
        <w:t>室外配套工程、道路（含规划市政道路接驳及厂区道路）、园林景观、市政管网接驳（包括通讯、永久用电及市政给排水等）、室外广场等施工图设计。</w:t>
      </w:r>
    </w:p>
    <w:p w14:paraId="30361E30">
      <w:pPr>
        <w:adjustRightInd w:val="0"/>
        <w:snapToGrid w:val="0"/>
        <w:spacing w:line="456" w:lineRule="exact"/>
        <w:ind w:firstLine="480" w:firstLineChars="200"/>
        <w:rPr>
          <w:rFonts w:hint="eastAsia" w:ascii="宋体" w:hAnsi="宋体" w:eastAsia="宋体" w:cs="宋体"/>
          <w:color w:val="auto"/>
          <w:sz w:val="24"/>
          <w:highlight w:val="none"/>
        </w:rPr>
      </w:pPr>
      <w:r>
        <w:rPr>
          <w:rFonts w:hint="eastAsia" w:ascii="微软雅黑" w:hAnsi="微软雅黑" w:eastAsia="微软雅黑" w:cs="微软雅黑"/>
          <w:color w:val="auto"/>
          <w:sz w:val="24"/>
          <w:highlight w:val="none"/>
        </w:rPr>
        <w:t>③</w:t>
      </w:r>
      <w:r>
        <w:rPr>
          <w:rFonts w:hint="eastAsia" w:ascii="宋体" w:hAnsi="宋体" w:eastAsia="宋体" w:cs="宋体"/>
          <w:color w:val="auto"/>
          <w:sz w:val="24"/>
          <w:highlight w:val="none"/>
        </w:rPr>
        <w:t>负责装修施工图设计、建筑节能、绿色建筑设计。</w:t>
      </w:r>
    </w:p>
    <w:p w14:paraId="26149BBD">
      <w:pPr>
        <w:adjustRightInd w:val="0"/>
        <w:snapToGrid w:val="0"/>
        <w:spacing w:line="456" w:lineRule="exact"/>
        <w:ind w:firstLine="480" w:firstLineChars="200"/>
        <w:rPr>
          <w:rFonts w:hint="eastAsia" w:ascii="宋体" w:hAnsi="宋体" w:eastAsia="宋体" w:cs="宋体"/>
          <w:color w:val="auto"/>
          <w:sz w:val="24"/>
          <w:highlight w:val="none"/>
        </w:rPr>
      </w:pPr>
      <w:r>
        <w:rPr>
          <w:rFonts w:hint="eastAsia" w:ascii="微软雅黑" w:hAnsi="微软雅黑" w:eastAsia="微软雅黑" w:cs="微软雅黑"/>
          <w:color w:val="auto"/>
          <w:sz w:val="24"/>
          <w:highlight w:val="none"/>
        </w:rPr>
        <w:t>④</w:t>
      </w:r>
      <w:r>
        <w:rPr>
          <w:rFonts w:hint="eastAsia" w:ascii="宋体" w:hAnsi="宋体" w:eastAsia="宋体" w:cs="宋体"/>
          <w:color w:val="auto"/>
          <w:sz w:val="24"/>
          <w:highlight w:val="none"/>
        </w:rPr>
        <w:t>对专业工程或专项深化设计（包括但不限于装修、钢结构、永久供电、幕墙、边坡防护、基坑支护、抗震支架等）进行技术审查，设计应满足规范及相关部门的文件和批复的标准要求。</w:t>
      </w:r>
    </w:p>
    <w:p w14:paraId="14A50098">
      <w:pPr>
        <w:adjustRightInd w:val="0"/>
        <w:snapToGrid w:val="0"/>
        <w:spacing w:line="456" w:lineRule="exact"/>
        <w:ind w:firstLine="480" w:firstLineChars="200"/>
        <w:rPr>
          <w:rFonts w:hint="eastAsia"/>
          <w:color w:val="auto"/>
          <w:highlight w:val="none"/>
        </w:rPr>
      </w:pPr>
      <w:r>
        <w:rPr>
          <w:rFonts w:hint="eastAsia" w:ascii="微软雅黑" w:hAnsi="微软雅黑" w:eastAsia="微软雅黑" w:cs="微软雅黑"/>
          <w:color w:val="auto"/>
          <w:sz w:val="24"/>
          <w:highlight w:val="none"/>
          <w:lang w:val="en-US" w:eastAsia="zh-CN"/>
        </w:rPr>
        <w:t>⑤</w:t>
      </w:r>
      <w:r>
        <w:rPr>
          <w:rFonts w:hint="eastAsia" w:ascii="宋体" w:hAnsi="宋体" w:eastAsia="宋体" w:cs="宋体"/>
          <w:color w:val="auto"/>
          <w:sz w:val="24"/>
          <w:highlight w:val="none"/>
          <w:lang w:val="en-US" w:eastAsia="zh-CN"/>
        </w:rPr>
        <w:t>5G基站的设计，包括用地内通信管线、配线设施、基站和室内分布系统等所需的机房、管道、线缆、杆路等通信设施和电源、空调、天线位置、天面空间等配套资源。</w:t>
      </w:r>
    </w:p>
    <w:p w14:paraId="4BB1F78C">
      <w:pPr>
        <w:adjustRightInd w:val="0"/>
        <w:snapToGrid w:val="0"/>
        <w:spacing w:line="456"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5）项目红线范围外对外接驳的外水（包括给水和雨污水接驳等）、外电（从供电部门批复的接取电源处开始，至本项目高低压配电房所有的电力设施装置及土建）、弱电（含接驳）等，满足规范及相关部门申报要求。</w:t>
      </w:r>
    </w:p>
    <w:p w14:paraId="5801A698">
      <w:pPr>
        <w:adjustRightInd w:val="0"/>
        <w:snapToGrid w:val="0"/>
        <w:spacing w:line="456"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（6）配合发包人办理项目建设工程规划许可证等规划报批、深基坑审查、各专业报建、施工图报建、竣工图备案等各专项报批报建和验收工作。</w:t>
      </w:r>
    </w:p>
    <w:p w14:paraId="4800D67D">
      <w:pPr>
        <w:adjustRightInd w:val="0"/>
        <w:snapToGrid w:val="0"/>
        <w:spacing w:line="456" w:lineRule="exact"/>
        <w:ind w:firstLine="240" w:firstLineChars="100"/>
        <w:rPr>
          <w:rFonts w:hint="eastAsia" w:ascii="宋体" w:hAnsi="宋体" w:eastAsia="宋体" w:cs="宋体"/>
          <w:strike/>
          <w:color w:val="auto"/>
          <w:sz w:val="24"/>
          <w:highlight w:val="none"/>
        </w:rPr>
      </w:pPr>
      <w:r>
        <w:rPr>
          <w:rFonts w:hint="eastAsia" w:ascii="宋体" w:hAnsi="宋体" w:eastAsia="宋体" w:cs="宋体"/>
          <w:color w:val="auto"/>
          <w:sz w:val="24"/>
          <w:highlight w:val="none"/>
        </w:rPr>
        <w:t>（7）负责工程施工过程直至竣工验收前的设计服务等工作，保证设计变更满足施工进度要求，并按施工总乙方及发包人要求准备汇报材料。</w:t>
      </w:r>
    </w:p>
    <w:p w14:paraId="1CA1AE17">
      <w:pPr>
        <w:adjustRightInd w:val="0"/>
        <w:snapToGrid w:val="0"/>
        <w:spacing w:line="456"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（8）负责项目竣工图审核工作。</w:t>
      </w:r>
    </w:p>
    <w:p w14:paraId="16799872">
      <w:pPr>
        <w:adjustRightInd w:val="0"/>
        <w:snapToGrid w:val="0"/>
        <w:spacing w:line="456"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（9）各阶段设计深度需达到住建部《建设工程设计文件编制深度规定（2016年版）》设计深度的有关规定。</w:t>
      </w:r>
    </w:p>
    <w:p w14:paraId="3AC1EFA8">
      <w:pPr>
        <w:adjustRightInd w:val="0"/>
        <w:snapToGrid w:val="0"/>
        <w:spacing w:line="456" w:lineRule="exact"/>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ascii="宋体" w:hAnsi="宋体" w:eastAsia="宋体" w:cs="宋体"/>
          <w:color w:val="auto"/>
          <w:sz w:val="24"/>
          <w:highlight w:val="none"/>
        </w:rPr>
        <w:t>0</w:t>
      </w:r>
      <w:r>
        <w:rPr>
          <w:rFonts w:hint="eastAsia" w:ascii="宋体" w:hAnsi="宋体" w:eastAsia="宋体" w:cs="宋体"/>
          <w:color w:val="auto"/>
          <w:sz w:val="24"/>
          <w:highlight w:val="none"/>
        </w:rPr>
        <w:t>）全过程设计服务及协调工作，设计阶段根据工程建设需要及施工总乙方及发包人的要求，相关人员应驻乙方指定场所开展设计服务及协调工作，</w:t>
      </w:r>
      <w:r>
        <w:rPr>
          <w:rFonts w:ascii="宋体" w:hAnsi="宋体" w:eastAsia="宋体" w:cs="宋体"/>
          <w:color w:val="auto"/>
          <w:sz w:val="24"/>
          <w:highlight w:val="none"/>
        </w:rPr>
        <w:t>相关费用包含在设计费中。</w:t>
      </w:r>
    </w:p>
    <w:p w14:paraId="5D5ACFC2">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r>
        <w:rPr>
          <w:rFonts w:ascii="宋体" w:hAnsi="宋体" w:eastAsia="宋体" w:cs="宋体"/>
          <w:color w:val="auto"/>
          <w:sz w:val="24"/>
          <w:highlight w:val="none"/>
        </w:rPr>
        <w:t>3</w:t>
      </w:r>
      <w:r>
        <w:rPr>
          <w:rFonts w:hint="eastAsia" w:ascii="宋体" w:hAnsi="宋体" w:eastAsia="宋体" w:cs="宋体"/>
          <w:color w:val="auto"/>
          <w:sz w:val="24"/>
          <w:highlight w:val="none"/>
        </w:rPr>
        <w:t>、</w:t>
      </w:r>
      <w:bookmarkEnd w:id="5"/>
      <w:bookmarkEnd w:id="6"/>
      <w:bookmarkEnd w:id="7"/>
      <w:r>
        <w:rPr>
          <w:rFonts w:hint="eastAsia" w:ascii="宋体" w:hAnsi="宋体" w:eastAsia="宋体" w:cs="宋体"/>
          <w:color w:val="auto"/>
          <w:sz w:val="24"/>
          <w:highlight w:val="none"/>
        </w:rPr>
        <w:t>施工部分：</w:t>
      </w:r>
    </w:p>
    <w:p w14:paraId="2FEDE4A7">
      <w:pPr>
        <w:pStyle w:val="9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包括但不限于完成本项目所需的所有的施工工作（含竣工图编制），包工、包料、包设备、包质量、包安全生产、包文明施工、包工期、包承包范围内工程联合验收通过、包移交、包结算、包资料整理、包施工总承包管理和现场整体组织、包专业协调及配合、包保修等。包括</w:t>
      </w:r>
      <w:r>
        <w:rPr>
          <w:rFonts w:hint="eastAsia" w:ascii="宋体" w:hAnsi="宋体" w:eastAsia="宋体" w:cs="宋体"/>
          <w:color w:val="auto"/>
          <w:sz w:val="24"/>
          <w:szCs w:val="24"/>
          <w:highlight w:val="none"/>
        </w:rPr>
        <w:t>旧厂房拆除工程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旧基础处理、地下管网及基础）（拆除费用不作计价，乙方自行承担全部拆除施工成本。作为补偿，乙方享有拆除过程中产生的全部可回收废料（包括但不限于钢材、有色金属、废旧设备、建筑垃圾等）的处置权及收益权。乙方应通过合法渠道自行销售上述废料，销售收入归乙方所有，甲方不参与分成。）</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场地平整</w:t>
      </w:r>
      <w:r>
        <w:rPr>
          <w:rFonts w:hint="eastAsia" w:ascii="宋体" w:hAnsi="宋体" w:eastAsia="宋体" w:cs="宋体"/>
          <w:color w:val="auto"/>
          <w:sz w:val="24"/>
          <w:highlight w:val="none"/>
        </w:rPr>
        <w:t>、桩基础工程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含基坑支护）</w:t>
      </w:r>
      <w:r>
        <w:rPr>
          <w:rFonts w:hint="eastAsia" w:ascii="宋体" w:hAnsi="宋体" w:eastAsia="宋体" w:cs="宋体"/>
          <w:color w:val="auto"/>
          <w:sz w:val="24"/>
          <w:highlight w:val="none"/>
        </w:rPr>
        <w:t>、土方工程、建筑工程、装饰装修工程</w:t>
      </w:r>
      <w:r>
        <w:rPr>
          <w:rFonts w:hint="eastAsia" w:ascii="宋体" w:hAnsi="宋体" w:eastAsia="宋体" w:cs="宋体"/>
          <w:color w:val="auto"/>
          <w:sz w:val="24"/>
          <w:highlight w:val="none"/>
          <w:u w:val="single"/>
        </w:rPr>
        <w:t>（含通讯线网）</w:t>
      </w:r>
      <w:r>
        <w:rPr>
          <w:rFonts w:hint="eastAsia" w:ascii="宋体" w:hAnsi="宋体" w:eastAsia="宋体" w:cs="宋体"/>
          <w:color w:val="auto"/>
          <w:sz w:val="24"/>
          <w:highlight w:val="none"/>
        </w:rPr>
        <w:t>、电气工程、智能化工</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含监控系统）</w:t>
      </w:r>
      <w:r>
        <w:rPr>
          <w:rFonts w:hint="eastAsia" w:ascii="宋体" w:hAnsi="宋体" w:eastAsia="宋体" w:cs="宋体"/>
          <w:color w:val="auto"/>
          <w:sz w:val="24"/>
          <w:highlight w:val="none"/>
        </w:rPr>
        <w:t>、暖通工程、给排水工程、消防工程、电梯工程、人防工程、</w:t>
      </w:r>
      <w:r>
        <w:rPr>
          <w:rFonts w:hint="eastAsia" w:ascii="宋体" w:hAnsi="宋体" w:eastAsia="宋体" w:cs="宋体"/>
          <w:color w:val="auto"/>
          <w:sz w:val="24"/>
          <w:highlight w:val="none"/>
          <w:lang w:val="en-US" w:eastAsia="zh-CN"/>
        </w:rPr>
        <w:t>防雷工程、</w:t>
      </w:r>
      <w:r>
        <w:rPr>
          <w:rFonts w:hint="eastAsia" w:ascii="宋体" w:hAnsi="宋体" w:eastAsia="宋体" w:cs="宋体"/>
          <w:color w:val="auto"/>
          <w:sz w:val="24"/>
          <w:highlight w:val="none"/>
        </w:rPr>
        <w:t>燃气工程、临时用水、临时用电、永久用水、</w:t>
      </w:r>
      <w:r>
        <w:rPr>
          <w:rFonts w:hint="eastAsia" w:ascii="宋体" w:hAnsi="宋体" w:eastAsia="宋体" w:cs="宋体"/>
          <w:color w:val="auto"/>
          <w:sz w:val="24"/>
          <w:highlight w:val="none"/>
          <w:lang w:val="en-US" w:eastAsia="zh-CN"/>
        </w:rPr>
        <w:t>永久用电</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弱电工程</w:t>
      </w:r>
      <w:r>
        <w:rPr>
          <w:rFonts w:hint="eastAsia" w:ascii="宋体" w:hAnsi="宋体" w:eastAsia="宋体" w:cs="宋体"/>
          <w:color w:val="auto"/>
          <w:sz w:val="24"/>
          <w:highlight w:val="none"/>
        </w:rPr>
        <w:t>、室外工程（包括绿化、室外管网、室外园建、临时道路等）</w:t>
      </w:r>
      <w:bookmarkStart w:id="8" w:name="OLE_LINK2"/>
      <w:r>
        <w:rPr>
          <w:rFonts w:hint="eastAsia" w:ascii="宋体" w:hAnsi="宋体" w:eastAsia="宋体" w:cs="宋体"/>
          <w:color w:val="auto"/>
          <w:sz w:val="24"/>
          <w:highlight w:val="none"/>
        </w:rPr>
        <w:t>、</w:t>
      </w:r>
      <w:bookmarkEnd w:id="8"/>
      <w:r>
        <w:rPr>
          <w:rFonts w:hint="eastAsia" w:ascii="宋体" w:hAnsi="宋体" w:eastAsia="宋体" w:cs="宋体"/>
          <w:color w:val="auto"/>
          <w:sz w:val="24"/>
          <w:highlight w:val="none"/>
          <w:lang w:val="en-US" w:eastAsia="zh-CN"/>
        </w:rPr>
        <w:t>永久大门</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停车场</w:t>
      </w:r>
      <w:r>
        <w:rPr>
          <w:rFonts w:hint="eastAsia" w:ascii="宋体" w:hAnsi="宋体" w:eastAsia="宋体" w:cs="宋体"/>
          <w:color w:val="auto"/>
          <w:sz w:val="24"/>
          <w:highlight w:val="none"/>
        </w:rPr>
        <w:t>及配套设施工程等。配合甲方结算审核、工程保修等工作，组织本项目的验收备案和工程资料汇总及整理归档工作、配合办理工程开工及验收所需的各项手续、完成施工其它相关工作、负责施工管理配合服务，对由发包人另行发包的其他工程无条件提供配合服务工作，总承包服务费依据《广东省建设工程计价依据（2018）》及《广东省房屋建筑与装饰工程综合定额（2018）》执行，人工、材料、机械单价</w:t>
      </w:r>
      <w:r>
        <w:rPr>
          <w:rFonts w:hint="eastAsia" w:ascii="宋体" w:hAnsi="宋体" w:eastAsia="宋体" w:cs="宋体"/>
          <w:color w:val="auto"/>
          <w:sz w:val="24"/>
          <w:highlight w:val="none"/>
          <w:lang w:val="en-US" w:eastAsia="zh-CN"/>
        </w:rPr>
        <w:t>取定时间以开工报告出具当月为准，</w:t>
      </w:r>
      <w:r>
        <w:rPr>
          <w:rFonts w:hint="eastAsia" w:ascii="宋体" w:hAnsi="宋体" w:eastAsia="宋体" w:cs="宋体"/>
          <w:color w:val="auto"/>
          <w:sz w:val="24"/>
          <w:highlight w:val="none"/>
        </w:rPr>
        <w:t>包括但不限于第三方检测等提供场地和使用临时设施的配合工作。</w:t>
      </w:r>
      <w:r>
        <w:rPr>
          <w:rFonts w:hint="eastAsia" w:ascii="宋体" w:hAnsi="宋体" w:eastAsia="宋体" w:cs="宋体"/>
          <w:color w:val="auto"/>
          <w:sz w:val="24"/>
          <w:highlight w:val="none"/>
          <w:lang w:val="en-US" w:eastAsia="zh-CN"/>
        </w:rPr>
        <w:t>协助</w:t>
      </w:r>
      <w:r>
        <w:rPr>
          <w:rFonts w:hint="eastAsia" w:ascii="宋体" w:hAnsi="宋体" w:eastAsia="宋体" w:cs="宋体"/>
          <w:color w:val="auto"/>
          <w:sz w:val="24"/>
          <w:highlight w:val="none"/>
        </w:rPr>
        <w:t>办理不动产权证，负责协调施工过程中的相关职能部门及周边居民、施工期交通疏解等。</w:t>
      </w:r>
    </w:p>
    <w:p w14:paraId="2C6A0584">
      <w:pPr>
        <w:pStyle w:val="90"/>
        <w:snapToGrid w:val="0"/>
        <w:spacing w:line="360" w:lineRule="auto"/>
        <w:ind w:firstLine="480" w:firstLineChars="200"/>
        <w:jc w:val="left"/>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4</w:t>
      </w:r>
      <w:r>
        <w:rPr>
          <w:rFonts w:hint="eastAsia" w:ascii="宋体" w:hAnsi="宋体" w:eastAsia="宋体" w:cs="宋体"/>
          <w:color w:val="auto"/>
          <w:sz w:val="24"/>
          <w:szCs w:val="24"/>
          <w:highlight w:val="none"/>
        </w:rPr>
        <w:t>、运营部分：</w:t>
      </w:r>
    </w:p>
    <w:p w14:paraId="0D8EB73C">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highlight w:val="none"/>
        </w:rPr>
        <w:t>在运营期内，</w:t>
      </w:r>
      <w:r>
        <w:rPr>
          <w:rFonts w:hint="eastAsia" w:ascii="宋体" w:hAnsi="宋体" w:eastAsia="宋体" w:cs="宋体"/>
          <w:color w:val="auto"/>
          <w:sz w:val="24"/>
          <w:highlight w:val="none"/>
          <w:lang w:val="en-US" w:eastAsia="zh-CN"/>
        </w:rPr>
        <w:t>运营</w:t>
      </w:r>
      <w:r>
        <w:rPr>
          <w:rFonts w:hint="eastAsia" w:ascii="宋体" w:hAnsi="宋体" w:eastAsia="宋体" w:cs="宋体"/>
          <w:color w:val="auto"/>
          <w:sz w:val="24"/>
          <w:highlight w:val="none"/>
        </w:rPr>
        <w:t>方拥有园区运营管理权</w:t>
      </w:r>
      <w:r>
        <w:rPr>
          <w:rFonts w:hint="eastAsia" w:ascii="宋体" w:hAnsi="宋体" w:eastAsia="宋体" w:cs="宋体"/>
          <w:color w:val="auto"/>
          <w:sz w:val="24"/>
          <w:highlight w:val="none"/>
          <w:lang w:val="en-US" w:eastAsia="zh-CN"/>
        </w:rPr>
        <w:t>并</w:t>
      </w:r>
      <w:r>
        <w:rPr>
          <w:rFonts w:hint="eastAsia" w:ascii="宋体" w:hAnsi="宋体" w:eastAsia="宋体" w:cs="宋体"/>
          <w:bCs w:val="0"/>
          <w:color w:val="auto"/>
          <w:sz w:val="24"/>
          <w:highlight w:val="none"/>
          <w:lang w:val="en-US" w:eastAsia="zh-CN"/>
        </w:rPr>
        <w:t>向发包人支付租金</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由运营方以</w:t>
      </w:r>
      <w:r>
        <w:rPr>
          <w:rFonts w:hint="eastAsia" w:ascii="Times New Roman" w:hAnsi="Times New Roman" w:eastAsia="宋体" w:cs="Times New Roman"/>
          <w:color w:val="auto"/>
          <w:sz w:val="24"/>
          <w:highlight w:val="none"/>
        </w:rPr>
        <w:t>项目经营主体的名义</w:t>
      </w:r>
      <w:r>
        <w:rPr>
          <w:rFonts w:hint="eastAsia" w:ascii="宋体" w:hAnsi="宋体" w:eastAsia="宋体" w:cs="宋体"/>
          <w:color w:val="auto"/>
          <w:sz w:val="24"/>
          <w:highlight w:val="none"/>
          <w:lang w:val="en-US" w:eastAsia="zh-CN"/>
        </w:rPr>
        <w:t>运营管理</w:t>
      </w:r>
      <w:r>
        <w:rPr>
          <w:rFonts w:hint="eastAsia" w:ascii="宋体" w:hAnsi="宋体" w:eastAsia="宋体" w:cs="宋体"/>
          <w:color w:val="auto"/>
          <w:sz w:val="24"/>
          <w:highlight w:val="none"/>
        </w:rPr>
        <w:t>竣工后的村工业集聚区</w:t>
      </w:r>
      <w:r>
        <w:rPr>
          <w:rFonts w:hint="eastAsia" w:ascii="宋体" w:hAnsi="宋体" w:eastAsia="宋体" w:cs="宋体"/>
          <w:color w:val="auto"/>
          <w:sz w:val="24"/>
          <w:highlight w:val="none"/>
          <w:lang w:eastAsia="zh-CN"/>
        </w:rPr>
        <w:t>工业园</w:t>
      </w:r>
      <w:r>
        <w:rPr>
          <w:rFonts w:hint="eastAsia" w:ascii="宋体" w:hAnsi="宋体" w:eastAsia="宋体" w:cs="宋体"/>
          <w:color w:val="auto"/>
          <w:sz w:val="24"/>
          <w:highlight w:val="none"/>
        </w:rPr>
        <w:t>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包括</w:t>
      </w:r>
      <w:r>
        <w:rPr>
          <w:rFonts w:hint="eastAsia" w:ascii="宋体" w:hAnsi="宋体" w:eastAsia="宋体" w:cs="宋体"/>
          <w:color w:val="auto"/>
          <w:sz w:val="24"/>
          <w:highlight w:val="none"/>
          <w:lang w:val="en-US" w:eastAsia="zh-CN"/>
        </w:rPr>
        <w:t>但不限于提供</w:t>
      </w:r>
      <w:r>
        <w:rPr>
          <w:rFonts w:hint="eastAsia" w:ascii="宋体" w:hAnsi="宋体" w:eastAsia="宋体" w:cs="宋体"/>
          <w:color w:val="auto"/>
          <w:sz w:val="24"/>
          <w:highlight w:val="none"/>
        </w:rPr>
        <w:t>园区产业定位及规划、园区品牌运营及推广、园区入驻企业招商及管理、园区服务业引入管理、园区物业管理等服务</w:t>
      </w:r>
      <w:r>
        <w:rPr>
          <w:rFonts w:hint="eastAsia" w:ascii="宋体" w:hAnsi="宋体" w:eastAsia="宋体" w:cs="宋体"/>
          <w:color w:val="auto"/>
          <w:sz w:val="24"/>
          <w:highlight w:val="none"/>
          <w:lang w:eastAsia="zh-CN"/>
        </w:rPr>
        <w:t>。</w:t>
      </w:r>
    </w:p>
    <w:p w14:paraId="71A4295C">
      <w:pPr>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作为联合体牵头方负责勘察、设计、施工及</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运营及其它工程及协调工作。</w:t>
      </w:r>
    </w:p>
    <w:p w14:paraId="4C6741C2">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内容主要包括但不限于：</w:t>
      </w:r>
    </w:p>
    <w:p w14:paraId="502C7712">
      <w:pPr>
        <w:pStyle w:val="90"/>
        <w:snapToGrid w:val="0"/>
        <w:spacing w:line="360" w:lineRule="auto"/>
        <w:ind w:firstLine="240" w:firstLineChars="100"/>
        <w:jc w:val="left"/>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（1）产业规划与定位，根据番禺区发展战略规划及经济发展形势，规划</w:t>
      </w:r>
      <w:r>
        <w:rPr>
          <w:rFonts w:hint="eastAsia" w:ascii="宋体" w:hAnsi="宋体" w:eastAsia="宋体" w:cs="宋体"/>
          <w:color w:val="auto"/>
          <w:sz w:val="24"/>
          <w:szCs w:val="24"/>
          <w:highlight w:val="none"/>
          <w:lang w:eastAsia="zh-CN"/>
        </w:rPr>
        <w:t>工业园</w:t>
      </w:r>
      <w:r>
        <w:rPr>
          <w:rFonts w:ascii="宋体" w:hAnsi="宋体" w:eastAsia="宋体" w:cs="宋体"/>
          <w:color w:val="auto"/>
          <w:sz w:val="24"/>
          <w:szCs w:val="24"/>
          <w:highlight w:val="none"/>
        </w:rPr>
        <w:t>区发展方向，明确园区产业定位，规划园区引入产业的类别，策划《招商规划方案》</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并执行。</w:t>
      </w:r>
    </w:p>
    <w:p w14:paraId="7FB09DC5">
      <w:pPr>
        <w:pStyle w:val="90"/>
        <w:snapToGrid w:val="0"/>
        <w:spacing w:line="360" w:lineRule="auto"/>
        <w:ind w:firstLine="240" w:firstLineChars="100"/>
        <w:jc w:val="left"/>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（2）产品策划设计，根据</w:t>
      </w:r>
      <w:r>
        <w:rPr>
          <w:rFonts w:hint="eastAsia" w:ascii="宋体" w:hAnsi="宋体" w:eastAsia="宋体" w:cs="宋体"/>
          <w:color w:val="auto"/>
          <w:sz w:val="24"/>
          <w:szCs w:val="24"/>
          <w:highlight w:val="none"/>
          <w:lang w:eastAsia="zh-CN"/>
        </w:rPr>
        <w:t>工业园</w:t>
      </w:r>
      <w:r>
        <w:rPr>
          <w:rFonts w:ascii="宋体" w:hAnsi="宋体" w:eastAsia="宋体" w:cs="宋体"/>
          <w:color w:val="auto"/>
          <w:sz w:val="24"/>
          <w:szCs w:val="24"/>
          <w:highlight w:val="none"/>
        </w:rPr>
        <w:t>定位与市场需求来规划设计</w:t>
      </w:r>
      <w:r>
        <w:rPr>
          <w:rFonts w:hint="eastAsia" w:ascii="宋体" w:hAnsi="宋体" w:eastAsia="宋体" w:cs="宋体"/>
          <w:color w:val="auto"/>
          <w:sz w:val="24"/>
          <w:szCs w:val="24"/>
          <w:highlight w:val="none"/>
        </w:rPr>
        <w:t>项目</w:t>
      </w:r>
      <w:r>
        <w:rPr>
          <w:rFonts w:ascii="宋体" w:hAnsi="宋体" w:eastAsia="宋体" w:cs="宋体"/>
          <w:color w:val="auto"/>
          <w:sz w:val="24"/>
          <w:szCs w:val="24"/>
          <w:highlight w:val="none"/>
        </w:rPr>
        <w:t>。</w:t>
      </w:r>
    </w:p>
    <w:p w14:paraId="0A30609C">
      <w:pPr>
        <w:pStyle w:val="90"/>
        <w:snapToGrid w:val="0"/>
        <w:spacing w:line="360" w:lineRule="auto"/>
        <w:ind w:firstLine="240" w:firstLineChars="100"/>
        <w:jc w:val="left"/>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（3）品牌宣传推广</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根据园区引入产业定位，策划</w:t>
      </w:r>
      <w:r>
        <w:rPr>
          <w:rFonts w:hint="eastAsia" w:ascii="宋体" w:hAnsi="宋体" w:eastAsia="宋体" w:cs="宋体"/>
          <w:color w:val="auto"/>
          <w:sz w:val="24"/>
          <w:szCs w:val="24"/>
          <w:highlight w:val="none"/>
          <w:lang w:eastAsia="zh-CN"/>
        </w:rPr>
        <w:t>工业园</w:t>
      </w:r>
      <w:r>
        <w:rPr>
          <w:rFonts w:ascii="宋体" w:hAnsi="宋体" w:eastAsia="宋体" w:cs="宋体"/>
          <w:color w:val="auto"/>
          <w:sz w:val="24"/>
          <w:szCs w:val="24"/>
          <w:highlight w:val="none"/>
        </w:rPr>
        <w:t>品牌推广思路，策划《品牌定位与发展战略规划》</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为园区发展提供推广与宣传方向，并按方案执行。</w:t>
      </w:r>
    </w:p>
    <w:p w14:paraId="5E47C359">
      <w:pPr>
        <w:pStyle w:val="90"/>
        <w:snapToGrid w:val="0"/>
        <w:spacing w:line="360" w:lineRule="auto"/>
        <w:ind w:firstLine="240" w:firstLineChars="100"/>
        <w:jc w:val="left"/>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（4）产业招商推广</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围绕</w:t>
      </w:r>
      <w:r>
        <w:rPr>
          <w:rFonts w:hint="eastAsia" w:ascii="宋体" w:hAnsi="宋体" w:eastAsia="宋体" w:cs="宋体"/>
          <w:color w:val="auto"/>
          <w:sz w:val="24"/>
          <w:szCs w:val="24"/>
          <w:highlight w:val="none"/>
          <w:lang w:eastAsia="zh-CN"/>
        </w:rPr>
        <w:t>工业园</w:t>
      </w:r>
      <w:r>
        <w:rPr>
          <w:rFonts w:ascii="宋体" w:hAnsi="宋体" w:eastAsia="宋体" w:cs="宋体"/>
          <w:color w:val="auto"/>
          <w:sz w:val="24"/>
          <w:szCs w:val="24"/>
          <w:highlight w:val="none"/>
        </w:rPr>
        <w:t>区定位及产业规划，需要制定《招商推广方案》</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同时结合乙方国内外优势及上下游相关产业资源，自行组织入驻企业招商活动</w:t>
      </w:r>
      <w:r>
        <w:rPr>
          <w:rFonts w:hint="eastAsia" w:ascii="宋体" w:hAnsi="宋体" w:eastAsia="宋体" w:cs="宋体"/>
          <w:color w:val="auto"/>
          <w:sz w:val="24"/>
          <w:szCs w:val="24"/>
          <w:highlight w:val="none"/>
          <w:lang w:eastAsia="zh-CN"/>
        </w:rPr>
        <w:t>。</w:t>
      </w:r>
    </w:p>
    <w:p w14:paraId="0FE7BA47">
      <w:pPr>
        <w:pStyle w:val="90"/>
        <w:snapToGrid w:val="0"/>
        <w:spacing w:line="360" w:lineRule="auto"/>
        <w:ind w:firstLine="240" w:firstLineChars="100"/>
        <w:jc w:val="left"/>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（5）入驻企业管理，根据园区工业上楼规划，针对</w:t>
      </w:r>
      <w:r>
        <w:rPr>
          <w:rFonts w:hint="eastAsia" w:ascii="宋体" w:hAnsi="宋体" w:eastAsia="宋体" w:cs="宋体"/>
          <w:color w:val="auto"/>
          <w:sz w:val="24"/>
          <w:szCs w:val="24"/>
          <w:highlight w:val="none"/>
        </w:rPr>
        <w:t>战略性</w:t>
      </w:r>
      <w:r>
        <w:rPr>
          <w:rFonts w:ascii="宋体" w:hAnsi="宋体" w:eastAsia="宋体" w:cs="宋体"/>
          <w:color w:val="auto"/>
          <w:sz w:val="24"/>
          <w:szCs w:val="24"/>
          <w:highlight w:val="none"/>
        </w:rPr>
        <w:t>新兴产业类别，引入具有发展潜力的实体企业，实现新兴产业上楼，推进新型工业化。</w:t>
      </w:r>
    </w:p>
    <w:p w14:paraId="59EF4B87">
      <w:pPr>
        <w:pStyle w:val="90"/>
        <w:snapToGrid w:val="0"/>
        <w:spacing w:line="360" w:lineRule="auto"/>
        <w:ind w:firstLine="240" w:firstLineChars="100"/>
        <w:jc w:val="left"/>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（6）园区运营服务。针对入园企业及商事主体，围绕地下停车场、园区空地等有效空间，为入驻租户提供各项服务便利。</w:t>
      </w:r>
    </w:p>
    <w:p w14:paraId="3B289158">
      <w:pPr>
        <w:pStyle w:val="22"/>
        <w:spacing w:line="360" w:lineRule="auto"/>
        <w:ind w:firstLine="240" w:firstLineChars="100"/>
        <w:jc w:val="left"/>
        <w:rPr>
          <w:rFonts w:hint="eastAsia" w:hAnsi="宋体" w:eastAsia="宋体" w:cs="宋体"/>
          <w:color w:val="auto"/>
          <w:sz w:val="24"/>
          <w:szCs w:val="24"/>
          <w:highlight w:val="none"/>
        </w:rPr>
      </w:pPr>
      <w:r>
        <w:rPr>
          <w:rFonts w:hAnsi="宋体" w:eastAsia="宋体" w:cs="宋体"/>
          <w:color w:val="auto"/>
          <w:sz w:val="24"/>
          <w:szCs w:val="24"/>
          <w:highlight w:val="none"/>
        </w:rPr>
        <w:t>（</w:t>
      </w:r>
      <w:r>
        <w:rPr>
          <w:rFonts w:hint="eastAsia" w:hAnsi="宋体" w:eastAsia="宋体" w:cs="宋体"/>
          <w:color w:val="auto"/>
          <w:sz w:val="24"/>
          <w:szCs w:val="24"/>
          <w:highlight w:val="none"/>
        </w:rPr>
        <w:t>7</w:t>
      </w:r>
      <w:r>
        <w:rPr>
          <w:rFonts w:hAnsi="宋体" w:eastAsia="宋体" w:cs="宋体"/>
          <w:color w:val="auto"/>
          <w:sz w:val="24"/>
          <w:szCs w:val="24"/>
          <w:highlight w:val="none"/>
        </w:rPr>
        <w:t>）</w:t>
      </w:r>
      <w:r>
        <w:rPr>
          <w:rFonts w:hint="eastAsia" w:hAnsi="宋体" w:eastAsia="宋体" w:cs="宋体"/>
          <w:color w:val="auto"/>
          <w:sz w:val="24"/>
          <w:szCs w:val="24"/>
          <w:highlight w:val="none"/>
        </w:rPr>
        <w:t>园区物业管理。针对园区组织运营管理体系，建立运营管理机制，提供管理服务。</w:t>
      </w:r>
    </w:p>
    <w:p w14:paraId="735574DA">
      <w:pPr>
        <w:pStyle w:val="90"/>
        <w:snapToGrid w:val="0"/>
        <w:spacing w:line="360" w:lineRule="auto"/>
        <w:ind w:firstLine="240" w:firstLineChars="100"/>
        <w:jc w:val="left"/>
        <w:rPr>
          <w:rFonts w:hint="eastAsia" w:ascii="宋体" w:hAnsi="宋体" w:eastAsia="宋体" w:cs="宋体"/>
          <w:i w:val="0"/>
          <w:caps w:val="0"/>
          <w:color w:val="auto"/>
          <w:spacing w:val="0"/>
          <w:sz w:val="24"/>
          <w:szCs w:val="24"/>
          <w:highlight w:val="none"/>
          <w:shd w:val="clear" w:fill="FFFFFF"/>
          <w:lang w:val="en-US" w:eastAsia="zh-CN"/>
        </w:rPr>
      </w:pPr>
      <w:r>
        <w:rPr>
          <w:rFonts w:hint="default"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lang w:val="en-US" w:eastAsia="zh-CN"/>
        </w:rPr>
        <w:t>8</w:t>
      </w:r>
      <w:r>
        <w:rPr>
          <w:rFonts w:hint="default" w:ascii="宋体" w:hAnsi="宋体" w:eastAsia="宋体" w:cs="宋体"/>
          <w:color w:val="auto"/>
          <w:sz w:val="24"/>
          <w:szCs w:val="24"/>
          <w:highlight w:val="none"/>
          <w:lang w:eastAsia="zh-CN"/>
        </w:rPr>
        <w:t>）</w:t>
      </w:r>
      <w:r>
        <w:rPr>
          <w:rFonts w:ascii="宋体" w:hAnsi="宋体" w:eastAsia="宋体" w:cs="宋体"/>
          <w:i w:val="0"/>
          <w:caps w:val="0"/>
          <w:color w:val="auto"/>
          <w:spacing w:val="0"/>
          <w:sz w:val="24"/>
          <w:szCs w:val="24"/>
          <w:highlight w:val="none"/>
          <w:shd w:val="clear" w:fill="FFFFFF"/>
        </w:rPr>
        <w:t>施工方、设计方、勘察方</w:t>
      </w:r>
      <w:r>
        <w:rPr>
          <w:rFonts w:hint="eastAsia" w:ascii="宋体" w:hAnsi="宋体" w:eastAsia="宋体" w:cs="宋体"/>
          <w:i w:val="0"/>
          <w:caps w:val="0"/>
          <w:color w:val="auto"/>
          <w:spacing w:val="0"/>
          <w:sz w:val="24"/>
          <w:szCs w:val="24"/>
          <w:highlight w:val="none"/>
          <w:shd w:val="clear" w:fill="FFFFFF"/>
          <w:lang w:val="en-US" w:eastAsia="zh-CN"/>
        </w:rPr>
        <w:t>不参与</w:t>
      </w:r>
      <w:r>
        <w:rPr>
          <w:rFonts w:ascii="宋体" w:hAnsi="宋体" w:eastAsia="宋体" w:cs="宋体"/>
          <w:i w:val="0"/>
          <w:caps w:val="0"/>
          <w:color w:val="auto"/>
          <w:spacing w:val="0"/>
          <w:sz w:val="24"/>
          <w:szCs w:val="24"/>
          <w:highlight w:val="none"/>
          <w:shd w:val="clear" w:fill="FFFFFF"/>
        </w:rPr>
        <w:t>运营方</w:t>
      </w:r>
      <w:r>
        <w:rPr>
          <w:rFonts w:hint="default" w:ascii="宋体" w:hAnsi="宋体" w:eastAsia="宋体" w:cs="宋体"/>
          <w:i w:val="0"/>
          <w:caps w:val="0"/>
          <w:color w:val="auto"/>
          <w:spacing w:val="0"/>
          <w:sz w:val="24"/>
          <w:szCs w:val="24"/>
          <w:highlight w:val="none"/>
          <w:shd w:val="clear" w:fill="FFFFFF"/>
          <w:lang w:val="en-US"/>
        </w:rPr>
        <w:t>的任何运营</w:t>
      </w:r>
      <w:r>
        <w:rPr>
          <w:rFonts w:hint="default" w:ascii="宋体" w:hAnsi="宋体" w:eastAsia="宋体" w:cs="宋体"/>
          <w:i w:val="0"/>
          <w:caps w:val="0"/>
          <w:color w:val="auto"/>
          <w:spacing w:val="0"/>
          <w:sz w:val="24"/>
          <w:szCs w:val="24"/>
          <w:highlight w:val="none"/>
          <w:shd w:val="clear" w:fill="FFFFFF"/>
          <w:lang w:val="en-US" w:eastAsia="zh-CN"/>
        </w:rPr>
        <w:t>事宜</w:t>
      </w:r>
      <w:r>
        <w:rPr>
          <w:rFonts w:hint="eastAsia" w:ascii="宋体" w:hAnsi="宋体" w:eastAsia="宋体" w:cs="宋体"/>
          <w:i w:val="0"/>
          <w:caps w:val="0"/>
          <w:color w:val="auto"/>
          <w:spacing w:val="0"/>
          <w:sz w:val="24"/>
          <w:szCs w:val="24"/>
          <w:highlight w:val="none"/>
          <w:shd w:val="clear" w:fill="FFFFFF"/>
          <w:lang w:val="en-US" w:eastAsia="zh-CN"/>
        </w:rPr>
        <w:t>，除合同另有约定外，</w:t>
      </w:r>
      <w:r>
        <w:rPr>
          <w:rFonts w:ascii="宋体" w:hAnsi="宋体" w:eastAsia="宋体" w:cs="宋体"/>
          <w:i w:val="0"/>
          <w:caps w:val="0"/>
          <w:color w:val="auto"/>
          <w:spacing w:val="0"/>
          <w:sz w:val="24"/>
          <w:szCs w:val="24"/>
          <w:highlight w:val="none"/>
          <w:shd w:val="clear" w:fill="FFFFFF"/>
        </w:rPr>
        <w:t>施工方、设计方、勘察方</w:t>
      </w:r>
      <w:r>
        <w:rPr>
          <w:rFonts w:hint="eastAsia" w:ascii="宋体" w:hAnsi="宋体" w:eastAsia="宋体" w:cs="宋体"/>
          <w:i w:val="0"/>
          <w:caps w:val="0"/>
          <w:color w:val="auto"/>
          <w:spacing w:val="0"/>
          <w:sz w:val="24"/>
          <w:szCs w:val="24"/>
          <w:highlight w:val="none"/>
          <w:shd w:val="clear" w:fill="FFFFFF"/>
          <w:lang w:eastAsia="zh-CN"/>
        </w:rPr>
        <w:t>、</w:t>
      </w:r>
      <w:r>
        <w:rPr>
          <w:rFonts w:ascii="宋体" w:hAnsi="宋体" w:eastAsia="宋体" w:cs="宋体"/>
          <w:i w:val="0"/>
          <w:caps w:val="0"/>
          <w:color w:val="auto"/>
          <w:spacing w:val="0"/>
          <w:sz w:val="24"/>
          <w:szCs w:val="24"/>
          <w:highlight w:val="none"/>
          <w:shd w:val="clear" w:fill="FFFFFF"/>
        </w:rPr>
        <w:t>运营方</w:t>
      </w:r>
      <w:r>
        <w:rPr>
          <w:rFonts w:hint="eastAsia" w:ascii="宋体" w:hAnsi="宋体" w:eastAsia="宋体" w:cs="宋体"/>
          <w:i w:val="0"/>
          <w:caps w:val="0"/>
          <w:color w:val="auto"/>
          <w:spacing w:val="0"/>
          <w:sz w:val="24"/>
          <w:szCs w:val="24"/>
          <w:highlight w:val="none"/>
          <w:shd w:val="clear" w:fill="FFFFFF"/>
          <w:lang w:val="en-US" w:eastAsia="zh-CN"/>
        </w:rPr>
        <w:t>各自独立承担工作职责和合同范围内的工作义务，彼此不承担连带责任。</w:t>
      </w:r>
    </w:p>
    <w:p w14:paraId="70B2EDB8">
      <w:pPr>
        <w:pStyle w:val="90"/>
        <w:snapToGrid w:val="0"/>
        <w:spacing w:line="360" w:lineRule="auto"/>
        <w:ind w:firstLine="4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（三）限额及标准</w:t>
      </w:r>
    </w:p>
    <w:p w14:paraId="1AAD37F8">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1、本工程建筑安装工程费用总限额约为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万元人民币（含税）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其中</w:t>
      </w:r>
      <w:r>
        <w:rPr>
          <w:rFonts w:hint="eastAsia" w:ascii="宋体" w:hAnsi="宋体" w:eastAsia="宋体" w:cs="宋体"/>
          <w:color w:val="auto"/>
          <w:kern w:val="0"/>
          <w:sz w:val="24"/>
          <w:highlight w:val="none"/>
          <w:lang w:val="en-US" w:eastAsia="zh-CN"/>
        </w:rPr>
        <w:t>暂定一期工程施工费为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none"/>
        </w:rPr>
        <w:t>元</w:t>
      </w:r>
      <w:r>
        <w:rPr>
          <w:rFonts w:hint="eastAsia" w:ascii="宋体" w:hAnsi="宋体" w:eastAsia="宋体" w:cs="宋体"/>
          <w:color w:val="auto"/>
          <w:kern w:val="0"/>
          <w:sz w:val="24"/>
          <w:highlight w:val="none"/>
          <w:u w:val="none"/>
          <w:lang w:eastAsia="zh-CN"/>
        </w:rPr>
        <w:t>；</w:t>
      </w:r>
      <w:r>
        <w:rPr>
          <w:rFonts w:hint="eastAsia" w:ascii="宋体" w:hAnsi="宋体" w:eastAsia="宋体" w:cs="宋体"/>
          <w:color w:val="auto"/>
          <w:kern w:val="0"/>
          <w:sz w:val="24"/>
          <w:highlight w:val="none"/>
          <w:lang w:val="en-US" w:eastAsia="zh-CN"/>
        </w:rPr>
        <w:t xml:space="preserve"> 暂定二期工程施工费为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none"/>
        </w:rPr>
        <w:t>元</w:t>
      </w:r>
      <w:r>
        <w:rPr>
          <w:rFonts w:hint="eastAsia" w:ascii="宋体" w:hAnsi="宋体" w:eastAsia="宋体" w:cs="宋体"/>
          <w:color w:val="auto"/>
          <w:kern w:val="0"/>
          <w:sz w:val="24"/>
          <w:highlight w:val="none"/>
          <w:u w:val="none"/>
          <w:lang w:eastAsia="zh-CN"/>
        </w:rPr>
        <w:t>；</w:t>
      </w:r>
      <w:r>
        <w:rPr>
          <w:rFonts w:hint="eastAsia" w:ascii="宋体" w:hAnsi="宋体" w:eastAsia="宋体" w:cs="宋体"/>
          <w:color w:val="auto"/>
          <w:kern w:val="0"/>
          <w:sz w:val="24"/>
          <w:highlight w:val="none"/>
          <w:lang w:val="en-US" w:eastAsia="zh-CN"/>
        </w:rPr>
        <w:t xml:space="preserve"> 暂定三期工程施工费为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none"/>
        </w:rPr>
        <w:t>元</w:t>
      </w:r>
      <w:r>
        <w:rPr>
          <w:rFonts w:hint="eastAsia" w:ascii="宋体" w:hAnsi="宋体" w:eastAsia="宋体" w:cs="宋体"/>
          <w:color w:val="auto"/>
          <w:sz w:val="24"/>
          <w:highlight w:val="none"/>
        </w:rPr>
        <w:t>，具体限额以甲方另行发出的文件为准。应按照甲方的要求，并结合全要素标准的各项内容、要求，遵循功能适用、标准合理、经济合理的原则开展设计。在</w:t>
      </w:r>
      <w:r>
        <w:rPr>
          <w:rFonts w:hint="eastAsia" w:ascii="宋体" w:hAnsi="宋体" w:eastAsia="宋体" w:cs="宋体"/>
          <w:color w:val="auto"/>
          <w:sz w:val="24"/>
          <w:highlight w:val="none"/>
          <w:lang w:val="en-US" w:eastAsia="zh-CN"/>
        </w:rPr>
        <w:t>每期</w:t>
      </w:r>
      <w:r>
        <w:rPr>
          <w:rFonts w:hint="eastAsia" w:ascii="宋体" w:hAnsi="宋体" w:eastAsia="宋体" w:cs="宋体"/>
          <w:color w:val="auto"/>
          <w:sz w:val="24"/>
          <w:highlight w:val="none"/>
        </w:rPr>
        <w:t>投资限额目标的基础上，按工程设计内容进一步分解投资，根据投资控制主要指标，在编制设计概、预算时逐步细化落实。</w:t>
      </w:r>
    </w:p>
    <w:p w14:paraId="1BCF466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lang w:val="en-US" w:eastAsia="zh-CN"/>
        </w:rPr>
        <w:t>招标时甲方提供的</w:t>
      </w:r>
      <w:r>
        <w:rPr>
          <w:rFonts w:hint="eastAsia" w:ascii="宋体" w:hAnsi="宋体" w:eastAsia="宋体" w:cs="宋体"/>
          <w:color w:val="auto"/>
          <w:sz w:val="24"/>
          <w:szCs w:val="24"/>
          <w:highlight w:val="none"/>
        </w:rPr>
        <w:t>工程量清单为基础编制设计方案和施工方案，最终施工图以</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审批通过并确认的图纸为准。按基本建设流程依次进行方案设计、初步设计、施工图设计、深化设计，并按国家、广东省、广州市以及现行有关工程造价管理的文件分别编制初步设计概算、施工图预算。</w:t>
      </w:r>
      <w:r>
        <w:rPr>
          <w:rFonts w:hint="eastAsia" w:ascii="宋体" w:hAnsi="宋体" w:eastAsia="宋体" w:cs="宋体"/>
          <w:b/>
          <w:bCs/>
          <w:color w:val="auto"/>
          <w:sz w:val="24"/>
          <w:szCs w:val="24"/>
          <w:highlight w:val="none"/>
        </w:rPr>
        <w:t>初步设计概算不超建安工程费中标价，否则初步设计概算将不被批准，初步设计需重新优化；施工图预算不超概算，否则施工图预算将不被批准，施工图需重新优化</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val="en-US" w:eastAsia="zh-CN"/>
        </w:rPr>
        <w:t>因重新优化产生的费用由乙方自行承担。</w:t>
      </w:r>
      <w:r>
        <w:rPr>
          <w:rFonts w:hint="eastAsia" w:ascii="宋体" w:hAnsi="宋体" w:eastAsia="宋体" w:cs="宋体"/>
          <w:color w:val="auto"/>
          <w:sz w:val="24"/>
          <w:szCs w:val="24"/>
          <w:highlight w:val="none"/>
        </w:rPr>
        <w:t>建安费概算和预算需报送甲方选定的造价咨询单位评审，最终初步设计概算和施工图预算编制以甲方意见为准。</w:t>
      </w:r>
    </w:p>
    <w:p w14:paraId="34050DD0">
      <w:pPr>
        <w:pStyle w:val="9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暂定工程施工造价</w:t>
      </w:r>
      <w:r>
        <w:rPr>
          <w:rFonts w:hint="eastAsia" w:ascii="宋体" w:hAnsi="宋体" w:eastAsia="宋体" w:cs="宋体"/>
          <w:color w:val="auto"/>
          <w:sz w:val="24"/>
          <w:szCs w:val="24"/>
          <w:highlight w:val="none"/>
        </w:rPr>
        <w:t>仅作为预付款支付的依据，不作为支付进度款及结决算等的依据。施工图预算编制须结合中标下浮率进行下浮编制。本工程实行全过程限额设计施工。甲方有独立决定最终实施方案的权利，如果甲方决定某项内容不实施或进行实施方案调整的，不视为甲方违约，乙方应予以配合，乙方不得以此为理由向甲方进行索赔；所有工程变更需经过甲方审定后方可实施；项目在施工阶段，因乙方自身因素引起的设计及施工调整的费用由乙方承担。建安费结算价不得超过施工图预算价（甲方增加的指令变更除外）。</w:t>
      </w:r>
    </w:p>
    <w:p w14:paraId="62E4E644">
      <w:pPr>
        <w:pStyle w:val="90"/>
        <w:snapToGrid w:val="0"/>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highlight w:val="none"/>
        </w:rPr>
        <w:t>3、概、预算编制依据</w:t>
      </w:r>
    </w:p>
    <w:p w14:paraId="6AFADF53">
      <w:pPr>
        <w:autoSpaceDE w:val="0"/>
        <w:autoSpaceDN w:val="0"/>
        <w:adjustRightInd w:val="0"/>
        <w:spacing w:line="360" w:lineRule="auto"/>
        <w:ind w:left="-1" w:firstLine="480" w:firstLineChars="200"/>
        <w:jc w:val="left"/>
        <w:rPr>
          <w:rFonts w:hint="eastAsia" w:ascii="宋体" w:hAnsi="宋体" w:cs="宋体"/>
          <w:color w:val="auto"/>
          <w:sz w:val="24"/>
          <w:highlight w:val="none"/>
        </w:rPr>
      </w:pPr>
      <w:r>
        <w:rPr>
          <w:rFonts w:hint="eastAsia" w:ascii="宋体" w:hAnsi="宋体" w:eastAsia="宋体" w:cs="宋体"/>
          <w:color w:val="auto"/>
          <w:sz w:val="24"/>
          <w:highlight w:val="none"/>
        </w:rPr>
        <w:t>3.1勘察、设计费：本合同的相关约定；《2002年勘察设计收费标准》；招标文件；投标文件，其他相关规范和标准。</w:t>
      </w:r>
    </w:p>
    <w:p w14:paraId="492A1A1A">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概算工程建安费、施工图预算编制及工程量计算：依据甲方审核并经相关主管部门批准的初步设计图纸、施工图纸、资料和说明，及有关国家及行业标准、规范等以清单计价方式进行编制；计价依据执行《建设工程工程量清单计价标准》(GB/T 50500-2024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广东省建设工程计价依据（2018）》及《广东省房屋建筑与装饰工程综合定额（2018）》《广东省通用安装工程综合定额（2018）》《广东省市政工程综合定额（2018）》《广东省园林绿化工程综合定额（2018）》以及相应配套的取费文件，取费规定中有上下限的，按低值计算。如编制概算或预算时遇到政府部门有相关文件的更新替换，则按相关新文件执行，如工程开工后遇政府部门有相关文件的更新替换，则优先按预算编制已执行的计价依据。</w:t>
      </w:r>
    </w:p>
    <w:p w14:paraId="76FE2F5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3.3</w:t>
      </w:r>
      <w:r>
        <w:rPr>
          <w:rFonts w:hint="eastAsia" w:ascii="宋体" w:hAnsi="宋体" w:eastAsia="宋体" w:cs="宋体"/>
          <w:color w:val="auto"/>
          <w:sz w:val="24"/>
          <w:highlight w:val="none"/>
          <w:lang w:val="en-US" w:eastAsia="zh-CN"/>
        </w:rPr>
        <w:t>本项目分三期建设，按照项目建设进度分别独立结算，</w:t>
      </w:r>
      <w:r>
        <w:rPr>
          <w:rFonts w:hint="eastAsia" w:ascii="宋体" w:hAnsi="宋体" w:eastAsia="宋体" w:cs="宋体"/>
          <w:color w:val="auto"/>
          <w:sz w:val="24"/>
          <w:highlight w:val="none"/>
        </w:rPr>
        <w:t>人工、材料、机械单价以</w:t>
      </w:r>
      <w:r>
        <w:rPr>
          <w:rFonts w:hint="eastAsia" w:ascii="宋体" w:hAnsi="宋体" w:eastAsia="宋体" w:cs="宋体"/>
          <w:color w:val="auto"/>
          <w:sz w:val="24"/>
          <w:highlight w:val="none"/>
          <w:lang w:val="en-US" w:eastAsia="zh-CN"/>
        </w:rPr>
        <w:t>出具每期开工报告当月的</w:t>
      </w:r>
      <w:r>
        <w:rPr>
          <w:rFonts w:hint="eastAsia" w:ascii="宋体" w:hAnsi="宋体" w:eastAsia="宋体" w:cs="宋体"/>
          <w:color w:val="auto"/>
          <w:sz w:val="24"/>
          <w:highlight w:val="none"/>
        </w:rPr>
        <w:t>广州市建设工程造价管理站发布的最新价格信息《广州地区建设工程常用材料税前综合价格》及《广州地区建设工程材料(设备)厂商价格信息》和有效文件为准。市造价站未发布的材料，则由乙方申报满足设计要求和发包人甲方对产品档次的要求，并符合国家（行业）产品标准的厂家和品牌后，则以市场询价方式，由乙方申报至少三个厂家（品牌）及报价报给监理单位、造价单位和甲方审核确认。如经甲方市场询价发现乙方申报的设备材料品牌的价格偏离询价方式确认的市场实际价格，则甲方有权更换设备材料品牌。如有必要，则由甲方、乙方、监理人、造价咨询单位共同组成询价小组，制定相应的询价办法进行询价，并提供合规的询价单。经市场询价发现所选用品牌的价格严重偏离市场实际价格，甲方有权按市场实际价格调整该材料的价格或选用其他品牌。</w:t>
      </w:r>
    </w:p>
    <w:p w14:paraId="7000CDF5">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3.4乙方收到甲方确认的设计施工图</w:t>
      </w:r>
      <w:r>
        <w:rPr>
          <w:rFonts w:hint="eastAsia" w:ascii="宋体" w:hAnsi="宋体" w:eastAsia="宋体" w:cs="宋体"/>
          <w:color w:val="auto"/>
          <w:sz w:val="24"/>
          <w:highlight w:val="none"/>
          <w:lang w:val="en-US" w:eastAsia="zh-CN"/>
        </w:rPr>
        <w:t>45日历</w:t>
      </w:r>
      <w:r>
        <w:rPr>
          <w:rFonts w:hint="eastAsia" w:ascii="宋体" w:hAnsi="宋体" w:eastAsia="宋体" w:cs="宋体"/>
          <w:color w:val="auto"/>
          <w:sz w:val="24"/>
          <w:highlight w:val="none"/>
        </w:rPr>
        <w:t>天内报送施工图预算书（可根据施工图分批次报送）给甲方，同时送甲方选定的造价咨询单位进行审核，</w:t>
      </w:r>
      <w:r>
        <w:rPr>
          <w:rFonts w:hint="eastAsia" w:ascii="宋体" w:hAnsi="宋体" w:eastAsia="宋体" w:cs="宋体"/>
          <w:color w:val="auto"/>
          <w:sz w:val="24"/>
          <w:highlight w:val="none"/>
          <w:lang w:val="en-US" w:eastAsia="zh-CN"/>
        </w:rPr>
        <w:t>造价咨询单位15日历天内提交造价咨询报告，</w:t>
      </w:r>
      <w:r>
        <w:rPr>
          <w:rFonts w:hint="eastAsia" w:ascii="宋体" w:hAnsi="宋体" w:eastAsia="宋体" w:cs="宋体"/>
          <w:color w:val="auto"/>
          <w:sz w:val="24"/>
          <w:highlight w:val="none"/>
        </w:rPr>
        <w:t>造价咨询单位审核后送甲方审核，最终以甲方审核后的施工图预算的结果为准。以施工图预算为基数（计取投标下浮率）作为进度款支付、结算等依据。编制施工图预算时，在项目主要材料表必须列明主材的品牌、规格及质量等级等内容。</w:t>
      </w:r>
    </w:p>
    <w:p w14:paraId="0F0540D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（四）本项目实行限额设计</w:t>
      </w:r>
    </w:p>
    <w:p w14:paraId="10AA4EC4">
      <w:pPr>
        <w:pStyle w:val="6"/>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1、本工程实行限额设计。在保证设计质量的前提下，设计人应按投资限额进行设计，严格控制设计变更，确保工程概、预算不突破限额目标。</w:t>
      </w:r>
    </w:p>
    <w:p w14:paraId="27342B42">
      <w:pPr>
        <w:pStyle w:val="6"/>
        <w:spacing w:line="360" w:lineRule="auto"/>
        <w:ind w:firstLine="48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2、设计人遵循功能适用、标准合理、经济合理的原则开展设计，在投资限额目标的基础上结合项目设计内容进一步分解投资，明确投资控制主要指标，在编制设计概、预算时逐步细化落实。</w:t>
      </w:r>
      <w:r>
        <w:rPr>
          <w:rFonts w:hint="eastAsia" w:ascii="宋体" w:hAnsi="宋体" w:eastAsia="宋体" w:cs="宋体"/>
          <w:color w:val="auto"/>
          <w:sz w:val="24"/>
          <w:highlight w:val="none"/>
          <w:lang w:val="en-US" w:eastAsia="zh-CN"/>
        </w:rPr>
        <w:t>基于上述情况增加设计内容，设计费不作调整。</w:t>
      </w:r>
    </w:p>
    <w:p w14:paraId="36A5BA2F">
      <w:pPr>
        <w:pStyle w:val="6"/>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设计人在限额设计范围内应充分运用价值功能分析、多方案（不少于2个）技术经济比较等技术手段，对设计方案进行优化。必要时，应组织专家对方案进行专项论证。方案比较必须通过技术经济分析，完成单位或单项工程的估算编制，确保设计深度能够满足编制工程概算的需要。</w:t>
      </w:r>
    </w:p>
    <w:p w14:paraId="18A344C4">
      <w:pPr>
        <w:pStyle w:val="6"/>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在保证方案的可实施和可操作性前提下，设计中凡能进行定量分析的设计内容，应通过计算，用数据说明其技术经济的合理性。同时向甲方提供技术经济分析资料，以力求设计成果能充分体现设计优化的原则。</w:t>
      </w:r>
    </w:p>
    <w:p w14:paraId="4AF59BE1">
      <w:pPr>
        <w:pStyle w:val="6"/>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5、设计人有关设计的任何修改、变动或由于修改设计所引起的工艺、技术材料、设备的变更如引起投资限额的突破均须经过甲方审批同意。</w:t>
      </w:r>
    </w:p>
    <w:p w14:paraId="373D67DD">
      <w:pPr>
        <w:pStyle w:val="6"/>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6、乙方未经甲方同意对设计进行变更或设计人突破工程投资限额设计，视为严重违约，应承担相应责任，扣除全部设计费用作为处罚并向乙方追偿由此给甲方带来的损失，同时超出限额设计部分的投资全部由乙方承担（联合体的由施工方负责承担），甲方不再支付。</w:t>
      </w:r>
    </w:p>
    <w:p w14:paraId="1E1AB962">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五）甲方根据工程实施情况，有权对本工程的实施范围和内容进行调整，乙方必须无条件服从。减小实施范围、减少实施内容的，甲方不补偿乙方任何费用，乙方无异议，甲方发出减少施工范围、减少施工内容通知前，</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已完成工作按实际完成情况计取费用。乙方未经甲方书面同意不得擅自变更工程实施范围和内容。</w:t>
      </w:r>
    </w:p>
    <w:p w14:paraId="73CB8F2C">
      <w:pPr>
        <w:pStyle w:val="6"/>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六）乙方应尽一切可行办法积极完成合同约定的全部工作内容，由于乙方自身原因（包括但不限于内部管理不善、未履行限额设计等）导致合同范围内产生额外增加的费用由乙方负责，由此造成损失的（包括但不限于工期延误、工程质量问题、安全问题等），甲方有权向乙方追偿。</w:t>
      </w:r>
    </w:p>
    <w:p w14:paraId="7FCEF6EA">
      <w:pPr>
        <w:pStyle w:val="6"/>
        <w:spacing w:line="360" w:lineRule="auto"/>
        <w:ind w:firstLine="0" w:firstLineChars="0"/>
        <w:rPr>
          <w:rFonts w:hint="eastAsia" w:ascii="宋体" w:hAnsi="宋体" w:eastAsia="宋体" w:cs="宋体"/>
          <w:b/>
          <w:color w:val="auto"/>
          <w:kern w:val="0"/>
          <w:position w:val="-1"/>
          <w:sz w:val="24"/>
          <w:szCs w:val="30"/>
          <w:highlight w:val="none"/>
        </w:rPr>
      </w:pPr>
      <w:bookmarkStart w:id="9" w:name="_Toc287627916"/>
      <w:r>
        <w:rPr>
          <w:rFonts w:hint="eastAsia" w:ascii="宋体" w:hAnsi="宋体" w:eastAsia="宋体" w:cs="宋体"/>
          <w:b/>
          <w:color w:val="auto"/>
          <w:kern w:val="0"/>
          <w:position w:val="-1"/>
          <w:sz w:val="24"/>
          <w:szCs w:val="30"/>
          <w:highlight w:val="none"/>
        </w:rPr>
        <w:t>三、合同工期</w:t>
      </w:r>
      <w:bookmarkEnd w:id="9"/>
    </w:p>
    <w:p w14:paraId="45D3C8CA">
      <w:pPr>
        <w:pStyle w:val="90"/>
        <w:snapToGrid w:val="0"/>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rPr>
        <w:t>本工程合同工期总日历天数：</w:t>
      </w:r>
      <w:r>
        <w:rPr>
          <w:rFonts w:hint="eastAsia" w:ascii="宋体" w:hAnsi="宋体" w:eastAsia="宋体" w:cs="宋体"/>
          <w:color w:val="auto"/>
          <w:kern w:val="0"/>
          <w:sz w:val="24"/>
          <w:highlight w:val="none"/>
          <w:u w:val="single"/>
          <w:lang w:val="en-US" w:eastAsia="zh-CN"/>
        </w:rPr>
        <w:t>本项目分三期建设，总工期为1635日历天，每期工期均分别为545日历天【</w:t>
      </w:r>
      <w:r>
        <w:rPr>
          <w:rFonts w:hint="eastAsia" w:ascii="宋体" w:hAnsi="宋体" w:eastAsia="宋体" w:cs="宋体"/>
          <w:bCs/>
          <w:color w:val="auto"/>
          <w:sz w:val="24"/>
          <w:szCs w:val="24"/>
          <w:highlight w:val="none"/>
          <w:lang w:eastAsia="zh-CN"/>
        </w:rPr>
        <w:t>甲方、乙方（具体指牵头方、施工方）共同</w:t>
      </w:r>
      <w:r>
        <w:rPr>
          <w:rFonts w:hint="eastAsia" w:ascii="宋体" w:hAnsi="宋体" w:eastAsia="宋体" w:cs="宋体"/>
          <w:bCs/>
          <w:color w:val="auto"/>
          <w:sz w:val="24"/>
          <w:szCs w:val="24"/>
          <w:highlight w:val="none"/>
        </w:rPr>
        <w:t>签署土地移交确认书</w:t>
      </w:r>
      <w:r>
        <w:rPr>
          <w:rFonts w:hint="eastAsia" w:ascii="宋体" w:hAnsi="宋体" w:eastAsia="宋体" w:cs="宋体"/>
          <w:bCs/>
          <w:color w:val="auto"/>
          <w:sz w:val="24"/>
          <w:szCs w:val="24"/>
          <w:highlight w:val="none"/>
          <w:lang w:eastAsia="zh-CN"/>
        </w:rPr>
        <w:t>且监理工程师发出开工令之日起算</w:t>
      </w:r>
      <w:r>
        <w:rPr>
          <w:rFonts w:hint="eastAsia" w:ascii="宋体" w:hAnsi="宋体" w:eastAsia="宋体" w:cs="宋体"/>
          <w:color w:val="auto"/>
          <w:kern w:val="0"/>
          <w:sz w:val="24"/>
          <w:highlight w:val="none"/>
          <w:u w:val="single"/>
          <w:lang w:val="en-US" w:eastAsia="zh-CN"/>
        </w:rPr>
        <w:t>】</w:t>
      </w:r>
      <w:r>
        <w:rPr>
          <w:rFonts w:hint="eastAsia" w:ascii="宋体" w:hAnsi="宋体" w:eastAsia="宋体" w:cs="宋体"/>
          <w:bCs/>
          <w:color w:val="auto"/>
          <w:sz w:val="24"/>
          <w:szCs w:val="24"/>
          <w:highlight w:val="none"/>
          <w:lang w:eastAsia="zh-CN"/>
        </w:rPr>
        <w:t>，平整土地不列入本合同工期计算范围，乙方须在甲方移交土地后</w:t>
      </w:r>
      <w:r>
        <w:rPr>
          <w:rFonts w:hint="eastAsia" w:ascii="宋体" w:hAnsi="宋体" w:eastAsia="宋体" w:cs="宋体"/>
          <w:bCs/>
          <w:color w:val="auto"/>
          <w:sz w:val="24"/>
          <w:szCs w:val="24"/>
          <w:highlight w:val="none"/>
          <w:lang w:val="en-US" w:eastAsia="zh-CN"/>
        </w:rPr>
        <w:t>60日历天内完成土地平整工作</w:t>
      </w:r>
      <w:r>
        <w:rPr>
          <w:rFonts w:hint="eastAsia" w:ascii="宋体" w:hAnsi="宋体" w:eastAsia="宋体" w:cs="宋体"/>
          <w:bCs/>
          <w:color w:val="auto"/>
          <w:sz w:val="24"/>
          <w:szCs w:val="24"/>
          <w:highlight w:val="none"/>
          <w:lang w:eastAsia="zh-CN"/>
        </w:rPr>
        <w:t>：</w:t>
      </w:r>
    </w:p>
    <w:p w14:paraId="401E3E67">
      <w:pPr>
        <w:pStyle w:val="90"/>
        <w:snapToGrid w:val="0"/>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（一）工程勘察：</w:t>
      </w:r>
      <w:r>
        <w:rPr>
          <w:rFonts w:hint="eastAsia" w:ascii="宋体" w:hAnsi="宋体" w:eastAsia="宋体" w:cs="宋体"/>
          <w:color w:val="auto"/>
          <w:sz w:val="24"/>
          <w:szCs w:val="24"/>
          <w:highlight w:val="none"/>
          <w:lang w:eastAsia="zh-CN"/>
        </w:rPr>
        <w:t>甲方发出勘察通知后，</w:t>
      </w:r>
      <w:r>
        <w:rPr>
          <w:rFonts w:hint="eastAsia" w:ascii="宋体" w:hAnsi="宋体" w:eastAsia="宋体" w:cs="宋体"/>
          <w:color w:val="auto"/>
          <w:sz w:val="24"/>
          <w:szCs w:val="24"/>
          <w:highlight w:val="none"/>
        </w:rPr>
        <w:t>原则上在</w:t>
      </w:r>
      <w:r>
        <w:rPr>
          <w:rFonts w:hint="eastAsia" w:ascii="宋体" w:hAnsi="宋体" w:eastAsia="宋体" w:cs="宋体"/>
          <w:color w:val="auto"/>
          <w:sz w:val="24"/>
          <w:szCs w:val="24"/>
          <w:highlight w:val="none"/>
          <w:u w:val="single"/>
        </w:rPr>
        <w:t xml:space="preserve"> 30  </w:t>
      </w:r>
      <w:r>
        <w:rPr>
          <w:rFonts w:hint="eastAsia" w:ascii="宋体" w:hAnsi="宋体" w:eastAsia="宋体" w:cs="宋体"/>
          <w:color w:val="auto"/>
          <w:kern w:val="0"/>
          <w:sz w:val="24"/>
          <w:highlight w:val="none"/>
        </w:rPr>
        <w:t>个</w:t>
      </w:r>
      <w:r>
        <w:rPr>
          <w:rFonts w:hint="eastAsia" w:ascii="宋体" w:hAnsi="宋体" w:eastAsia="宋体" w:cs="宋体"/>
          <w:bCs/>
          <w:color w:val="auto"/>
          <w:sz w:val="24"/>
          <w:szCs w:val="24"/>
          <w:highlight w:val="none"/>
        </w:rPr>
        <w:t>日历天</w:t>
      </w:r>
      <w:r>
        <w:rPr>
          <w:rFonts w:hint="eastAsia" w:ascii="宋体" w:hAnsi="宋体" w:eastAsia="宋体" w:cs="宋体"/>
          <w:color w:val="auto"/>
          <w:sz w:val="24"/>
          <w:szCs w:val="24"/>
          <w:highlight w:val="none"/>
        </w:rPr>
        <w:t>内提交勘察成果资料。经甲方批准，工程勘察可以根据项目开发时序，分期分批提交勘察成果资料，但应满足项目开发时序节点的要求。</w:t>
      </w:r>
    </w:p>
    <w:p w14:paraId="72610C4C">
      <w:pPr>
        <w:pStyle w:val="90"/>
        <w:snapToGrid w:val="0"/>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（二）工程设计： </w:t>
      </w:r>
    </w:p>
    <w:p w14:paraId="08623C92">
      <w:pPr>
        <w:pStyle w:val="90"/>
        <w:snapToGrid w:val="0"/>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u w:val="single"/>
        </w:rPr>
        <w:t>按甲方要求的期限</w:t>
      </w:r>
      <w:r>
        <w:rPr>
          <w:rFonts w:hint="eastAsia" w:ascii="宋体" w:hAnsi="宋体" w:eastAsia="宋体" w:cs="宋体"/>
          <w:color w:val="auto"/>
          <w:sz w:val="24"/>
          <w:highlight w:val="none"/>
        </w:rPr>
        <w:t>完成方案设计、方案深化设计、初步设计（含概算）、专业报建图纸</w:t>
      </w:r>
      <w:r>
        <w:rPr>
          <w:rFonts w:hint="eastAsia" w:ascii="宋体" w:hAnsi="宋体" w:eastAsia="宋体" w:cs="宋体"/>
          <w:color w:val="auto"/>
          <w:sz w:val="24"/>
          <w:szCs w:val="24"/>
          <w:highlight w:val="none"/>
        </w:rPr>
        <w:t>，配合报批报建等工作，满足项目建设时序要求。</w:t>
      </w:r>
    </w:p>
    <w:p w14:paraId="75C5B6CC">
      <w:pPr>
        <w:pStyle w:val="90"/>
        <w:snapToGrid w:val="0"/>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2、设计施工图、概（预）算（施工图预算由乙方成员中的施工单位编制完成）等，可根据项目开发时序，按甲方的要求分期提交。</w:t>
      </w:r>
    </w:p>
    <w:p w14:paraId="3E8D35E2">
      <w:pPr>
        <w:pStyle w:val="90"/>
        <w:snapToGrid w:val="0"/>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3、相关单位对图纸及概、预算等提出修改或者评审意见的，乙方应在</w:t>
      </w:r>
      <w:r>
        <w:rPr>
          <w:rFonts w:hint="eastAsia" w:ascii="宋体" w:hAnsi="宋体" w:eastAsia="宋体" w:cs="宋体"/>
          <w:color w:val="auto"/>
          <w:sz w:val="24"/>
          <w:szCs w:val="24"/>
          <w:highlight w:val="none"/>
          <w:u w:val="single"/>
        </w:rPr>
        <w:t xml:space="preserve"> 3</w:t>
      </w:r>
      <w:r>
        <w:rPr>
          <w:rFonts w:hint="eastAsia" w:ascii="宋体" w:hAnsi="宋体" w:eastAsia="宋体" w:cs="宋体"/>
          <w:color w:val="auto"/>
          <w:sz w:val="24"/>
          <w:szCs w:val="24"/>
          <w:highlight w:val="none"/>
        </w:rPr>
        <w:t>日内提交修改文件。修改较大的按甲方要求的时间完成。</w:t>
      </w:r>
    </w:p>
    <w:p w14:paraId="74900A9F">
      <w:pPr>
        <w:pStyle w:val="90"/>
        <w:snapToGrid w:val="0"/>
        <w:spacing w:line="360" w:lineRule="auto"/>
        <w:ind w:firstLine="566" w:firstLineChars="236"/>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（三）工程施工：乙方应于</w:t>
      </w:r>
      <w:r>
        <w:rPr>
          <w:rFonts w:hint="eastAsia" w:ascii="宋体" w:hAnsi="宋体" w:eastAsia="宋体" w:cs="宋体"/>
          <w:color w:val="auto"/>
          <w:sz w:val="24"/>
          <w:szCs w:val="24"/>
          <w:highlight w:val="none"/>
          <w:lang w:val="en-US" w:eastAsia="zh-CN"/>
        </w:rPr>
        <w:t>合同签订</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历天</w:t>
      </w:r>
      <w:r>
        <w:rPr>
          <w:rFonts w:hint="eastAsia" w:ascii="宋体" w:hAnsi="宋体" w:eastAsia="宋体" w:cs="宋体"/>
          <w:color w:val="auto"/>
          <w:sz w:val="24"/>
          <w:szCs w:val="24"/>
          <w:highlight w:val="none"/>
        </w:rPr>
        <w:t>内向甲方提交总体工程进度计划，并经监理单位、甲方审批通过；总体工程进度计划审批通过后1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历天</w:t>
      </w:r>
      <w:r>
        <w:rPr>
          <w:rFonts w:hint="eastAsia" w:ascii="宋体" w:hAnsi="宋体" w:eastAsia="宋体" w:cs="宋体"/>
          <w:color w:val="auto"/>
          <w:sz w:val="24"/>
          <w:szCs w:val="24"/>
          <w:highlight w:val="none"/>
        </w:rPr>
        <w:t>内乙方应就各</w:t>
      </w:r>
      <w:r>
        <w:rPr>
          <w:rFonts w:hint="eastAsia" w:ascii="宋体" w:hAnsi="宋体" w:eastAsia="宋体" w:cs="宋体"/>
          <w:color w:val="auto"/>
          <w:sz w:val="24"/>
          <w:highlight w:val="none"/>
        </w:rPr>
        <w:t>分部分项工程制定详尽的工程进度计划表</w:t>
      </w:r>
      <w:r>
        <w:rPr>
          <w:rFonts w:hint="eastAsia" w:ascii="宋体" w:hAnsi="宋体" w:eastAsia="宋体" w:cs="宋体"/>
          <w:color w:val="auto"/>
          <w:sz w:val="24"/>
          <w:szCs w:val="24"/>
          <w:highlight w:val="none"/>
        </w:rPr>
        <w:t>。该计划为本合同的附件，与本合同具同等效力，乙方</w:t>
      </w:r>
      <w:r>
        <w:rPr>
          <w:rFonts w:hint="eastAsia" w:ascii="宋体" w:hAnsi="宋体" w:eastAsia="宋体" w:cs="宋体"/>
          <w:color w:val="auto"/>
          <w:sz w:val="24"/>
          <w:szCs w:val="24"/>
          <w:highlight w:val="none"/>
          <w:lang w:val="en-US" w:eastAsia="zh-CN"/>
        </w:rPr>
        <w:t>收到足额预付款后，</w:t>
      </w:r>
      <w:r>
        <w:rPr>
          <w:rFonts w:hint="eastAsia" w:ascii="宋体" w:hAnsi="宋体" w:eastAsia="宋体" w:cs="宋体"/>
          <w:color w:val="auto"/>
          <w:sz w:val="24"/>
          <w:szCs w:val="24"/>
          <w:highlight w:val="none"/>
        </w:rPr>
        <w:t>严格按照工程进度计划推进工程。</w:t>
      </w:r>
      <w:r>
        <w:rPr>
          <w:rFonts w:hint="eastAsia" w:ascii="宋体" w:hAnsi="宋体" w:eastAsia="宋体" w:cs="宋体"/>
          <w:color w:val="auto"/>
          <w:kern w:val="0"/>
          <w:sz w:val="24"/>
          <w:szCs w:val="24"/>
          <w:highlight w:val="none"/>
        </w:rPr>
        <w:t>施工图完成施工图审查后，经甲方确认下发图纸后，</w:t>
      </w:r>
      <w:r>
        <w:rPr>
          <w:rFonts w:hint="eastAsia" w:ascii="宋体" w:hAnsi="宋体" w:eastAsia="宋体" w:cs="宋体"/>
          <w:color w:val="auto"/>
          <w:sz w:val="24"/>
          <w:szCs w:val="24"/>
          <w:highlight w:val="none"/>
        </w:rPr>
        <w:t>乙方</w:t>
      </w:r>
      <w:r>
        <w:rPr>
          <w:rFonts w:hint="eastAsia" w:ascii="宋体" w:hAnsi="宋体" w:eastAsia="宋体" w:cs="宋体"/>
          <w:color w:val="auto"/>
          <w:kern w:val="0"/>
          <w:sz w:val="24"/>
          <w:szCs w:val="24"/>
          <w:highlight w:val="none"/>
        </w:rPr>
        <w:t>施工单位</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45</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日历</w:t>
      </w:r>
      <w:r>
        <w:rPr>
          <w:rFonts w:hint="eastAsia" w:ascii="宋体" w:hAnsi="宋体" w:eastAsia="宋体" w:cs="宋体"/>
          <w:color w:val="auto"/>
          <w:kern w:val="0"/>
          <w:sz w:val="24"/>
          <w:szCs w:val="24"/>
          <w:highlight w:val="none"/>
        </w:rPr>
        <w:t>天内必须完成工程预算编制。</w:t>
      </w:r>
    </w:p>
    <w:p w14:paraId="7555E62D">
      <w:pPr>
        <w:pStyle w:val="90"/>
        <w:snapToGrid w:val="0"/>
        <w:spacing w:line="360" w:lineRule="auto"/>
        <w:ind w:firstLine="566" w:firstLineChars="236"/>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（四）运营期：</w:t>
      </w:r>
      <w:r>
        <w:rPr>
          <w:rFonts w:hint="eastAsia" w:ascii="宋体" w:hAnsi="宋体" w:eastAsia="宋体" w:cs="宋体"/>
          <w:color w:val="auto"/>
          <w:kern w:val="0"/>
          <w:sz w:val="24"/>
          <w:szCs w:val="24"/>
          <w:highlight w:val="none"/>
          <w:lang w:val="en-US" w:eastAsia="zh-CN"/>
        </w:rPr>
        <w:t>本项目分三期建设交付，各期的租赁期限（含免租期）均为 20 年，自招标人每一期完成竣工验收达到交付标准并交付中标人接管验收当日开始计算该期租期，每期租赁期限独立计算。</w:t>
      </w:r>
    </w:p>
    <w:p w14:paraId="37A6A973">
      <w:pPr>
        <w:pStyle w:val="116"/>
        <w:spacing w:line="360" w:lineRule="auto"/>
        <w:rPr>
          <w:rFonts w:hint="eastAsia" w:ascii="宋体" w:hAnsi="宋体" w:eastAsia="宋体" w:cs="宋体"/>
          <w:b/>
          <w:bCs w:val="0"/>
          <w:color w:val="auto"/>
          <w:sz w:val="18"/>
          <w:szCs w:val="18"/>
          <w:highlight w:val="none"/>
        </w:rPr>
      </w:pPr>
      <w:bookmarkStart w:id="10" w:name="_Toc287627917"/>
      <w:r>
        <w:rPr>
          <w:rFonts w:hint="eastAsia" w:ascii="宋体" w:hAnsi="宋体" w:eastAsia="宋体" w:cs="宋体"/>
          <w:b/>
          <w:bCs w:val="0"/>
          <w:color w:val="auto"/>
          <w:highlight w:val="none"/>
        </w:rPr>
        <w:t>四、质量标准</w:t>
      </w:r>
      <w:bookmarkEnd w:id="10"/>
    </w:p>
    <w:p w14:paraId="4CD355DA">
      <w:pPr>
        <w:spacing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工程施工质量标准：合格，符合设计图纸要求和国家、省、市相关法律法规规定要求及行业颁发的工程质量验收标准。按照国家最新颁布《建筑工程施工质量验收统一标准》（GB 50300-2013）、《工程施工质量验收规范》及相应配套的各专业验收规范，一次竣工验收合格。</w:t>
      </w:r>
    </w:p>
    <w:p w14:paraId="6C043EBE">
      <w:pPr>
        <w:autoSpaceDE w:val="0"/>
        <w:autoSpaceDN w:val="0"/>
        <w:adjustRightInd w:val="0"/>
        <w:spacing w:before="16" w:line="360" w:lineRule="auto"/>
        <w:ind w:hanging="6"/>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u w:val="single"/>
        </w:rPr>
        <w:t>运营要求标准：满足甲方对本项目的运营要求及运营合同约定。</w:t>
      </w:r>
    </w:p>
    <w:p w14:paraId="02281ADD">
      <w:pPr>
        <w:spacing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none"/>
        </w:rPr>
        <w:t>3、</w:t>
      </w:r>
      <w:r>
        <w:rPr>
          <w:rFonts w:hint="eastAsia" w:ascii="宋体" w:hAnsi="宋体" w:eastAsia="宋体" w:cs="宋体"/>
          <w:color w:val="auto"/>
          <w:kern w:val="0"/>
          <w:sz w:val="24"/>
          <w:highlight w:val="none"/>
          <w:u w:val="single"/>
        </w:rPr>
        <w:t>勘察设计部分：勘察、设计质量标准按第二篇和第三篇相关合同条款，符合建设工程勘察设计的技术规范及本项目勘察设计任务书的要求。水、电、燃气、通信及其他专业工程等通过专业部门验收，达到正常使用为质量合格标准。</w:t>
      </w:r>
    </w:p>
    <w:p w14:paraId="5C48E10D">
      <w:pPr>
        <w:autoSpaceDE w:val="0"/>
        <w:autoSpaceDN w:val="0"/>
        <w:adjustRightInd w:val="0"/>
        <w:spacing w:before="16" w:line="360" w:lineRule="auto"/>
        <w:ind w:left="239" w:leftChars="114" w:firstLine="232" w:firstLineChars="97"/>
        <w:jc w:val="left"/>
        <w:rPr>
          <w:rFonts w:hint="eastAsia" w:ascii="宋体" w:hAnsi="宋体" w:eastAsia="宋体" w:cs="宋体"/>
          <w:color w:val="auto"/>
          <w:kern w:val="0"/>
          <w:sz w:val="24"/>
          <w:highlight w:val="none"/>
          <w:u w:val="single"/>
          <w:lang w:val="zh-CN"/>
        </w:rPr>
      </w:pPr>
      <w:r>
        <w:rPr>
          <w:rFonts w:hint="eastAsia" w:ascii="宋体" w:hAnsi="宋体" w:eastAsia="宋体" w:cs="宋体"/>
          <w:color w:val="auto"/>
          <w:kern w:val="0"/>
          <w:sz w:val="24"/>
          <w:highlight w:val="none"/>
          <w:u w:val="none"/>
        </w:rPr>
        <w:t>4、</w:t>
      </w:r>
      <w:r>
        <w:rPr>
          <w:rFonts w:hint="eastAsia" w:ascii="宋体" w:hAnsi="宋体" w:eastAsia="宋体" w:cs="宋体"/>
          <w:color w:val="auto"/>
          <w:kern w:val="0"/>
          <w:sz w:val="24"/>
          <w:highlight w:val="none"/>
          <w:u w:val="single"/>
          <w:lang w:val="zh-CN"/>
        </w:rPr>
        <w:t>职业健康安全管理目标和环境管理目标</w:t>
      </w:r>
    </w:p>
    <w:p w14:paraId="7E1E917B">
      <w:pPr>
        <w:autoSpaceDE w:val="0"/>
        <w:autoSpaceDN w:val="0"/>
        <w:adjustRightInd w:val="0"/>
        <w:spacing w:before="16" w:line="360" w:lineRule="auto"/>
        <w:ind w:left="239" w:leftChars="114" w:firstLine="232" w:firstLineChars="97"/>
        <w:jc w:val="left"/>
        <w:rPr>
          <w:rFonts w:hint="eastAsia" w:ascii="宋体" w:hAnsi="宋体" w:eastAsia="宋体" w:cs="宋体"/>
          <w:color w:val="auto"/>
          <w:kern w:val="0"/>
          <w:sz w:val="24"/>
          <w:highlight w:val="none"/>
          <w:u w:val="single"/>
          <w:lang w:val="zh-CN"/>
        </w:rPr>
      </w:pPr>
      <w:r>
        <w:rPr>
          <w:rFonts w:hint="eastAsia" w:ascii="宋体" w:hAnsi="宋体" w:eastAsia="宋体" w:cs="宋体"/>
          <w:color w:val="auto"/>
          <w:kern w:val="0"/>
          <w:sz w:val="24"/>
          <w:highlight w:val="none"/>
          <w:u w:val="single"/>
          <w:lang w:val="zh-CN"/>
        </w:rPr>
        <w:t>（</w:t>
      </w:r>
      <w:r>
        <w:rPr>
          <w:rFonts w:hint="eastAsia" w:ascii="宋体" w:hAnsi="宋体" w:eastAsia="宋体" w:cs="宋体"/>
          <w:color w:val="auto"/>
          <w:kern w:val="0"/>
          <w:sz w:val="24"/>
          <w:highlight w:val="none"/>
          <w:u w:val="single"/>
        </w:rPr>
        <w:t>1）</w:t>
      </w:r>
      <w:r>
        <w:rPr>
          <w:rFonts w:hint="eastAsia" w:ascii="宋体" w:hAnsi="宋体" w:eastAsia="宋体" w:cs="宋体"/>
          <w:color w:val="auto"/>
          <w:kern w:val="0"/>
          <w:sz w:val="24"/>
          <w:highlight w:val="none"/>
          <w:u w:val="single"/>
          <w:lang w:val="zh-CN"/>
        </w:rPr>
        <w:t>职业健康安全管理目标：</w:t>
      </w:r>
    </w:p>
    <w:p w14:paraId="7CCD231F">
      <w:pPr>
        <w:autoSpaceDE w:val="0"/>
        <w:autoSpaceDN w:val="0"/>
        <w:adjustRightInd w:val="0"/>
        <w:spacing w:before="16" w:line="360" w:lineRule="auto"/>
        <w:ind w:left="239" w:leftChars="114" w:firstLine="232" w:firstLineChars="97"/>
        <w:jc w:val="left"/>
        <w:rPr>
          <w:rFonts w:hint="eastAsia" w:ascii="宋体" w:hAnsi="宋体" w:eastAsia="宋体" w:cs="宋体"/>
          <w:color w:val="auto"/>
          <w:kern w:val="0"/>
          <w:sz w:val="24"/>
          <w:highlight w:val="none"/>
          <w:u w:val="single"/>
          <w:lang w:val="zh-CN"/>
        </w:rPr>
      </w:pPr>
      <w:r>
        <w:rPr>
          <w:rFonts w:hint="eastAsia" w:ascii="宋体" w:hAnsi="宋体" w:eastAsia="宋体" w:cs="宋体"/>
          <w:color w:val="auto"/>
          <w:kern w:val="0"/>
          <w:sz w:val="24"/>
          <w:highlight w:val="none"/>
          <w:u w:val="single"/>
          <w:lang w:val="zh-CN"/>
        </w:rPr>
        <w:t>零死亡、零重伤、零中毒、零火灾、零坍塌、零重大机械事故、零重大财产损失及负面影响事件、零群体事件。改善劳动条件，预防职业病，防疫，工地防尘、防毒、防噪音、通风、照明、取暖、降温、防辐射及防物理因素危害等，均符合国家和地方政府主管部门颁布的相关规定。</w:t>
      </w:r>
    </w:p>
    <w:p w14:paraId="7FB0C4CE">
      <w:pPr>
        <w:autoSpaceDE w:val="0"/>
        <w:autoSpaceDN w:val="0"/>
        <w:adjustRightInd w:val="0"/>
        <w:spacing w:before="16" w:line="360" w:lineRule="auto"/>
        <w:ind w:left="239" w:leftChars="114" w:firstLine="232" w:firstLineChars="97"/>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（2）</w:t>
      </w:r>
      <w:r>
        <w:rPr>
          <w:rFonts w:hint="eastAsia" w:ascii="宋体" w:hAnsi="宋体" w:eastAsia="宋体" w:cs="宋体"/>
          <w:color w:val="auto"/>
          <w:kern w:val="0"/>
          <w:sz w:val="24"/>
          <w:highlight w:val="none"/>
          <w:u w:val="single"/>
          <w:lang w:val="zh-CN"/>
        </w:rPr>
        <w:t>环境管理目标：严格执行《广州市城乡建设委员会关于印发广州市加强建筑工地环保管理工作方案的通知》(穗建质〔2014〕754号) 、《广州市委宣传部、广州市住房和城乡建设委员会、广州市城市管理委员会关于完善广州市建设工程施工围蔽管理提升实施技术要求和标准图集的通知》（穗建质〔2016〕1085号）、《广州市提升建设工程安全文明施工管理水平的工作指引》（穗建质[2017]815号）、《危险性较大的分部分项工程安全管理规定》(中华人民共和国住房和城乡建设部令第37号)和《关于加强建设工程安全生产管理、落实建设各方主体责任的暂行规定》（穗建规字〔2017〕21号）等国家、省、市现行标准、规定和文件要求，并满足广州市政府或建设管理部门文件规定要求。</w:t>
      </w:r>
    </w:p>
    <w:p w14:paraId="3B0FFD26">
      <w:pPr>
        <w:pStyle w:val="116"/>
        <w:spacing w:line="360" w:lineRule="auto"/>
        <w:rPr>
          <w:rFonts w:hint="eastAsia" w:ascii="宋体" w:hAnsi="宋体" w:eastAsia="宋体" w:cs="宋体"/>
          <w:b/>
          <w:bCs w:val="0"/>
          <w:color w:val="auto"/>
          <w:highlight w:val="none"/>
        </w:rPr>
      </w:pPr>
      <w:bookmarkStart w:id="11" w:name="_Toc287627918"/>
      <w:r>
        <w:rPr>
          <w:rFonts w:hint="eastAsia" w:ascii="宋体" w:hAnsi="宋体" w:eastAsia="宋体" w:cs="宋体"/>
          <w:b/>
          <w:bCs w:val="0"/>
          <w:color w:val="auto"/>
          <w:highlight w:val="none"/>
        </w:rPr>
        <w:t>五、合同价款</w:t>
      </w:r>
      <w:bookmarkEnd w:id="11"/>
    </w:p>
    <w:p w14:paraId="7509518A">
      <w:pPr>
        <w:pStyle w:val="85"/>
        <w:spacing w:before="0" w:after="0" w:line="360" w:lineRule="auto"/>
        <w:ind w:left="210" w:leftChars="100" w:right="240" w:firstLine="184" w:firstLineChars="77"/>
        <w:jc w:val="both"/>
        <w:rPr>
          <w:rFonts w:hint="eastAsia" w:ascii="宋体" w:hAnsi="宋体" w:eastAsia="宋体" w:cs="宋体"/>
          <w:color w:val="auto"/>
          <w:highlight w:val="none"/>
        </w:rPr>
      </w:pPr>
      <w:r>
        <w:rPr>
          <w:rFonts w:hint="eastAsia" w:ascii="宋体" w:hAnsi="宋体" w:eastAsia="宋体" w:cs="宋体"/>
          <w:color w:val="auto"/>
          <w:highlight w:val="none"/>
        </w:rPr>
        <w:t>（一）暂定合同价款为：（大写）人民币</w:t>
      </w:r>
      <w:r>
        <w:rPr>
          <w:rFonts w:hint="eastAsia" w:ascii="宋体" w:hAnsi="宋体" w:eastAsia="宋体" w:cs="宋体"/>
          <w:color w:val="auto"/>
          <w:highlight w:val="none"/>
          <w:u w:val="single"/>
        </w:rPr>
        <w:t xml:space="preserve">       元整</w:t>
      </w:r>
      <w:r>
        <w:rPr>
          <w:rFonts w:hint="eastAsia" w:ascii="宋体" w:hAnsi="宋体" w:eastAsia="宋体" w:cs="宋体"/>
          <w:color w:val="auto"/>
          <w:highlight w:val="none"/>
        </w:rPr>
        <w:t>（含税）（¥</w:t>
      </w:r>
      <w:r>
        <w:rPr>
          <w:rFonts w:hint="eastAsia" w:ascii="宋体" w:hAnsi="宋体" w:eastAsia="宋体" w:cs="宋体"/>
          <w:color w:val="auto"/>
          <w:highlight w:val="none"/>
          <w:u w:val="single"/>
        </w:rPr>
        <w:t xml:space="preserve">      元</w:t>
      </w:r>
      <w:r>
        <w:rPr>
          <w:rFonts w:hint="eastAsia" w:ascii="宋体" w:hAnsi="宋体" w:eastAsia="宋体" w:cs="宋体"/>
          <w:color w:val="auto"/>
          <w:highlight w:val="none"/>
        </w:rPr>
        <w:t xml:space="preserve">）。其中： </w:t>
      </w:r>
    </w:p>
    <w:p w14:paraId="3F5592EA">
      <w:pPr>
        <w:spacing w:line="360" w:lineRule="auto"/>
        <w:ind w:firstLine="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1、暂定</w:t>
      </w:r>
      <w:r>
        <w:rPr>
          <w:rFonts w:hint="eastAsia" w:ascii="宋体" w:hAnsi="宋体" w:eastAsia="宋体" w:cs="宋体"/>
          <w:color w:val="auto"/>
          <w:kern w:val="0"/>
          <w:sz w:val="24"/>
          <w:highlight w:val="none"/>
          <w:lang w:val="en-US" w:eastAsia="zh-CN"/>
        </w:rPr>
        <w:t>总</w:t>
      </w:r>
      <w:r>
        <w:rPr>
          <w:rFonts w:hint="eastAsia" w:ascii="宋体" w:hAnsi="宋体" w:eastAsia="宋体" w:cs="宋体"/>
          <w:color w:val="auto"/>
          <w:kern w:val="0"/>
          <w:sz w:val="24"/>
          <w:highlight w:val="none"/>
        </w:rPr>
        <w:t>勘察费：（大写）人民币</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元整（¥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none"/>
        </w:rPr>
        <w:t>元</w:t>
      </w:r>
      <w:r>
        <w:rPr>
          <w:rFonts w:hint="eastAsia" w:ascii="宋体" w:hAnsi="宋体" w:eastAsia="宋体" w:cs="宋体"/>
          <w:color w:val="auto"/>
          <w:kern w:val="0"/>
          <w:sz w:val="24"/>
          <w:highlight w:val="none"/>
        </w:rPr>
        <w:t>），中标下浮率</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4F2C6121">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暂定一期勘察费为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none"/>
        </w:rPr>
        <w:t>元</w:t>
      </w:r>
      <w:r>
        <w:rPr>
          <w:rFonts w:hint="eastAsia" w:ascii="宋体" w:hAnsi="宋体" w:eastAsia="宋体" w:cs="宋体"/>
          <w:color w:val="auto"/>
          <w:kern w:val="0"/>
          <w:sz w:val="24"/>
          <w:highlight w:val="none"/>
          <w:u w:val="none"/>
          <w:lang w:eastAsia="zh-CN"/>
        </w:rPr>
        <w:t>；</w:t>
      </w:r>
      <w:r>
        <w:rPr>
          <w:rFonts w:hint="eastAsia" w:ascii="宋体" w:hAnsi="宋体" w:eastAsia="宋体" w:cs="宋体"/>
          <w:color w:val="auto"/>
          <w:kern w:val="0"/>
          <w:sz w:val="24"/>
          <w:highlight w:val="none"/>
          <w:lang w:val="en-US" w:eastAsia="zh-CN"/>
        </w:rPr>
        <w:t xml:space="preserve"> 暂定二期勘察费为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none"/>
        </w:rPr>
        <w:t>元</w:t>
      </w:r>
      <w:r>
        <w:rPr>
          <w:rFonts w:hint="eastAsia" w:ascii="宋体" w:hAnsi="宋体" w:eastAsia="宋体" w:cs="宋体"/>
          <w:color w:val="auto"/>
          <w:kern w:val="0"/>
          <w:sz w:val="24"/>
          <w:highlight w:val="none"/>
          <w:u w:val="none"/>
          <w:lang w:eastAsia="zh-CN"/>
        </w:rPr>
        <w:t>；</w:t>
      </w:r>
      <w:r>
        <w:rPr>
          <w:rFonts w:hint="eastAsia" w:ascii="宋体" w:hAnsi="宋体" w:eastAsia="宋体" w:cs="宋体"/>
          <w:color w:val="auto"/>
          <w:kern w:val="0"/>
          <w:sz w:val="24"/>
          <w:highlight w:val="none"/>
          <w:lang w:val="en-US" w:eastAsia="zh-CN"/>
        </w:rPr>
        <w:t xml:space="preserve"> 暂定三期勘察费为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none"/>
        </w:rPr>
        <w:t xml:space="preserve">     元</w:t>
      </w:r>
      <w:r>
        <w:rPr>
          <w:rFonts w:hint="eastAsia" w:ascii="宋体" w:hAnsi="宋体" w:eastAsia="宋体" w:cs="宋体"/>
          <w:color w:val="auto"/>
          <w:kern w:val="0"/>
          <w:sz w:val="24"/>
          <w:highlight w:val="none"/>
          <w:u w:val="none"/>
          <w:lang w:eastAsia="zh-CN"/>
        </w:rPr>
        <w:t>。</w:t>
      </w:r>
    </w:p>
    <w:p w14:paraId="38FA1C21">
      <w:pPr>
        <w:numPr>
          <w:ilvl w:val="0"/>
          <w:numId w:val="3"/>
        </w:numPr>
        <w:spacing w:line="360" w:lineRule="auto"/>
        <w:ind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暂定</w:t>
      </w:r>
      <w:r>
        <w:rPr>
          <w:rFonts w:hint="eastAsia" w:ascii="宋体" w:hAnsi="宋体" w:eastAsia="宋体" w:cs="宋体"/>
          <w:color w:val="auto"/>
          <w:sz w:val="24"/>
          <w:highlight w:val="none"/>
          <w:lang w:val="en-US" w:eastAsia="zh-CN"/>
        </w:rPr>
        <w:t>总</w:t>
      </w:r>
      <w:r>
        <w:rPr>
          <w:rFonts w:hint="eastAsia" w:ascii="宋体" w:hAnsi="宋体" w:eastAsia="宋体" w:cs="宋体"/>
          <w:color w:val="auto"/>
          <w:sz w:val="24"/>
          <w:highlight w:val="none"/>
        </w:rPr>
        <w:t>设计费：（大写）</w:t>
      </w:r>
      <w:r>
        <w:rPr>
          <w:rFonts w:hint="eastAsia" w:ascii="宋体" w:hAnsi="宋体" w:eastAsia="宋体" w:cs="宋体"/>
          <w:color w:val="auto"/>
          <w:kern w:val="0"/>
          <w:sz w:val="24"/>
          <w:highlight w:val="none"/>
        </w:rPr>
        <w:t>人民币</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元整（¥</w:t>
      </w:r>
      <w:r>
        <w:rPr>
          <w:rFonts w:hint="eastAsia" w:ascii="宋体" w:hAnsi="宋体" w:eastAsia="宋体" w:cs="宋体"/>
          <w:color w:val="auto"/>
          <w:kern w:val="0"/>
          <w:sz w:val="24"/>
          <w:highlight w:val="none"/>
          <w:u w:val="single"/>
        </w:rPr>
        <w:t xml:space="preserve">    元</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，中标下浮率</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4D5770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暂定一期设计费为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none"/>
        </w:rPr>
        <w:t>元</w:t>
      </w:r>
      <w:r>
        <w:rPr>
          <w:rFonts w:hint="eastAsia" w:ascii="宋体" w:hAnsi="宋体" w:eastAsia="宋体" w:cs="宋体"/>
          <w:color w:val="auto"/>
          <w:kern w:val="0"/>
          <w:sz w:val="24"/>
          <w:highlight w:val="none"/>
          <w:u w:val="none"/>
          <w:lang w:eastAsia="zh-CN"/>
        </w:rPr>
        <w:t>；</w:t>
      </w:r>
      <w:r>
        <w:rPr>
          <w:rFonts w:hint="eastAsia" w:ascii="宋体" w:hAnsi="宋体" w:eastAsia="宋体" w:cs="宋体"/>
          <w:color w:val="auto"/>
          <w:kern w:val="0"/>
          <w:sz w:val="24"/>
          <w:highlight w:val="none"/>
          <w:lang w:val="en-US" w:eastAsia="zh-CN"/>
        </w:rPr>
        <w:t xml:space="preserve"> 暂定二期设计费为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none"/>
        </w:rPr>
        <w:t>元</w:t>
      </w:r>
      <w:r>
        <w:rPr>
          <w:rFonts w:hint="eastAsia" w:ascii="宋体" w:hAnsi="宋体" w:eastAsia="宋体" w:cs="宋体"/>
          <w:color w:val="auto"/>
          <w:kern w:val="0"/>
          <w:sz w:val="24"/>
          <w:highlight w:val="none"/>
          <w:u w:val="none"/>
          <w:lang w:eastAsia="zh-CN"/>
        </w:rPr>
        <w:t>；</w:t>
      </w:r>
      <w:r>
        <w:rPr>
          <w:rFonts w:hint="eastAsia" w:ascii="宋体" w:hAnsi="宋体" w:eastAsia="宋体" w:cs="宋体"/>
          <w:color w:val="auto"/>
          <w:kern w:val="0"/>
          <w:sz w:val="24"/>
          <w:highlight w:val="none"/>
          <w:lang w:val="en-US" w:eastAsia="zh-CN"/>
        </w:rPr>
        <w:t xml:space="preserve"> 暂定三期设计费为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none"/>
        </w:rPr>
        <w:t>元</w:t>
      </w:r>
      <w:r>
        <w:rPr>
          <w:rFonts w:hint="eastAsia" w:ascii="宋体" w:hAnsi="宋体" w:eastAsia="宋体" w:cs="宋体"/>
          <w:color w:val="auto"/>
          <w:kern w:val="0"/>
          <w:sz w:val="24"/>
          <w:highlight w:val="none"/>
          <w:u w:val="none"/>
          <w:lang w:eastAsia="zh-CN"/>
        </w:rPr>
        <w:t>。</w:t>
      </w:r>
    </w:p>
    <w:p w14:paraId="49E6CE77">
      <w:pPr>
        <w:numPr>
          <w:ilvl w:val="0"/>
          <w:numId w:val="3"/>
        </w:numPr>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暂定</w:t>
      </w:r>
      <w:r>
        <w:rPr>
          <w:rFonts w:hint="eastAsia" w:ascii="宋体" w:hAnsi="宋体" w:eastAsia="宋体" w:cs="宋体"/>
          <w:color w:val="auto"/>
          <w:sz w:val="24"/>
          <w:highlight w:val="none"/>
          <w:lang w:val="en-US" w:eastAsia="zh-CN"/>
        </w:rPr>
        <w:t>总</w:t>
      </w:r>
      <w:r>
        <w:rPr>
          <w:rFonts w:hint="eastAsia" w:ascii="宋体" w:hAnsi="宋体" w:eastAsia="宋体" w:cs="宋体"/>
          <w:color w:val="auto"/>
          <w:sz w:val="24"/>
          <w:highlight w:val="none"/>
        </w:rPr>
        <w:t>工程施工</w:t>
      </w:r>
      <w:r>
        <w:rPr>
          <w:rFonts w:hint="eastAsia" w:ascii="宋体" w:hAnsi="宋体" w:eastAsia="宋体" w:cs="宋体"/>
          <w:color w:val="auto"/>
          <w:sz w:val="24"/>
          <w:highlight w:val="none"/>
          <w:lang w:val="en-US" w:eastAsia="zh-CN"/>
        </w:rPr>
        <w:t>费</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大写）人民币</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元整（¥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元）</w:t>
      </w:r>
      <w:r>
        <w:rPr>
          <w:rFonts w:hint="eastAsia" w:ascii="宋体" w:hAnsi="宋体" w:eastAsia="宋体" w:cs="宋体"/>
          <w:color w:val="auto"/>
          <w:sz w:val="24"/>
          <w:highlight w:val="none"/>
        </w:rPr>
        <w:t>，中标下浮率</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3987FC2">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暂定一期工程施工费为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none"/>
        </w:rPr>
        <w:t>元</w:t>
      </w:r>
      <w:r>
        <w:rPr>
          <w:rFonts w:hint="eastAsia" w:ascii="宋体" w:hAnsi="宋体" w:eastAsia="宋体" w:cs="宋体"/>
          <w:color w:val="auto"/>
          <w:kern w:val="0"/>
          <w:sz w:val="24"/>
          <w:highlight w:val="none"/>
          <w:u w:val="none"/>
          <w:lang w:eastAsia="zh-CN"/>
        </w:rPr>
        <w:t>；</w:t>
      </w:r>
      <w:r>
        <w:rPr>
          <w:rFonts w:hint="eastAsia" w:ascii="宋体" w:hAnsi="宋体" w:eastAsia="宋体" w:cs="宋体"/>
          <w:color w:val="auto"/>
          <w:kern w:val="0"/>
          <w:sz w:val="24"/>
          <w:highlight w:val="none"/>
          <w:lang w:val="en-US" w:eastAsia="zh-CN"/>
        </w:rPr>
        <w:t xml:space="preserve"> 暂定二期工程施工费为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none"/>
        </w:rPr>
        <w:t>元</w:t>
      </w:r>
      <w:r>
        <w:rPr>
          <w:rFonts w:hint="eastAsia" w:ascii="宋体" w:hAnsi="宋体" w:eastAsia="宋体" w:cs="宋体"/>
          <w:color w:val="auto"/>
          <w:kern w:val="0"/>
          <w:sz w:val="24"/>
          <w:highlight w:val="none"/>
          <w:u w:val="none"/>
          <w:lang w:eastAsia="zh-CN"/>
        </w:rPr>
        <w:t>；</w:t>
      </w:r>
      <w:r>
        <w:rPr>
          <w:rFonts w:hint="eastAsia" w:ascii="宋体" w:hAnsi="宋体" w:eastAsia="宋体" w:cs="宋体"/>
          <w:color w:val="auto"/>
          <w:kern w:val="0"/>
          <w:sz w:val="24"/>
          <w:highlight w:val="none"/>
          <w:lang w:val="en-US" w:eastAsia="zh-CN"/>
        </w:rPr>
        <w:t xml:space="preserve"> 暂定三期工程施工费为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none"/>
        </w:rPr>
        <w:t>元</w:t>
      </w:r>
      <w:r>
        <w:rPr>
          <w:rFonts w:hint="eastAsia" w:ascii="宋体" w:hAnsi="宋体" w:eastAsia="宋体" w:cs="宋体"/>
          <w:color w:val="auto"/>
          <w:kern w:val="0"/>
          <w:sz w:val="24"/>
          <w:highlight w:val="none"/>
          <w:u w:val="none"/>
          <w:lang w:eastAsia="zh-CN"/>
        </w:rPr>
        <w:t>。</w:t>
      </w:r>
    </w:p>
    <w:p w14:paraId="00A25A96">
      <w:pPr>
        <w:spacing w:line="360" w:lineRule="auto"/>
        <w:ind w:firstLine="420" w:firstLineChars="175"/>
        <w:rPr>
          <w:rFonts w:hint="eastAsia" w:ascii="宋体" w:hAnsi="宋体" w:eastAsia="宋体" w:cs="宋体"/>
          <w:color w:val="auto"/>
          <w:sz w:val="24"/>
          <w:highlight w:val="none"/>
        </w:rPr>
      </w:pPr>
    </w:p>
    <w:p w14:paraId="118CDCD1">
      <w:pPr>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（二）根据审查通过的施工图为依据编制的预算，经甲方委托的第三方审核，本合同相关主体方确认后，按照下述原则调整暂定合同价并签订补充协议以作为进度款支付依据，具体如下：</w:t>
      </w:r>
    </w:p>
    <w:p w14:paraId="30E15FA6">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1、工程勘察：按甲方确认的勘察工作大纲中实际产生的工作量，根据</w:t>
      </w:r>
      <w:r>
        <w:rPr>
          <w:rFonts w:hint="eastAsia" w:ascii="宋体" w:hAnsi="宋体" w:eastAsia="宋体" w:cs="宋体"/>
          <w:color w:val="auto"/>
          <w:sz w:val="24"/>
          <w:highlight w:val="none"/>
          <w:lang w:val="zh-CN"/>
        </w:rPr>
        <w:t>《工程勘察设计收费标准》（2002年修订本）标准</w:t>
      </w:r>
      <w:r>
        <w:rPr>
          <w:rFonts w:hint="eastAsia" w:ascii="宋体" w:hAnsi="宋体" w:eastAsia="宋体" w:cs="宋体"/>
          <w:color w:val="auto"/>
          <w:sz w:val="24"/>
          <w:highlight w:val="none"/>
        </w:rPr>
        <w:t>乘以</w:t>
      </w:r>
      <w:r>
        <w:rPr>
          <w:rFonts w:hint="eastAsia" w:ascii="宋体" w:hAnsi="宋体" w:eastAsia="宋体" w:cs="宋体"/>
          <w:color w:val="auto"/>
          <w:sz w:val="24"/>
          <w:highlight w:val="none"/>
          <w:lang w:val="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勘察费</w:t>
      </w:r>
      <w:r>
        <w:rPr>
          <w:rFonts w:hint="eastAsia" w:ascii="宋体" w:hAnsi="宋体" w:eastAsia="宋体" w:cs="宋体"/>
          <w:color w:val="auto"/>
          <w:sz w:val="24"/>
          <w:highlight w:val="none"/>
        </w:rPr>
        <w:t>中标</w:t>
      </w:r>
      <w:r>
        <w:rPr>
          <w:rFonts w:hint="eastAsia" w:ascii="宋体" w:hAnsi="宋体" w:eastAsia="宋体" w:cs="宋体"/>
          <w:color w:val="auto"/>
          <w:sz w:val="24"/>
          <w:highlight w:val="none"/>
          <w:lang w:val="zh-CN"/>
        </w:rPr>
        <w:t>下浮率）</w:t>
      </w:r>
      <w:r>
        <w:rPr>
          <w:rFonts w:hint="eastAsia" w:ascii="宋体" w:hAnsi="宋体" w:eastAsia="宋体" w:cs="宋体"/>
          <w:color w:val="auto"/>
          <w:sz w:val="24"/>
          <w:highlight w:val="none"/>
          <w:lang w:val="en-US" w:eastAsia="zh-CN"/>
        </w:rPr>
        <w:t>-初步勘察费19.2150万元</w:t>
      </w:r>
      <w:r>
        <w:rPr>
          <w:rFonts w:hint="eastAsia" w:ascii="宋体" w:hAnsi="宋体" w:eastAsia="宋体" w:cs="宋体"/>
          <w:color w:val="auto"/>
          <w:sz w:val="24"/>
          <w:highlight w:val="none"/>
          <w:lang w:val="zh-CN"/>
        </w:rPr>
        <w:t>计价结算。</w:t>
      </w:r>
      <w:r>
        <w:rPr>
          <w:rFonts w:hint="eastAsia" w:ascii="宋体" w:hAnsi="宋体" w:eastAsia="宋体" w:cs="宋体"/>
          <w:color w:val="auto"/>
          <w:sz w:val="24"/>
          <w:highlight w:val="none"/>
        </w:rPr>
        <w:t>勘察费结算价不得超过勘察费中标价，如超过中标价，则按中标价结算，最终结算价以甲方审核意见为准。</w:t>
      </w:r>
    </w:p>
    <w:p w14:paraId="751BDB1F">
      <w:pPr>
        <w:numPr>
          <w:ilvl w:val="0"/>
          <w:numId w:val="4"/>
        </w:num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工程设计 </w:t>
      </w:r>
    </w:p>
    <w:p w14:paraId="26678B69">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2.1设计费结算以经甲方最终确定的施工图预算为计费基数，按《工程勘察设计收费标准》（2002年修订本）规定计算的设计收费基价并结合各调整系数（工程复杂程度调整系数为1.0、专业调整系数为1.</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、附加调整系数为1.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）乘以</w:t>
      </w:r>
      <w:r>
        <w:rPr>
          <w:rFonts w:hint="eastAsia" w:ascii="宋体" w:hAnsi="宋体" w:eastAsia="宋体" w:cs="宋体"/>
          <w:color w:val="auto"/>
          <w:sz w:val="24"/>
          <w:highlight w:val="none"/>
          <w:lang w:val="zh-CN"/>
        </w:rPr>
        <w:t>（1</w:t>
      </w:r>
      <w:r>
        <w:rPr>
          <w:rFonts w:hint="eastAsia" w:ascii="宋体" w:hAnsi="宋体" w:eastAsia="宋体" w:cs="宋体"/>
          <w:color w:val="auto"/>
          <w:sz w:val="24"/>
          <w:highlight w:val="none"/>
        </w:rPr>
        <w:t>-设计</w:t>
      </w:r>
      <w:r>
        <w:rPr>
          <w:rFonts w:hint="eastAsia" w:ascii="宋体" w:hAnsi="宋体" w:eastAsia="宋体" w:cs="宋体"/>
          <w:color w:val="auto"/>
          <w:sz w:val="24"/>
          <w:highlight w:val="none"/>
          <w:lang w:val="zh-CN"/>
        </w:rPr>
        <w:t>费</w:t>
      </w:r>
      <w:r>
        <w:rPr>
          <w:rFonts w:hint="eastAsia" w:ascii="宋体" w:hAnsi="宋体" w:eastAsia="宋体" w:cs="宋体"/>
          <w:color w:val="auto"/>
          <w:sz w:val="24"/>
          <w:highlight w:val="none"/>
        </w:rPr>
        <w:t>中标</w:t>
      </w:r>
      <w:r>
        <w:rPr>
          <w:rFonts w:hint="eastAsia" w:ascii="宋体" w:hAnsi="宋体" w:eastAsia="宋体" w:cs="宋体"/>
          <w:color w:val="auto"/>
          <w:sz w:val="24"/>
          <w:highlight w:val="none"/>
          <w:lang w:val="zh-CN"/>
        </w:rPr>
        <w:t>下浮率）</w:t>
      </w:r>
      <w:r>
        <w:rPr>
          <w:rFonts w:hint="eastAsia" w:ascii="宋体" w:hAnsi="宋体" w:eastAsia="宋体" w:cs="宋体"/>
          <w:color w:val="auto"/>
          <w:sz w:val="24"/>
          <w:highlight w:val="none"/>
          <w:lang w:val="en-US" w:eastAsia="zh-CN"/>
        </w:rPr>
        <w:t>-概念性设计方案费96万元</w:t>
      </w:r>
      <w:r>
        <w:rPr>
          <w:rFonts w:hint="eastAsia" w:ascii="宋体" w:hAnsi="宋体" w:eastAsia="宋体" w:cs="宋体"/>
          <w:color w:val="auto"/>
          <w:sz w:val="24"/>
          <w:highlight w:val="none"/>
          <w:lang w:val="zh-CN"/>
        </w:rPr>
        <w:t>计价结算。</w:t>
      </w:r>
    </w:p>
    <w:p w14:paraId="5A7F37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2.2设计费结算价不得超过设计费中标价，如超过中标价，则按设计费中标价结算，最终结算价以甲方审核意见为准。</w:t>
      </w:r>
    </w:p>
    <w:p w14:paraId="43DDF227">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3、施工部分</w:t>
      </w:r>
    </w:p>
    <w:p w14:paraId="0C26D538">
      <w:pPr>
        <w:pStyle w:val="6"/>
        <w:spacing w:line="360" w:lineRule="auto"/>
        <w:ind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3.1采用综合单价包干，项目措施费总价包干，工程量按实计算的方式确定，具体如下： </w:t>
      </w:r>
    </w:p>
    <w:p w14:paraId="0753456F">
      <w:pPr>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(1)分部分项工程量清单包干综合单价=</w:t>
      </w:r>
      <w:r>
        <w:rPr>
          <w:rFonts w:hint="eastAsia" w:ascii="宋体" w:hAnsi="宋体" w:eastAsia="宋体" w:cs="宋体"/>
          <w:color w:val="auto"/>
          <w:kern w:val="0"/>
          <w:sz w:val="24"/>
          <w:highlight w:val="none"/>
        </w:rPr>
        <w:t>以</w:t>
      </w:r>
      <w:r>
        <w:rPr>
          <w:rFonts w:hint="eastAsia" w:ascii="宋体" w:hAnsi="宋体" w:eastAsia="宋体" w:cs="宋体"/>
          <w:color w:val="auto"/>
          <w:sz w:val="24"/>
          <w:highlight w:val="none"/>
        </w:rPr>
        <w:t>经甲方确认的施工图预算中的分部分项工程量清单综合单价×（1-中标下浮率），中标下浮率以投标文件为准。</w:t>
      </w:r>
    </w:p>
    <w:p w14:paraId="01CA59E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分部分项工程费=∑（分部分项工程量清单包干综合单价×工程量），工程量暂按照经甲方确认的施工图预算中对应的工程量计算，结算依据竣工文件按实计量。</w:t>
      </w:r>
    </w:p>
    <w:p w14:paraId="2B02394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措施项目费：本工程的项目措施费为总价包干使用，在双方确认施工图预算后，下浮（执行中标下浮率）后的施工图预算中的项目措施费即为结算价，结算时不做调整。调减的特殊情况：工程实施内容减少，据实调减措施项目费。</w:t>
      </w:r>
    </w:p>
    <w:p w14:paraId="47278176">
      <w:pPr>
        <w:pStyle w:val="6"/>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绿色施工安全防护措施费属非竞争性费用不下浮。</w:t>
      </w:r>
    </w:p>
    <w:p w14:paraId="03209E60">
      <w:pPr>
        <w:pStyle w:val="6"/>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（3）其他项目费=</w:t>
      </w:r>
      <w:r>
        <w:rPr>
          <w:rFonts w:hint="eastAsia" w:ascii="宋体" w:hAnsi="宋体" w:eastAsia="宋体" w:cs="宋体"/>
          <w:color w:val="auto"/>
          <w:kern w:val="0"/>
          <w:sz w:val="24"/>
          <w:highlight w:val="none"/>
        </w:rPr>
        <w:t>以</w:t>
      </w:r>
      <w:r>
        <w:rPr>
          <w:rFonts w:hint="eastAsia" w:ascii="宋体" w:hAnsi="宋体" w:eastAsia="宋体" w:cs="宋体"/>
          <w:color w:val="auto"/>
          <w:sz w:val="24"/>
          <w:highlight w:val="none"/>
        </w:rPr>
        <w:t>经甲方确认的施工图预算对应其他项目费×（1-中标下浮率）。暂列金额、暂估价按照甲方确定的施工图预算中的金额</w:t>
      </w:r>
      <w:r>
        <w:rPr>
          <w:rFonts w:ascii="宋体" w:hAnsi="宋体" w:eastAsia="宋体" w:cs="宋体"/>
          <w:color w:val="auto"/>
          <w:sz w:val="24"/>
          <w:highlight w:val="none"/>
        </w:rPr>
        <w:t>开列</w:t>
      </w:r>
      <w:r>
        <w:rPr>
          <w:rFonts w:hint="eastAsia" w:ascii="宋体" w:hAnsi="宋体" w:eastAsia="宋体" w:cs="宋体"/>
          <w:color w:val="auto"/>
          <w:sz w:val="24"/>
          <w:highlight w:val="none"/>
        </w:rPr>
        <w:t>。</w:t>
      </w:r>
    </w:p>
    <w:p w14:paraId="4A20564F">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（4）规费、税金：按规定计取</w:t>
      </w:r>
      <w:r>
        <w:rPr>
          <w:rFonts w:ascii="宋体" w:hAnsi="宋体" w:eastAsia="宋体" w:cs="宋体"/>
          <w:color w:val="auto"/>
          <w:sz w:val="24"/>
          <w:highlight w:val="none"/>
        </w:rPr>
        <w:t>，取费规定中有上下限的，按低值计算，费率</w:t>
      </w:r>
      <w:r>
        <w:rPr>
          <w:rFonts w:hint="eastAsia" w:ascii="宋体" w:hAnsi="宋体" w:eastAsia="宋体" w:cs="宋体"/>
          <w:color w:val="auto"/>
          <w:sz w:val="24"/>
          <w:highlight w:val="none"/>
        </w:rPr>
        <w:t>固定不变（市造价站文件规定可调整除外）。</w:t>
      </w:r>
    </w:p>
    <w:p w14:paraId="6FA24A5E">
      <w:pPr>
        <w:pStyle w:val="6"/>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（5）施工部分补充协议价=分部分项工程费+措施项目费+其他项目费+规费+税金。</w:t>
      </w:r>
    </w:p>
    <w:p w14:paraId="0FD3AFDB">
      <w:pPr>
        <w:pStyle w:val="6"/>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6）乙方报送的最终版施工图纸和施工图预算经甲方审核确认后，如因乙方原因导致修改(增或减)图纸的，增加部分费用由乙方自行承担，减少部分费用按实结算，最终结算价（执行中标下浮后）不得超过经甲方审核确认的施工图预算；如非乙方原因发生重大方案决策调整的，调整内容经甲方和监理单位批准确认并已完善变更手续的，可予以调整价款，最终结算价以甲方审定为准。 </w:t>
      </w:r>
    </w:p>
    <w:p w14:paraId="36D92906">
      <w:pPr>
        <w:pStyle w:val="6"/>
        <w:spacing w:line="360" w:lineRule="auto"/>
        <w:ind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3.2本工程的项目措施费为总价包干使用，在双方确认施工图预算后，执行中标下浮率的施工图预算中的项目措施费即为结算价，结算时不做调整。项目措施费调减的特殊情况：工程实施内容减少，据实调减措施项目费。施工部分补充协议</w:t>
      </w:r>
      <w:r>
        <w:rPr>
          <w:rFonts w:hint="eastAsia" w:ascii="宋体" w:hAnsi="宋体" w:eastAsia="宋体" w:cs="宋体"/>
          <w:color w:val="auto"/>
          <w:kern w:val="0"/>
          <w:sz w:val="24"/>
          <w:highlight w:val="none"/>
        </w:rPr>
        <w:t>内的</w:t>
      </w:r>
      <w:r>
        <w:rPr>
          <w:rFonts w:hint="eastAsia" w:ascii="宋体" w:hAnsi="宋体" w:eastAsia="宋体" w:cs="宋体"/>
          <w:color w:val="auto"/>
          <w:sz w:val="24"/>
          <w:highlight w:val="none"/>
        </w:rPr>
        <w:t>暂列金额根据工程实际需要开支，结算多退少补。</w:t>
      </w:r>
    </w:p>
    <w:p w14:paraId="1510A3B3">
      <w:pPr>
        <w:pStyle w:val="6"/>
        <w:spacing w:line="360" w:lineRule="auto"/>
        <w:ind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3.3本工程概（预）算编制费由乙方在设计费及工程施工费投标报价中综合考虑，中标后甲方不再另行支付费用。</w:t>
      </w:r>
    </w:p>
    <w:p w14:paraId="1DF4EFCE">
      <w:pPr>
        <w:autoSpaceDE w:val="0"/>
        <w:autoSpaceDN w:val="0"/>
        <w:adjustRightInd w:val="0"/>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4、签订补充协议涉及工程造价的，按上述约定原则进行计价。</w:t>
      </w:r>
    </w:p>
    <w:p w14:paraId="756EFA13">
      <w:pPr>
        <w:pStyle w:val="116"/>
        <w:spacing w:line="360" w:lineRule="auto"/>
        <w:rPr>
          <w:rFonts w:hint="eastAsia" w:ascii="宋体" w:hAnsi="宋体" w:eastAsia="宋体" w:cs="宋体"/>
          <w:b/>
          <w:bCs w:val="0"/>
          <w:color w:val="auto"/>
          <w:szCs w:val="24"/>
          <w:highlight w:val="none"/>
        </w:rPr>
      </w:pPr>
      <w:bookmarkStart w:id="12" w:name="_Toc287627919"/>
      <w:r>
        <w:rPr>
          <w:rFonts w:hint="eastAsia" w:ascii="宋体" w:hAnsi="宋体" w:eastAsia="宋体" w:cs="宋体"/>
          <w:b/>
          <w:bCs w:val="0"/>
          <w:color w:val="auto"/>
          <w:szCs w:val="24"/>
          <w:highlight w:val="none"/>
        </w:rPr>
        <w:t>六、组成合同的文件</w:t>
      </w:r>
      <w:bookmarkEnd w:id="12"/>
    </w:p>
    <w:p w14:paraId="587F4271">
      <w:pPr>
        <w:tabs>
          <w:tab w:val="left" w:pos="2268"/>
        </w:tabs>
        <w:autoSpaceDE w:val="0"/>
        <w:autoSpaceDN w:val="0"/>
        <w:adjustRightInd w:val="0"/>
        <w:spacing w:line="360" w:lineRule="auto"/>
        <w:ind w:left="101" w:right="186"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1、本协议书中所用术语的含义与下文提及的合同条款中相应术语的含义相同。</w:t>
      </w:r>
    </w:p>
    <w:p w14:paraId="429FC751">
      <w:pPr>
        <w:autoSpaceDE w:val="0"/>
        <w:autoSpaceDN w:val="0"/>
        <w:adjustRightInd w:val="0"/>
        <w:spacing w:line="360" w:lineRule="auto"/>
        <w:ind w:left="101" w:right="186"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2、下列文件应被认为是组成本协议书的一部分，并互为补充和解释,如上述各部分存在不一致之处,以先后排列次序为优先。</w:t>
      </w:r>
    </w:p>
    <w:p w14:paraId="195B66A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在本合同签署后为</w:t>
      </w:r>
      <w:r>
        <w:rPr>
          <w:rFonts w:hint="eastAsia" w:ascii="宋体" w:hAnsi="宋体" w:eastAsia="宋体" w:cs="宋体"/>
          <w:color w:val="auto"/>
          <w:sz w:val="24"/>
          <w:szCs w:val="32"/>
          <w:highlight w:val="none"/>
          <w:lang w:eastAsia="zh-CN"/>
        </w:rPr>
        <w:t>履行本合同的相关补充协议；</w:t>
      </w:r>
      <w:r>
        <w:rPr>
          <w:rFonts w:hint="eastAsia" w:ascii="宋体" w:hAnsi="宋体" w:eastAsia="宋体" w:cs="宋体"/>
          <w:color w:val="auto"/>
          <w:sz w:val="24"/>
          <w:highlight w:val="none"/>
        </w:rPr>
        <w:t>；</w:t>
      </w:r>
    </w:p>
    <w:p w14:paraId="3F3AC8C1">
      <w:pPr>
        <w:pStyle w:val="128"/>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sz w:val="24"/>
          <w:highlight w:val="none"/>
        </w:rPr>
        <w:t>本合同协议书及附件</w:t>
      </w:r>
      <w:r>
        <w:rPr>
          <w:rFonts w:hint="eastAsia" w:ascii="宋体" w:hAnsi="宋体" w:eastAsia="宋体" w:cs="宋体"/>
          <w:color w:val="auto"/>
          <w:highlight w:val="none"/>
          <w:lang w:eastAsia="zh-CN"/>
        </w:rPr>
        <w:t>；</w:t>
      </w:r>
    </w:p>
    <w:p w14:paraId="486A56F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（3）中标通知书；</w:t>
      </w:r>
    </w:p>
    <w:p w14:paraId="25550E8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（4）投标书及其附件；</w:t>
      </w:r>
    </w:p>
    <w:p w14:paraId="25C7351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）招标文件及其附件、招标答疑会议纪要等补充文件；</w:t>
      </w:r>
    </w:p>
    <w:p w14:paraId="28950F7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）标准、规范及有关技术文件；</w:t>
      </w:r>
    </w:p>
    <w:p w14:paraId="4118CED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）图纸；</w:t>
      </w:r>
    </w:p>
    <w:p w14:paraId="34E4538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）工程量清单（若有）；</w:t>
      </w:r>
    </w:p>
    <w:p w14:paraId="68453C11">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）工程报价单或预算书（若有）。</w:t>
      </w:r>
    </w:p>
    <w:p w14:paraId="03159DF5">
      <w:pPr>
        <w:pStyle w:val="116"/>
        <w:spacing w:line="360" w:lineRule="auto"/>
        <w:rPr>
          <w:rFonts w:hint="eastAsia" w:ascii="宋体" w:hAnsi="宋体" w:eastAsia="宋体" w:cs="宋体"/>
          <w:b/>
          <w:bCs w:val="0"/>
          <w:color w:val="auto"/>
          <w:highlight w:val="none"/>
        </w:rPr>
      </w:pPr>
      <w:r>
        <w:rPr>
          <w:rFonts w:hint="eastAsia" w:ascii="宋体" w:hAnsi="宋体" w:eastAsia="宋体" w:cs="宋体"/>
          <w:b/>
          <w:bCs w:val="0"/>
          <w:color w:val="auto"/>
          <w:highlight w:val="none"/>
        </w:rPr>
        <w:t>七、词语含义</w:t>
      </w:r>
    </w:p>
    <w:p w14:paraId="2E955EC7">
      <w:pPr>
        <w:autoSpaceDE w:val="0"/>
        <w:autoSpaceDN w:val="0"/>
        <w:adjustRightInd w:val="0"/>
        <w:spacing w:line="360" w:lineRule="auto"/>
        <w:ind w:left="581"/>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本协议书中有关词语含义与本合同第二部分《通用条款》第</w:t>
      </w:r>
      <w:r>
        <w:rPr>
          <w:rFonts w:hint="eastAsia" w:ascii="宋体" w:hAnsi="宋体" w:eastAsia="宋体" w:cs="宋体"/>
          <w:color w:val="auto"/>
          <w:spacing w:val="-60"/>
          <w:kern w:val="0"/>
          <w:sz w:val="24"/>
          <w:highlight w:val="none"/>
        </w:rPr>
        <w:t xml:space="preserve"> </w:t>
      </w:r>
      <w:r>
        <w:rPr>
          <w:rFonts w:hint="eastAsia" w:ascii="宋体" w:hAnsi="宋体" w:eastAsia="宋体" w:cs="宋体"/>
          <w:color w:val="auto"/>
          <w:kern w:val="0"/>
          <w:sz w:val="24"/>
          <w:highlight w:val="none"/>
        </w:rPr>
        <w:t>1</w:t>
      </w:r>
      <w:r>
        <w:rPr>
          <w:rFonts w:hint="eastAsia" w:ascii="宋体" w:hAnsi="宋体" w:eastAsia="宋体" w:cs="宋体"/>
          <w:color w:val="auto"/>
          <w:spacing w:val="-60"/>
          <w:kern w:val="0"/>
          <w:sz w:val="24"/>
          <w:highlight w:val="none"/>
        </w:rPr>
        <w:t xml:space="preserve"> </w:t>
      </w:r>
      <w:r>
        <w:rPr>
          <w:rFonts w:hint="eastAsia" w:ascii="宋体" w:hAnsi="宋体" w:eastAsia="宋体" w:cs="宋体"/>
          <w:color w:val="auto"/>
          <w:kern w:val="0"/>
          <w:sz w:val="24"/>
          <w:highlight w:val="none"/>
        </w:rPr>
        <w:t>条赋予它们的定义相同。</w:t>
      </w:r>
    </w:p>
    <w:p w14:paraId="1AA4BE10">
      <w:pPr>
        <w:pStyle w:val="116"/>
        <w:spacing w:line="360" w:lineRule="auto"/>
        <w:rPr>
          <w:rFonts w:hint="eastAsia" w:ascii="宋体" w:hAnsi="宋体" w:eastAsia="宋体" w:cs="宋体"/>
          <w:b/>
          <w:bCs w:val="0"/>
          <w:color w:val="auto"/>
          <w:highlight w:val="none"/>
        </w:rPr>
      </w:pPr>
      <w:r>
        <w:rPr>
          <w:rFonts w:hint="eastAsia" w:ascii="宋体" w:hAnsi="宋体" w:eastAsia="宋体" w:cs="宋体"/>
          <w:b/>
          <w:bCs w:val="0"/>
          <w:color w:val="auto"/>
          <w:highlight w:val="none"/>
        </w:rPr>
        <w:t>八、甲方承诺</w:t>
      </w:r>
    </w:p>
    <w:p w14:paraId="22E44E9E">
      <w:pPr>
        <w:autoSpaceDE w:val="0"/>
        <w:autoSpaceDN w:val="0"/>
        <w:adjustRightInd w:val="0"/>
        <w:spacing w:line="360" w:lineRule="auto"/>
        <w:ind w:left="101" w:right="184" w:firstLine="480"/>
        <w:jc w:val="left"/>
        <w:rPr>
          <w:rFonts w:hint="eastAsia" w:ascii="宋体" w:hAnsi="宋体" w:eastAsia="宋体" w:cs="宋体"/>
          <w:color w:val="auto"/>
          <w:highlight w:val="none"/>
        </w:rPr>
      </w:pPr>
      <w:r>
        <w:rPr>
          <w:rFonts w:hint="eastAsia" w:ascii="宋体" w:hAnsi="宋体" w:eastAsia="宋体" w:cs="宋体"/>
          <w:color w:val="auto"/>
          <w:spacing w:val="1"/>
          <w:kern w:val="0"/>
          <w:sz w:val="24"/>
          <w:highlight w:val="none"/>
        </w:rPr>
        <w:t>甲方向乙方承诺已阅读、理</w:t>
      </w:r>
      <w:r>
        <w:rPr>
          <w:rFonts w:hint="eastAsia" w:ascii="宋体" w:hAnsi="宋体" w:eastAsia="宋体" w:cs="宋体"/>
          <w:color w:val="auto"/>
          <w:kern w:val="0"/>
          <w:sz w:val="24"/>
          <w:highlight w:val="none"/>
        </w:rPr>
        <w:t>解</w:t>
      </w:r>
      <w:r>
        <w:rPr>
          <w:rFonts w:hint="eastAsia" w:ascii="宋体" w:hAnsi="宋体" w:eastAsia="宋体" w:cs="宋体"/>
          <w:color w:val="auto"/>
          <w:spacing w:val="1"/>
          <w:kern w:val="0"/>
          <w:sz w:val="24"/>
          <w:highlight w:val="none"/>
        </w:rPr>
        <w:t>并接受本合同所有条款，按</w:t>
      </w:r>
      <w:r>
        <w:rPr>
          <w:rFonts w:hint="eastAsia" w:ascii="宋体" w:hAnsi="宋体" w:eastAsia="宋体" w:cs="宋体"/>
          <w:color w:val="auto"/>
          <w:kern w:val="0"/>
          <w:sz w:val="24"/>
          <w:highlight w:val="none"/>
        </w:rPr>
        <w:t>照</w:t>
      </w:r>
      <w:r>
        <w:rPr>
          <w:rFonts w:hint="eastAsia" w:ascii="宋体" w:hAnsi="宋体" w:eastAsia="宋体" w:cs="宋体"/>
          <w:color w:val="auto"/>
          <w:spacing w:val="1"/>
          <w:kern w:val="0"/>
          <w:sz w:val="24"/>
          <w:highlight w:val="none"/>
        </w:rPr>
        <w:t>本合同约定的时限和方法</w:t>
      </w:r>
      <w:r>
        <w:rPr>
          <w:rFonts w:hint="eastAsia" w:ascii="宋体" w:hAnsi="宋体" w:eastAsia="宋体" w:cs="宋体"/>
          <w:color w:val="auto"/>
          <w:kern w:val="0"/>
          <w:sz w:val="24"/>
          <w:highlight w:val="none"/>
        </w:rPr>
        <w:t>支付工程款及其他应当支付的款项，履行本合同所约定的全部义务。</w:t>
      </w:r>
    </w:p>
    <w:p w14:paraId="509BA75A">
      <w:pPr>
        <w:pStyle w:val="116"/>
        <w:spacing w:line="360" w:lineRule="auto"/>
        <w:rPr>
          <w:rFonts w:hint="eastAsia" w:ascii="宋体" w:hAnsi="宋体" w:eastAsia="宋体" w:cs="宋体"/>
          <w:b/>
          <w:bCs w:val="0"/>
          <w:color w:val="auto"/>
          <w:highlight w:val="none"/>
        </w:rPr>
      </w:pPr>
      <w:r>
        <w:rPr>
          <w:rFonts w:hint="eastAsia" w:ascii="宋体" w:hAnsi="宋体" w:eastAsia="宋体" w:cs="宋体"/>
          <w:b/>
          <w:bCs w:val="0"/>
          <w:color w:val="auto"/>
          <w:highlight w:val="none"/>
        </w:rPr>
        <w:t>九、乙方承诺</w:t>
      </w:r>
    </w:p>
    <w:p w14:paraId="2B4B0C13">
      <w:pPr>
        <w:autoSpaceDE w:val="0"/>
        <w:autoSpaceDN w:val="0"/>
        <w:adjustRightInd w:val="0"/>
        <w:spacing w:line="360" w:lineRule="auto"/>
        <w:ind w:left="101" w:right="184" w:firstLine="480"/>
        <w:jc w:val="left"/>
        <w:rPr>
          <w:rFonts w:hint="eastAsia" w:ascii="宋体" w:hAnsi="宋体" w:eastAsia="宋体" w:cs="宋体"/>
          <w:color w:val="auto"/>
          <w:highlight w:val="none"/>
        </w:rPr>
      </w:pPr>
      <w:r>
        <w:rPr>
          <w:rFonts w:hint="eastAsia" w:ascii="宋体" w:hAnsi="宋体" w:eastAsia="宋体" w:cs="宋体"/>
          <w:color w:val="auto"/>
          <w:spacing w:val="1"/>
          <w:kern w:val="0"/>
          <w:sz w:val="24"/>
          <w:highlight w:val="none"/>
        </w:rPr>
        <w:t>乙方向甲方承诺已阅读、理</w:t>
      </w:r>
      <w:r>
        <w:rPr>
          <w:rFonts w:hint="eastAsia" w:ascii="宋体" w:hAnsi="宋体" w:eastAsia="宋体" w:cs="宋体"/>
          <w:color w:val="auto"/>
          <w:kern w:val="0"/>
          <w:sz w:val="24"/>
          <w:highlight w:val="none"/>
        </w:rPr>
        <w:t>解</w:t>
      </w:r>
      <w:r>
        <w:rPr>
          <w:rFonts w:hint="eastAsia" w:ascii="宋体" w:hAnsi="宋体" w:eastAsia="宋体" w:cs="宋体"/>
          <w:color w:val="auto"/>
          <w:spacing w:val="1"/>
          <w:kern w:val="0"/>
          <w:sz w:val="24"/>
          <w:highlight w:val="none"/>
        </w:rPr>
        <w:t>并接受本合同所有条款，按</w:t>
      </w:r>
      <w:r>
        <w:rPr>
          <w:rFonts w:hint="eastAsia" w:ascii="宋体" w:hAnsi="宋体" w:eastAsia="宋体" w:cs="宋体"/>
          <w:color w:val="auto"/>
          <w:kern w:val="0"/>
          <w:sz w:val="24"/>
          <w:highlight w:val="none"/>
        </w:rPr>
        <w:t>照</w:t>
      </w:r>
      <w:r>
        <w:rPr>
          <w:rFonts w:hint="eastAsia" w:ascii="宋体" w:hAnsi="宋体" w:eastAsia="宋体" w:cs="宋体"/>
          <w:color w:val="auto"/>
          <w:spacing w:val="1"/>
          <w:kern w:val="0"/>
          <w:sz w:val="24"/>
          <w:highlight w:val="none"/>
        </w:rPr>
        <w:t>本合同约定实施、完成并</w:t>
      </w:r>
      <w:r>
        <w:rPr>
          <w:rFonts w:hint="eastAsia" w:ascii="宋体" w:hAnsi="宋体" w:eastAsia="宋体" w:cs="宋体"/>
          <w:color w:val="auto"/>
          <w:kern w:val="0"/>
          <w:sz w:val="24"/>
          <w:highlight w:val="none"/>
        </w:rPr>
        <w:t>保修合同工程，履行本合同所约定的全部义务。</w:t>
      </w:r>
    </w:p>
    <w:p w14:paraId="16DB7753">
      <w:pPr>
        <w:pStyle w:val="6"/>
        <w:numPr>
          <w:ilvl w:val="0"/>
          <w:numId w:val="5"/>
        </w:numPr>
        <w:spacing w:line="360" w:lineRule="auto"/>
        <w:ind w:firstLine="0" w:firstLineChars="0"/>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开户银行账号</w:t>
      </w:r>
    </w:p>
    <w:p w14:paraId="33202B3E">
      <w:pPr>
        <w:autoSpaceDE w:val="0"/>
        <w:autoSpaceDN w:val="0"/>
        <w:adjustRightInd w:val="0"/>
        <w:spacing w:line="360" w:lineRule="auto"/>
        <w:ind w:left="101" w:right="184" w:firstLine="480"/>
        <w:jc w:val="left"/>
        <w:rPr>
          <w:rFonts w:hint="eastAsia" w:ascii="宋体" w:hAnsi="宋体" w:eastAsia="宋体" w:cs="宋体"/>
          <w:color w:val="auto"/>
          <w:spacing w:val="1"/>
          <w:kern w:val="0"/>
          <w:sz w:val="24"/>
          <w:highlight w:val="none"/>
        </w:rPr>
      </w:pPr>
      <w:r>
        <w:rPr>
          <w:rFonts w:hint="eastAsia" w:ascii="宋体" w:hAnsi="宋体" w:eastAsia="宋体" w:cs="宋体"/>
          <w:bCs/>
          <w:color w:val="auto"/>
          <w:sz w:val="24"/>
          <w:highlight w:val="none"/>
        </w:rPr>
        <w:t>1、</w:t>
      </w:r>
      <w:r>
        <w:rPr>
          <w:rFonts w:hint="eastAsia" w:ascii="宋体" w:hAnsi="宋体" w:eastAsia="宋体" w:cs="宋体"/>
          <w:color w:val="auto"/>
          <w:spacing w:val="1"/>
          <w:kern w:val="0"/>
          <w:sz w:val="24"/>
          <w:highlight w:val="none"/>
        </w:rPr>
        <w:t>乙方签订本合同时使用的“开户银行名称、账户名称（简称户名）及账号”必须与技术投标书附表中所填写的“开户银行名称、账户名称（简称户名）及账号”一致、且账户不得是临时账户，合同签订后不得变更，否则甲方有权拒绝合同授予、有权停止工程款的拨付，所造成的一切后果由乙方承担。</w:t>
      </w:r>
    </w:p>
    <w:p w14:paraId="699AC1F0">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2、甲方、乙方委托银行代收代付有关费用。</w:t>
      </w:r>
    </w:p>
    <w:p w14:paraId="21C54AD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分账支付</w:t>
      </w:r>
    </w:p>
    <w:p w14:paraId="00FCE4A8">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乙方勘察方指定的有效银行账户如下：</w:t>
      </w:r>
    </w:p>
    <w:p w14:paraId="03211B73">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账户全称：</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lang w:val="zh-CN"/>
        </w:rPr>
        <w:t xml:space="preserve"> </w:t>
      </w:r>
    </w:p>
    <w:p w14:paraId="68600B81">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账户账号：</w:t>
      </w:r>
      <w:r>
        <w:rPr>
          <w:rFonts w:hint="eastAsia" w:ascii="宋体" w:hAnsi="宋体" w:eastAsia="宋体" w:cs="宋体"/>
          <w:b/>
          <w:color w:val="auto"/>
          <w:sz w:val="24"/>
          <w:highlight w:val="none"/>
          <w:u w:val="single"/>
        </w:rPr>
        <w:t xml:space="preserve">                               </w:t>
      </w:r>
    </w:p>
    <w:p w14:paraId="255E45AF">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开户银行：</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rPr>
        <w:t xml:space="preserve"> </w:t>
      </w:r>
    </w:p>
    <w:p w14:paraId="3B0D5B9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乙方设计方指定的有效银行账户如下：</w:t>
      </w:r>
    </w:p>
    <w:p w14:paraId="139394B9">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账户全称：</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lang w:val="zh-CN"/>
        </w:rPr>
        <w:t xml:space="preserve"> </w:t>
      </w:r>
    </w:p>
    <w:p w14:paraId="2AAE0D08">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账户账号：</w:t>
      </w:r>
      <w:r>
        <w:rPr>
          <w:rFonts w:hint="eastAsia" w:ascii="宋体" w:hAnsi="宋体" w:eastAsia="宋体" w:cs="宋体"/>
          <w:b/>
          <w:color w:val="auto"/>
          <w:sz w:val="24"/>
          <w:highlight w:val="none"/>
          <w:u w:val="single"/>
        </w:rPr>
        <w:t xml:space="preserve">                               </w:t>
      </w:r>
    </w:p>
    <w:p w14:paraId="2CAC76C1">
      <w:pPr>
        <w:adjustRightInd w:val="0"/>
        <w:snapToGrid w:val="0"/>
        <w:spacing w:line="360" w:lineRule="auto"/>
        <w:ind w:firstLine="48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开户银行：</w:t>
      </w:r>
      <w:r>
        <w:rPr>
          <w:rFonts w:hint="eastAsia" w:ascii="宋体" w:hAnsi="宋体" w:eastAsia="宋体" w:cs="宋体"/>
          <w:b/>
          <w:color w:val="auto"/>
          <w:sz w:val="24"/>
          <w:highlight w:val="none"/>
          <w:u w:val="single"/>
        </w:rPr>
        <w:t xml:space="preserve">                               </w:t>
      </w:r>
    </w:p>
    <w:p w14:paraId="50190C2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乙方施工总承包方指定的有效银行账户</w:t>
      </w:r>
      <w:r>
        <w:rPr>
          <w:rFonts w:hint="eastAsia" w:ascii="宋体" w:hAnsi="宋体" w:eastAsia="宋体" w:cs="宋体"/>
          <w:color w:val="auto"/>
          <w:sz w:val="24"/>
          <w:highlight w:val="none"/>
        </w:rPr>
        <w:t>如下：</w:t>
      </w:r>
    </w:p>
    <w:p w14:paraId="34FA8849">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账户全称：</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lang w:val="zh-CN"/>
        </w:rPr>
        <w:t xml:space="preserve"> </w:t>
      </w:r>
    </w:p>
    <w:p w14:paraId="16CDDF60">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账户账号：</w:t>
      </w:r>
      <w:r>
        <w:rPr>
          <w:rFonts w:hint="eastAsia" w:ascii="宋体" w:hAnsi="宋体" w:eastAsia="宋体" w:cs="宋体"/>
          <w:b/>
          <w:color w:val="auto"/>
          <w:sz w:val="24"/>
          <w:highlight w:val="none"/>
          <w:u w:val="single"/>
        </w:rPr>
        <w:t xml:space="preserve">                               </w:t>
      </w:r>
    </w:p>
    <w:p w14:paraId="65513AE1">
      <w:pPr>
        <w:pStyle w:val="6"/>
        <w:ind w:firstLine="48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开户银行：</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rPr>
        <w:t xml:space="preserve"> </w:t>
      </w:r>
    </w:p>
    <w:p w14:paraId="3BB77FE4">
      <w:pPr>
        <w:adjustRightInd w:val="0"/>
        <w:snapToGrid w:val="0"/>
        <w:spacing w:line="360" w:lineRule="auto"/>
        <w:ind w:firstLine="480" w:firstLineChars="200"/>
        <w:rPr>
          <w:rFonts w:hint="eastAsia" w:ascii="宋体" w:hAnsi="宋体" w:eastAsia="宋体" w:cs="宋体"/>
          <w:color w:val="auto"/>
          <w:sz w:val="24"/>
          <w:highlight w:val="none"/>
        </w:rPr>
      </w:pPr>
    </w:p>
    <w:p w14:paraId="24CE01A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甲方向上述账号汇出款项即视为甲方已履行付款义务，在协议履行过程中，因乙方账户原因（包括但不限于账号被注销、被冻结等）导致乙方无法收取款项的，由乙方承担相应后果。</w:t>
      </w:r>
    </w:p>
    <w:p w14:paraId="07AEBB3E">
      <w:pPr>
        <w:pStyle w:val="6"/>
        <w:spacing w:line="360" w:lineRule="auto"/>
        <w:ind w:firstLine="490" w:firstLineChars="0"/>
        <w:rPr>
          <w:rFonts w:hint="eastAsia" w:ascii="宋体" w:hAnsi="宋体" w:eastAsia="宋体" w:cs="宋体"/>
          <w:bCs/>
          <w:color w:val="auto"/>
          <w:sz w:val="24"/>
          <w:highlight w:val="none"/>
        </w:rPr>
      </w:pPr>
      <w:r>
        <w:rPr>
          <w:rFonts w:hint="eastAsia" w:ascii="宋体" w:hAnsi="宋体" w:eastAsia="宋体" w:cs="宋体"/>
          <w:color w:val="auto"/>
          <w:sz w:val="24"/>
          <w:highlight w:val="none"/>
        </w:rPr>
        <w:t>甲方凭乙方开具的等额合法有效发票付款，否则，甲方有权拒付。乙方不得因此延误工作和履行本合同约定的其他义务。</w:t>
      </w:r>
    </w:p>
    <w:p w14:paraId="248EA581">
      <w:pPr>
        <w:pStyle w:val="10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十一、乙方为联合体的各成员方约定</w:t>
      </w:r>
    </w:p>
    <w:p w14:paraId="18C9A7E0">
      <w:pPr>
        <w:pStyle w:val="85"/>
        <w:spacing w:before="0" w:after="0" w:line="360" w:lineRule="auto"/>
        <w:ind w:left="0" w:right="0" w:firstLine="480"/>
        <w:jc w:val="both"/>
        <w:rPr>
          <w:rFonts w:hint="eastAsia" w:ascii="宋体" w:hAnsi="宋体" w:eastAsia="宋体" w:cs="宋体"/>
          <w:color w:val="auto"/>
          <w:highlight w:val="none"/>
        </w:rPr>
      </w:pPr>
      <w:r>
        <w:rPr>
          <w:rFonts w:hint="eastAsia" w:ascii="宋体" w:hAnsi="宋体" w:eastAsia="宋体" w:cs="宋体"/>
          <w:bCs/>
          <w:color w:val="auto"/>
          <w:highlight w:val="none"/>
        </w:rPr>
        <w:t>1、</w:t>
      </w:r>
      <w:r>
        <w:rPr>
          <w:rFonts w:hint="eastAsia" w:ascii="宋体" w:hAnsi="宋体" w:eastAsia="宋体" w:cs="宋体"/>
          <w:color w:val="auto"/>
          <w:highlight w:val="none"/>
        </w:rPr>
        <w:t>如乙方为联合体的，各成员方应签署联合体合作协议，明确各自分工以及职责，联合体协议应在签署本合同前提供一份原件报甲方备案。</w:t>
      </w:r>
    </w:p>
    <w:p w14:paraId="5DED37A8">
      <w:pPr>
        <w:pStyle w:val="85"/>
        <w:spacing w:before="0" w:after="0" w:line="360" w:lineRule="auto"/>
        <w:ind w:left="0" w:right="0" w:firstLine="480"/>
        <w:jc w:val="both"/>
        <w:rPr>
          <w:rFonts w:hint="eastAsia" w:ascii="宋体" w:hAnsi="宋体" w:eastAsia="宋体" w:cs="宋体"/>
          <w:bCs/>
          <w:color w:val="auto"/>
          <w:highlight w:val="none"/>
        </w:rPr>
      </w:pPr>
      <w:r>
        <w:rPr>
          <w:rFonts w:hint="eastAsia" w:ascii="宋体" w:hAnsi="宋体" w:eastAsia="宋体" w:cs="宋体"/>
          <w:color w:val="auto"/>
          <w:highlight w:val="none"/>
        </w:rPr>
        <w:t>2、联合体协议应确定一名成员方为本联合体的主办方，联合体的主办方作为第一直接责任人，全面负责合同工程的工期、质量、安全、保修等事项以及协调和督促各成员方完成合同约定的事项。若是成员方在履行本合同时有违反本合同约定或有关法规的行为而产生的一切损失及乙方维护合同权利的合理支出，包括不限于律师费、诉讼费、误工费、交通费等由主办方承担连带责任。</w:t>
      </w:r>
    </w:p>
    <w:p w14:paraId="2191B5C8">
      <w:pPr>
        <w:pStyle w:val="85"/>
        <w:spacing w:before="0" w:after="0" w:line="360" w:lineRule="auto"/>
        <w:ind w:left="0" w:right="0" w:firstLine="480"/>
        <w:jc w:val="both"/>
        <w:rPr>
          <w:rFonts w:hint="eastAsia" w:ascii="宋体" w:hAnsi="宋体" w:eastAsia="宋体" w:cs="宋体"/>
          <w:color w:val="auto"/>
          <w:highlight w:val="none"/>
        </w:rPr>
      </w:pPr>
      <w:r>
        <w:rPr>
          <w:rFonts w:hint="eastAsia" w:ascii="宋体" w:hAnsi="宋体" w:eastAsia="宋体" w:cs="宋体"/>
          <w:color w:val="auto"/>
          <w:highlight w:val="none"/>
        </w:rPr>
        <w:t>3、如乙方为联合体的，联合体的主办方有义务协助及督促勘察设计各成员方按合同约定的时间提交成果材料，否则每超过一日，处罚联合体中的勘察设计责任方并处罚金额为对应合同价的千分之五（如存在联合体内勘察设计责任不清，则所有勘察设计责任方共同承担责任并按各责任成员所对应合同价的比例进行处罚金额的分担）。</w:t>
      </w:r>
    </w:p>
    <w:p w14:paraId="64CD334C">
      <w:pPr>
        <w:pStyle w:val="85"/>
        <w:spacing w:before="0" w:after="0" w:line="360" w:lineRule="auto"/>
        <w:ind w:left="0" w:right="0" w:firstLine="480"/>
        <w:jc w:val="both"/>
        <w:rPr>
          <w:rFonts w:hint="eastAsia" w:ascii="宋体" w:hAnsi="宋体" w:eastAsia="宋体" w:cs="宋体"/>
          <w:color w:val="auto"/>
          <w:highlight w:val="none"/>
        </w:rPr>
      </w:pPr>
      <w:r>
        <w:rPr>
          <w:rFonts w:hint="eastAsia" w:ascii="宋体" w:hAnsi="宋体" w:eastAsia="宋体" w:cs="宋体"/>
          <w:color w:val="auto"/>
          <w:highlight w:val="none"/>
        </w:rPr>
        <w:t>4、如乙方为联合体的，联合体的成员方有义务按合同约定履行职责并服从主办方为履行合同而进行的管理。若成员方无法或未能按约定履行合同要求，主办方有权向甲方提请并经甲方书面同意后更换成员方，但更换后的成员方其资质、能力不得低于原成员方。</w:t>
      </w:r>
    </w:p>
    <w:p w14:paraId="1B3ADF04">
      <w:pPr>
        <w:pStyle w:val="6"/>
        <w:spacing w:line="360" w:lineRule="auto"/>
        <w:ind w:firstLine="480"/>
        <w:rPr>
          <w:rFonts w:hint="eastAsia" w:ascii="宋体" w:hAnsi="宋体" w:eastAsia="宋体" w:cs="宋体"/>
          <w:color w:val="auto"/>
          <w:sz w:val="24"/>
          <w:highlight w:val="none"/>
        </w:rPr>
      </w:pPr>
      <w:r>
        <w:rPr>
          <w:rFonts w:hint="eastAsia" w:ascii="宋体" w:hAnsi="宋体" w:eastAsia="宋体" w:cs="宋体"/>
          <w:bCs/>
          <w:color w:val="auto"/>
          <w:sz w:val="24"/>
          <w:highlight w:val="none"/>
        </w:rPr>
        <w:t>5、如乙方为联合体的，所有支付的款项</w:t>
      </w:r>
      <w:r>
        <w:rPr>
          <w:rFonts w:hint="eastAsia" w:ascii="宋体" w:hAnsi="宋体" w:eastAsia="宋体" w:cs="宋体"/>
          <w:bCs/>
          <w:color w:val="auto"/>
          <w:sz w:val="24"/>
          <w:highlight w:val="none"/>
          <w:lang w:val="en-US" w:eastAsia="zh-CN"/>
        </w:rPr>
        <w:t>由</w:t>
      </w:r>
      <w:r>
        <w:rPr>
          <w:rFonts w:hint="eastAsia" w:ascii="宋体" w:hAnsi="宋体" w:eastAsia="宋体" w:cs="宋体"/>
          <w:color w:val="auto"/>
          <w:sz w:val="24"/>
          <w:highlight w:val="none"/>
        </w:rPr>
        <w:t>乙方联合体</w:t>
      </w:r>
      <w:r>
        <w:rPr>
          <w:rFonts w:hint="eastAsia" w:ascii="宋体" w:hAnsi="宋体" w:eastAsia="宋体" w:cs="宋体"/>
          <w:color w:val="auto"/>
          <w:sz w:val="24"/>
          <w:highlight w:val="none"/>
          <w:lang w:val="en-US" w:eastAsia="zh-CN"/>
        </w:rPr>
        <w:t>主办方</w:t>
      </w:r>
      <w:r>
        <w:rPr>
          <w:rFonts w:hint="eastAsia" w:ascii="宋体" w:hAnsi="宋体" w:eastAsia="宋体" w:cs="宋体"/>
          <w:color w:val="auto"/>
          <w:sz w:val="24"/>
          <w:highlight w:val="none"/>
        </w:rPr>
        <w:t>同意，并</w:t>
      </w:r>
      <w:r>
        <w:rPr>
          <w:rFonts w:hint="eastAsia" w:ascii="宋体" w:hAnsi="宋体" w:eastAsia="宋体" w:cs="宋体"/>
          <w:bCs/>
          <w:color w:val="auto"/>
          <w:sz w:val="24"/>
          <w:highlight w:val="none"/>
        </w:rPr>
        <w:t>乙方成员方</w:t>
      </w:r>
      <w:r>
        <w:rPr>
          <w:rFonts w:hint="eastAsia" w:ascii="宋体" w:hAnsi="宋体" w:eastAsia="宋体" w:cs="宋体"/>
          <w:color w:val="auto"/>
          <w:sz w:val="24"/>
          <w:highlight w:val="none"/>
        </w:rPr>
        <w:t>提出申请经甲方审批同意后，可由乙方联合体各成员方分别请款和收取相应款项。</w:t>
      </w:r>
    </w:p>
    <w:p w14:paraId="5B58371F">
      <w:pPr>
        <w:pStyle w:val="6"/>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甲方有权设定每期开工时间，每期工期以甲方发出的书面通知为准，如因甲方资金（包括但不限于运营方没有按照合同约定支付提前支付租金、银行贷款没有获得批准等）或竣工后的招商不理想或其他客观原因等导致甲方暂未启动本项目或不启动本项目二期、三期的建设开发，不视为甲方违约，乙方已经知悉该风险，乙方不得以任何理由要求甲方补偿或者赔偿。</w:t>
      </w:r>
    </w:p>
    <w:p w14:paraId="2E818482">
      <w:pPr>
        <w:pStyle w:val="85"/>
        <w:spacing w:line="360" w:lineRule="auto"/>
        <w:ind w:left="0" w:firstLine="48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甲方通过部分自有资金、收取运营方提前支付的租金以及银行贷款的方式支付本项目的各项合同费用，银行贷款按照本项目三期建设进度分三期审批，如基于银行贷款审批手续需要，在甲方发出开工通知前需要乙方先行完成部分工作内容的，乙方应当予以配合，协助甲方完成银行贷款所需要的资料或成果。乙方有权向甲方了解贷款进度或结果，甲方有义务如实告知。</w:t>
      </w:r>
    </w:p>
    <w:p w14:paraId="05EB4537">
      <w:pPr>
        <w:pStyle w:val="90"/>
        <w:snapToGrid w:val="0"/>
        <w:spacing w:line="360" w:lineRule="auto"/>
        <w:ind w:firstLine="240" w:firstLineChars="100"/>
        <w:jc w:val="left"/>
        <w:rPr>
          <w:rFonts w:hint="default" w:ascii="宋体" w:hAnsi="宋体" w:eastAsia="宋体" w:cs="宋体"/>
          <w:i w:val="0"/>
          <w:caps w:val="0"/>
          <w:color w:val="auto"/>
          <w:spacing w:val="0"/>
          <w:sz w:val="24"/>
          <w:szCs w:val="24"/>
          <w:highlight w:val="none"/>
          <w:shd w:val="clear" w:fill="FFFFFF"/>
          <w:lang w:val="en-US" w:eastAsia="zh-CN"/>
        </w:rPr>
      </w:pPr>
      <w:r>
        <w:rPr>
          <w:rFonts w:hint="eastAsia" w:ascii="宋体" w:hAnsi="宋体" w:eastAsia="宋体" w:cs="宋体"/>
          <w:i w:val="0"/>
          <w:caps w:val="0"/>
          <w:color w:val="auto"/>
          <w:spacing w:val="0"/>
          <w:sz w:val="24"/>
          <w:szCs w:val="24"/>
          <w:highlight w:val="none"/>
          <w:shd w:val="clear" w:fill="FFFFFF"/>
          <w:lang w:val="en-US" w:eastAsia="zh-CN"/>
        </w:rPr>
        <w:t xml:space="preserve">  8、如因运营方没有按照本合同约定足额支付租金，导致项目无法启动，如乙方为联合体，甲方有权整体解除合同，解除范围包括联合体所涉及的勘察、设计、施工、运营等，乙方对此知悉。</w:t>
      </w:r>
    </w:p>
    <w:p w14:paraId="062BA951">
      <w:pPr>
        <w:pStyle w:val="85"/>
        <w:spacing w:line="360" w:lineRule="auto"/>
        <w:ind w:left="0" w:firstLine="480"/>
        <w:jc w:val="both"/>
        <w:rPr>
          <w:rFonts w:hint="default" w:ascii="宋体" w:hAnsi="宋体" w:eastAsia="宋体" w:cs="宋体"/>
          <w:color w:val="auto"/>
          <w:highlight w:val="none"/>
          <w:lang w:val="en-US" w:eastAsia="zh-CN"/>
        </w:rPr>
      </w:pPr>
      <w:r>
        <w:rPr>
          <w:rFonts w:hint="eastAsia" w:ascii="宋体" w:hAnsi="宋体" w:eastAsia="宋体" w:cs="宋体"/>
          <w:color w:val="auto"/>
          <w:sz w:val="24"/>
          <w:highlight w:val="none"/>
          <w:lang w:val="en-US" w:eastAsia="zh-CN"/>
        </w:rPr>
        <w:t>9、如乙方为联合体的，乙方联合体的主办方作为第一直接责任人，承担连带责任，联合体各成员方按联合体共同投标协议书的分工，承担按合同约定履行职责的主要责任。</w:t>
      </w:r>
    </w:p>
    <w:p w14:paraId="3B0252DB">
      <w:pPr>
        <w:pStyle w:val="6"/>
        <w:spacing w:line="360" w:lineRule="auto"/>
        <w:ind w:firstLine="0" w:firstLineChars="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十二、担保</w:t>
      </w:r>
    </w:p>
    <w:p w14:paraId="25622405">
      <w:pPr>
        <w:spacing w:line="360" w:lineRule="auto"/>
        <w:ind w:right="-120"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工程履约保函金额为</w:t>
      </w:r>
      <w:r>
        <w:rPr>
          <w:rFonts w:hint="eastAsia" w:ascii="宋体" w:hAnsi="宋体" w:eastAsia="宋体" w:cs="宋体"/>
          <w:color w:val="auto"/>
          <w:sz w:val="24"/>
          <w:highlight w:val="none"/>
          <w:lang w:val="en-US" w:eastAsia="zh-CN"/>
        </w:rPr>
        <w:t>每期</w:t>
      </w:r>
      <w:r>
        <w:rPr>
          <w:rFonts w:hint="eastAsia" w:ascii="宋体" w:hAnsi="宋体" w:eastAsia="宋体" w:cs="宋体"/>
          <w:color w:val="auto"/>
          <w:kern w:val="0"/>
          <w:sz w:val="24"/>
          <w:highlight w:val="none"/>
        </w:rPr>
        <w:t>中标金额</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若承包人为联合体单位的，则由联合体单位根据联合体协议承担范围，分别负责勘察费、设计费、工程施工费部分的履约保函</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合同正式签订后</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个</w:t>
      </w:r>
      <w:r>
        <w:rPr>
          <w:rFonts w:hint="eastAsia" w:ascii="宋体" w:hAnsi="宋体" w:eastAsia="宋体" w:cs="宋体"/>
          <w:color w:val="auto"/>
          <w:sz w:val="24"/>
          <w:highlight w:val="none"/>
          <w:u w:val="single"/>
          <w:lang w:val="en-US" w:eastAsia="zh-CN"/>
        </w:rPr>
        <w:t>日历天</w:t>
      </w:r>
      <w:r>
        <w:rPr>
          <w:rFonts w:hint="eastAsia" w:ascii="宋体" w:hAnsi="宋体" w:eastAsia="宋体" w:cs="宋体"/>
          <w:color w:val="auto"/>
          <w:sz w:val="24"/>
          <w:highlight w:val="none"/>
          <w:u w:val="single"/>
        </w:rPr>
        <w:t>内乙方未提供上述</w:t>
      </w:r>
      <w:r>
        <w:rPr>
          <w:rFonts w:hint="eastAsia" w:ascii="宋体" w:hAnsi="宋体" w:eastAsia="宋体" w:cs="宋体"/>
          <w:color w:val="auto"/>
          <w:sz w:val="24"/>
          <w:highlight w:val="none"/>
          <w:u w:val="single"/>
          <w:lang w:val="en-US" w:eastAsia="zh-CN"/>
        </w:rPr>
        <w:t>第一期</w:t>
      </w:r>
      <w:r>
        <w:rPr>
          <w:rFonts w:hint="eastAsia" w:ascii="宋体" w:hAnsi="宋体" w:eastAsia="宋体" w:cs="宋体"/>
          <w:color w:val="auto"/>
          <w:sz w:val="24"/>
          <w:highlight w:val="none"/>
          <w:u w:val="single"/>
        </w:rPr>
        <w:t>履约保函且未征得甲方同意延期缴交的，甲方有权解除合同，取消中标资格并没收其投标保证金，并选取第二中标候选人替补。</w:t>
      </w:r>
      <w:r>
        <w:rPr>
          <w:rFonts w:hint="eastAsia" w:ascii="宋体" w:hAnsi="宋体" w:eastAsia="宋体" w:cs="宋体"/>
          <w:color w:val="auto"/>
          <w:sz w:val="24"/>
          <w:highlight w:val="none"/>
          <w:u w:val="single"/>
          <w:lang w:val="en-US" w:eastAsia="zh-CN"/>
        </w:rPr>
        <w:t>二期、三期的履约保函以甲方书面通知后15个日历天内提供</w:t>
      </w:r>
      <w:r>
        <w:rPr>
          <w:rFonts w:hint="eastAsia" w:ascii="宋体" w:hAnsi="宋体" w:eastAsia="宋体" w:cs="宋体"/>
          <w:color w:val="auto"/>
          <w:sz w:val="24"/>
          <w:highlight w:val="none"/>
          <w:u w:val="single"/>
        </w:rPr>
        <w:t>。</w:t>
      </w:r>
    </w:p>
    <w:p w14:paraId="4FEB0E85">
      <w:pPr>
        <w:spacing w:line="360" w:lineRule="auto"/>
        <w:ind w:right="-120"/>
        <w:rPr>
          <w:rFonts w:hint="eastAsia" w:ascii="宋体" w:hAnsi="宋体" w:eastAsia="宋体" w:cs="宋体"/>
          <w:color w:val="auto"/>
          <w:sz w:val="24"/>
          <w:highlight w:val="none"/>
        </w:rPr>
      </w:pPr>
      <w:r>
        <w:rPr>
          <w:rFonts w:hint="eastAsia" w:ascii="宋体" w:hAnsi="宋体" w:eastAsia="宋体" w:cs="宋体"/>
          <w:b/>
          <w:color w:val="auto"/>
          <w:sz w:val="24"/>
          <w:highlight w:val="none"/>
        </w:rPr>
        <w:t>十三、</w:t>
      </w:r>
      <w:r>
        <w:rPr>
          <w:rFonts w:hint="eastAsia" w:ascii="宋体" w:hAnsi="宋体" w:eastAsia="宋体" w:cs="宋体"/>
          <w:b/>
          <w:bCs/>
          <w:color w:val="auto"/>
          <w:sz w:val="24"/>
          <w:highlight w:val="none"/>
        </w:rPr>
        <w:t>知识产权</w:t>
      </w:r>
    </w:p>
    <w:p w14:paraId="04D8169E">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双方均应保护对方的知识产权，未经对方同意，任何一方均不得对对方的资料及文件擅自修改、复制或向第三人转让或用于本合同项目外的项目。如发生以上情况，泄密方承担一切由此引起的后果并承担赔偿责任。本条的约定不因本合同的无效而免除。本合同项下的资料的知识产权、素材及成果等均归属甲方所有。乙方承诺，在为甲方提供服务时，不得使用任何属于他人的技术秘密和商业秘密，亦不得实施可能侵犯他人知识产权等权益的行为。若甲方因乙方的上述行为而提供的成果等进行了确认、同意、接收，乙方不得以此为由要求甲方承担任何责任，一切后果均由乙方承担。给甲方造成损失的，有权向乙方追偿。</w:t>
      </w:r>
    </w:p>
    <w:p w14:paraId="445CB60A">
      <w:pPr>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十四、仲裁、起诉</w:t>
      </w:r>
    </w:p>
    <w:p w14:paraId="5C373900">
      <w:pPr>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本合同在履行过程中发生的争议，双方当事人协商解决，协商不成的按下列第</w:t>
      </w:r>
      <w:r>
        <w:rPr>
          <w:rFonts w:hint="eastAsia" w:ascii="宋体" w:hAnsi="宋体" w:eastAsia="宋体" w:cs="宋体"/>
          <w:color w:val="auto"/>
          <w:sz w:val="24"/>
          <w:highlight w:val="none"/>
          <w:u w:val="single"/>
        </w:rPr>
        <w:t>（二）</w:t>
      </w:r>
      <w:r>
        <w:rPr>
          <w:rFonts w:hint="eastAsia" w:ascii="宋体" w:hAnsi="宋体" w:eastAsia="宋体" w:cs="宋体"/>
          <w:color w:val="auto"/>
          <w:sz w:val="24"/>
          <w:highlight w:val="none"/>
        </w:rPr>
        <w:t>种方式解决：</w:t>
      </w:r>
    </w:p>
    <w:p w14:paraId="7493767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（一）提交番禺区仲裁委员会仲裁； </w:t>
      </w:r>
    </w:p>
    <w:p w14:paraId="7C87EDC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（二）依法向广州市番禺区人民法院起诉。</w:t>
      </w:r>
    </w:p>
    <w:p w14:paraId="490DEF59">
      <w:pPr>
        <w:tabs>
          <w:tab w:val="left" w:pos="3640"/>
          <w:tab w:val="left" w:pos="6040"/>
          <w:tab w:val="left" w:pos="7960"/>
        </w:tabs>
        <w:autoSpaceDE w:val="0"/>
        <w:autoSpaceDN w:val="0"/>
        <w:adjustRightIn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十五、合同</w:t>
      </w:r>
      <w:r>
        <w:rPr>
          <w:rFonts w:hint="eastAsia" w:ascii="宋体" w:hAnsi="宋体" w:eastAsia="宋体" w:cs="宋体"/>
          <w:b/>
          <w:bCs/>
          <w:color w:val="auto"/>
          <w:kern w:val="0"/>
          <w:sz w:val="24"/>
          <w:highlight w:val="none"/>
        </w:rPr>
        <w:t>正副本及效力</w:t>
      </w:r>
    </w:p>
    <w:p w14:paraId="595AA09A">
      <w:pPr>
        <w:tabs>
          <w:tab w:val="left" w:pos="3640"/>
          <w:tab w:val="left" w:pos="6040"/>
          <w:tab w:val="left" w:pos="7960"/>
        </w:tabs>
        <w:autoSpaceDE w:val="0"/>
        <w:autoSpaceDN w:val="0"/>
        <w:adjustRightInd w:val="0"/>
        <w:spacing w:line="360" w:lineRule="auto"/>
        <w:ind w:left="581"/>
        <w:jc w:val="left"/>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1、合同的份数：</w:t>
      </w:r>
      <w:r>
        <w:rPr>
          <w:rFonts w:hint="eastAsia" w:ascii="宋体" w:hAnsi="宋体" w:eastAsia="宋体" w:cs="宋体"/>
          <w:b/>
          <w:color w:val="auto"/>
          <w:kern w:val="0"/>
          <w:sz w:val="24"/>
          <w:highlight w:val="none"/>
        </w:rPr>
        <w:t>正本</w:t>
      </w:r>
      <w:r>
        <w:rPr>
          <w:rFonts w:hint="eastAsia" w:ascii="宋体" w:hAnsi="宋体" w:eastAsia="宋体" w:cs="宋体"/>
          <w:b/>
          <w:color w:val="auto"/>
          <w:kern w:val="0"/>
          <w:sz w:val="24"/>
          <w:highlight w:val="none"/>
          <w:u w:val="single"/>
        </w:rPr>
        <w:t xml:space="preserve">      </w:t>
      </w:r>
      <w:r>
        <w:rPr>
          <w:rFonts w:hint="eastAsia" w:ascii="宋体" w:hAnsi="宋体" w:eastAsia="宋体" w:cs="宋体"/>
          <w:b/>
          <w:color w:val="auto"/>
          <w:kern w:val="0"/>
          <w:sz w:val="24"/>
          <w:highlight w:val="none"/>
        </w:rPr>
        <w:t>份，副本</w:t>
      </w:r>
      <w:r>
        <w:rPr>
          <w:rFonts w:hint="eastAsia" w:ascii="宋体" w:hAnsi="宋体" w:eastAsia="宋体" w:cs="宋体"/>
          <w:b/>
          <w:color w:val="auto"/>
          <w:kern w:val="0"/>
          <w:sz w:val="24"/>
          <w:highlight w:val="none"/>
          <w:u w:val="single"/>
        </w:rPr>
        <w:t xml:space="preserve">       </w:t>
      </w:r>
      <w:r>
        <w:rPr>
          <w:rFonts w:hint="eastAsia" w:ascii="宋体" w:hAnsi="宋体" w:eastAsia="宋体" w:cs="宋体"/>
          <w:b/>
          <w:color w:val="auto"/>
          <w:kern w:val="0"/>
          <w:sz w:val="24"/>
          <w:highlight w:val="none"/>
        </w:rPr>
        <w:t>份。</w:t>
      </w:r>
    </w:p>
    <w:p w14:paraId="4BE996EC">
      <w:pPr>
        <w:tabs>
          <w:tab w:val="left" w:pos="3640"/>
          <w:tab w:val="left" w:pos="6040"/>
          <w:tab w:val="left" w:pos="7960"/>
        </w:tabs>
        <w:autoSpaceDE w:val="0"/>
        <w:autoSpaceDN w:val="0"/>
        <w:adjustRightInd w:val="0"/>
        <w:spacing w:line="360" w:lineRule="auto"/>
        <w:ind w:left="581" w:firstLine="693" w:firstLineChars="289"/>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其中：甲方正本</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份，副本</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份。</w:t>
      </w:r>
    </w:p>
    <w:p w14:paraId="21A1C6F1">
      <w:pPr>
        <w:pStyle w:val="6"/>
        <w:spacing w:line="360" w:lineRule="auto"/>
        <w:ind w:firstLine="0" w:firstLineChars="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乙方（主）正本</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份，各副本</w:t>
      </w:r>
      <w:r>
        <w:rPr>
          <w:rFonts w:hint="eastAsia" w:ascii="宋体" w:hAnsi="宋体" w:eastAsia="宋体" w:cs="宋体"/>
          <w:color w:val="auto"/>
          <w:kern w:val="0"/>
          <w:sz w:val="24"/>
          <w:highlight w:val="none"/>
          <w:u w:val="single"/>
        </w:rPr>
        <w:t xml:space="preserve">   </w:t>
      </w:r>
      <w:r>
        <w:rPr>
          <w:rFonts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份。</w:t>
      </w:r>
    </w:p>
    <w:p w14:paraId="19A2924B">
      <w:pPr>
        <w:pStyle w:val="6"/>
        <w:spacing w:line="360" w:lineRule="auto"/>
        <w:ind w:firstLine="0" w:firstLineChars="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乙方（成）正本</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份，各副本</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份。</w:t>
      </w:r>
    </w:p>
    <w:p w14:paraId="080E2774">
      <w:pPr>
        <w:pStyle w:val="6"/>
        <w:spacing w:line="360" w:lineRule="auto"/>
        <w:ind w:firstLine="1920" w:firstLineChars="8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乙方（成）正本</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份，各副本</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份。</w:t>
      </w:r>
    </w:p>
    <w:p w14:paraId="068AD275">
      <w:pPr>
        <w:pStyle w:val="6"/>
        <w:spacing w:line="360" w:lineRule="auto"/>
        <w:ind w:firstLine="0" w:firstLineChars="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2、本合同正、副本具同等法律效律，当正、副本内容不一致时，以正本为准。</w:t>
      </w:r>
    </w:p>
    <w:p w14:paraId="6FCFC8F1">
      <w:pPr>
        <w:pStyle w:val="6"/>
        <w:spacing w:line="360" w:lineRule="auto"/>
        <w:ind w:firstLine="0" w:firstLineChars="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十六、其他事项</w:t>
      </w:r>
    </w:p>
    <w:p w14:paraId="335B61DF">
      <w:pPr>
        <w:pStyle w:val="6"/>
        <w:spacing w:line="360" w:lineRule="auto"/>
        <w:ind w:firstLine="433"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1、本合同未尽事宜，经双方协商一致，可签订补充协议，并与本合同具有同等效力。</w:t>
      </w:r>
    </w:p>
    <w:p w14:paraId="35206D1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双方在本合同履行过程中发出或者提供的所有通知、文件、文书、资料、诉讼资料等，均以本合同所列明的相应方地址送达。一方如果迁址或者变更电话，应当书面通知对方，未履行书面通知义务的，另一方按原地址邮寄相关材料即视为已履行送达义务。当面交付上述材料的，在交付之时视为送达；以邮寄方式交付的，寄出或者投邮后即视为送达。</w:t>
      </w:r>
    </w:p>
    <w:p w14:paraId="4BAEDA79">
      <w:pPr>
        <w:pStyle w:val="6"/>
        <w:spacing w:line="360" w:lineRule="auto"/>
        <w:ind w:firstLine="487"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3、本合同生效后，合同当事人认为必要时，可到工商行政管理部门鉴证，鉴证费用由乙方负责。双方履行完合同规定的义务后，本合同即终止。</w:t>
      </w:r>
    </w:p>
    <w:p w14:paraId="06E9BE7A">
      <w:pPr>
        <w:adjustRightInd w:val="0"/>
        <w:snapToGrid w:val="0"/>
        <w:spacing w:line="360" w:lineRule="auto"/>
        <w:ind w:firstLine="493"/>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对在履行本合同过程中所接触的甲方工作秘密（包括但不限于甲方的商业秘密、任何技术性资料、以及甲方为完成本合同提供的任何其他信息资料并且在提供时未说明是公开信息的）承担保密义务。未经甲方书面许可，乙方（包括但不限于乙方雇员、代理人、顾问等）不得将从甲方获取的一切资料和信息、或其他成果用于本合同范围之外目的，否则全部收益归甲方所有，乙方支付合同总金额的5%作为违约金，并另行应赔偿甲方因此遭受的全部损失。无论本合同是否切实得到履行或因任何原因变更、解除、终止、失效等，本条款均始终有效。</w:t>
      </w:r>
    </w:p>
    <w:p w14:paraId="735508B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为推进项目建设，乙方需分别派驻设计人员和施工管理人员在建设管理单位指定地点驻场服务，协助推进项目设计和施工管理的相关工作。设计派驻人员应具备高级工程师职称，施工派驻人员应具备中级工程师或以上职称，且均为本单位正式职工（非劳务派遣），在本单位工作</w:t>
      </w:r>
      <w:r>
        <w:rPr>
          <w:rFonts w:ascii="宋体" w:hAnsi="宋体" w:eastAsia="宋体" w:cs="宋体"/>
          <w:color w:val="auto"/>
          <w:sz w:val="24"/>
          <w:highlight w:val="none"/>
        </w:rPr>
        <w:t>5年以上。派驻人员数量按以下规定：总投资（以项目概算为准）5亿元以上设计派驻2人、施工2人；5亿－1亿元设计派驻1人、施工1人；1亿－5000万元施工派驻1人；5000万元以下原则上不做要求，由</w:t>
      </w:r>
      <w:r>
        <w:rPr>
          <w:rFonts w:hint="eastAsia" w:ascii="宋体" w:hAnsi="宋体" w:eastAsia="宋体" w:cs="宋体"/>
          <w:color w:val="auto"/>
          <w:sz w:val="24"/>
          <w:highlight w:val="none"/>
        </w:rPr>
        <w:t>甲方</w:t>
      </w:r>
      <w:r>
        <w:rPr>
          <w:rFonts w:ascii="宋体" w:hAnsi="宋体" w:eastAsia="宋体" w:cs="宋体"/>
          <w:color w:val="auto"/>
          <w:sz w:val="24"/>
          <w:highlight w:val="none"/>
        </w:rPr>
        <w:t>根据项目施工实际情况确定。未按上述要求派驻人员的，按每人次每天罚款10000元计算，</w:t>
      </w:r>
      <w:r>
        <w:rPr>
          <w:rFonts w:hint="eastAsia" w:ascii="宋体" w:hAnsi="宋体" w:eastAsia="宋体" w:cs="宋体"/>
          <w:color w:val="auto"/>
          <w:sz w:val="24"/>
          <w:highlight w:val="none"/>
        </w:rPr>
        <w:t>在工程进度请款中直接扣除。本条款未详的相关事项，以本合同相关条款为准。</w:t>
      </w:r>
    </w:p>
    <w:p w14:paraId="35103441">
      <w:pPr>
        <w:pStyle w:val="6"/>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6、为规范建设项目参建单位关键岗位管理人员的到岗履职标准，遏制转包、违法分包和挂靠资质投标等违法行为，乙方应知晓并遵守甲方《建设工程参建单位管理人员考勤管理办法》（另册），严格落实管理人员到岗考勤。</w:t>
      </w:r>
    </w:p>
    <w:p w14:paraId="44A69619">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7、本合同负责承担施工总承包任务，承包工程内容至少包括</w:t>
      </w:r>
      <w:r>
        <w:rPr>
          <w:rFonts w:hint="eastAsia" w:ascii="宋体" w:hAnsi="宋体" w:eastAsia="宋体" w:cs="宋体"/>
          <w:bCs w:val="0"/>
          <w:color w:val="auto"/>
          <w:sz w:val="24"/>
          <w:highlight w:val="none"/>
        </w:rPr>
        <w:t>桩基础及主体工程</w:t>
      </w:r>
      <w:r>
        <w:rPr>
          <w:rFonts w:hint="eastAsia" w:ascii="宋体" w:hAnsi="宋体" w:eastAsia="宋体" w:cs="宋体"/>
          <w:bCs w:val="0"/>
          <w:color w:val="auto"/>
          <w:sz w:val="24"/>
          <w:highlight w:val="none"/>
          <w:lang w:eastAsia="zh-CN"/>
        </w:rPr>
        <w:t>的成员单位为“</w:t>
      </w:r>
      <w:r>
        <w:rPr>
          <w:rFonts w:hint="eastAsia" w:ascii="宋体" w:hAnsi="宋体" w:eastAsia="宋体" w:cs="宋体"/>
          <w:bCs w:val="0"/>
          <w:color w:val="auto"/>
          <w:sz w:val="24"/>
          <w:highlight w:val="none"/>
        </w:rPr>
        <w:t>施工主要负责单位</w:t>
      </w:r>
      <w:r>
        <w:rPr>
          <w:rFonts w:hint="eastAsia" w:ascii="宋体" w:hAnsi="宋体" w:eastAsia="宋体" w:cs="宋体"/>
          <w:bCs w:val="0"/>
          <w:color w:val="auto"/>
          <w:sz w:val="24"/>
          <w:highlight w:val="none"/>
          <w:lang w:eastAsia="zh-CN"/>
        </w:rPr>
        <w:t>”，单位名称为</w:t>
      </w:r>
      <w:r>
        <w:rPr>
          <w:rFonts w:hint="eastAsia" w:ascii="宋体" w:hAnsi="宋体" w:eastAsia="宋体" w:cs="宋体"/>
          <w:bCs w:val="0"/>
          <w:color w:val="auto"/>
          <w:sz w:val="24"/>
          <w:highlight w:val="none"/>
          <w:u w:val="single"/>
          <w:lang w:eastAsia="zh-CN"/>
        </w:rPr>
        <w:t>　　　　　</w:t>
      </w:r>
      <w:r>
        <w:rPr>
          <w:rFonts w:hint="eastAsia" w:ascii="宋体" w:hAnsi="宋体" w:eastAsia="宋体" w:cs="宋体"/>
          <w:bCs w:val="0"/>
          <w:color w:val="auto"/>
          <w:sz w:val="24"/>
          <w:highlight w:val="none"/>
          <w:u w:val="none"/>
          <w:lang w:eastAsia="zh-CN"/>
        </w:rPr>
        <w:t>，</w:t>
      </w:r>
      <w:r>
        <w:rPr>
          <w:rFonts w:hint="eastAsia" w:ascii="宋体" w:hAnsi="宋体" w:eastAsia="宋体" w:cs="宋体"/>
          <w:bCs w:val="0"/>
          <w:color w:val="auto"/>
          <w:sz w:val="24"/>
          <w:highlight w:val="none"/>
          <w:lang w:eastAsia="zh-CN"/>
        </w:rPr>
        <w:t>具体承包内容及应尽义务详见合同约定。</w:t>
      </w:r>
    </w:p>
    <w:p w14:paraId="3ACBB3C3">
      <w:pPr>
        <w:pStyle w:val="116"/>
        <w:spacing w:line="360" w:lineRule="auto"/>
        <w:rPr>
          <w:rFonts w:hint="eastAsia" w:ascii="宋体" w:hAnsi="宋体" w:eastAsia="宋体" w:cs="宋体"/>
          <w:b/>
          <w:bCs w:val="0"/>
          <w:color w:val="auto"/>
          <w:szCs w:val="24"/>
          <w:highlight w:val="none"/>
        </w:rPr>
      </w:pPr>
      <w:r>
        <w:rPr>
          <w:rFonts w:hint="eastAsia" w:ascii="宋体" w:hAnsi="宋体" w:eastAsia="宋体" w:cs="宋体"/>
          <w:b/>
          <w:bCs w:val="0"/>
          <w:color w:val="auto"/>
          <w:szCs w:val="24"/>
          <w:highlight w:val="none"/>
        </w:rPr>
        <w:t>十七、合同生效</w:t>
      </w:r>
    </w:p>
    <w:p w14:paraId="0C2171B4">
      <w:pPr>
        <w:pStyle w:val="6"/>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合同各方当事人约定本合同自各方签字、盖章后，于各方签字盖章之日起生效。</w:t>
      </w:r>
    </w:p>
    <w:p w14:paraId="0EF324BE">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snapToGrid/>
          <w:color w:val="auto"/>
          <w:kern w:val="2"/>
          <w:sz w:val="24"/>
          <w:szCs w:val="24"/>
          <w:highlight w:val="none"/>
          <w:u w:val="none"/>
          <w:lang w:val="en-US" w:eastAsia="zh-CN" w:bidi="ar-SA"/>
        </w:rPr>
        <w:t>2、本合同签订后，本项目由于</w:t>
      </w:r>
      <w:r>
        <w:rPr>
          <w:rFonts w:hint="eastAsia" w:ascii="宋体" w:hAnsi="宋体" w:eastAsia="宋体" w:cs="宋体"/>
          <w:color w:val="auto"/>
          <w:sz w:val="24"/>
          <w:highlight w:val="none"/>
          <w:lang w:val="en-US" w:eastAsia="zh-CN"/>
        </w:rPr>
        <w:t>银行贷款没有获得批准</w:t>
      </w:r>
      <w:r>
        <w:rPr>
          <w:rFonts w:hint="eastAsia" w:ascii="宋体" w:hAnsi="宋体" w:eastAsia="宋体" w:cs="宋体"/>
          <w:snapToGrid/>
          <w:color w:val="auto"/>
          <w:kern w:val="2"/>
          <w:sz w:val="24"/>
          <w:szCs w:val="24"/>
          <w:highlight w:val="none"/>
          <w:u w:val="none"/>
          <w:lang w:val="en-US" w:eastAsia="zh-CN" w:bidi="ar-SA"/>
        </w:rPr>
        <w:t>或者其他客观原因导致该项目超过18个月无法对项目一期动工的，如因与承租人清租解约存在争议导致甲方无法收回场地，甲方有权额外再增加6个月的宽限期，宽限期届满仍未动工的，乙方有权提出解除本合同，不视为甲方违约。如由于甲方资金问题或者其他客观原因导致项目一期竣工验收后18个月内无法启动项目二期的，或者二期竣工验收后18个月内无法启动项目三期的，乙方额外在每期给予6个月宽限期，宽限期届满，乙方有权解除对本合同未履行部分解除合同，甲方不承担违约责任。如</w:t>
      </w:r>
      <w:r>
        <w:rPr>
          <w:rFonts w:hint="eastAsia" w:ascii="宋体" w:hAnsi="宋体" w:eastAsia="宋体" w:cs="宋体"/>
          <w:color w:val="auto"/>
          <w:sz w:val="24"/>
          <w:highlight w:val="none"/>
          <w:lang w:val="en-US" w:eastAsia="zh-CN"/>
        </w:rPr>
        <w:t>运营方没有按照合同约定支付提前支付租金</w:t>
      </w:r>
      <w:r>
        <w:rPr>
          <w:rFonts w:hint="eastAsia" w:ascii="宋体" w:hAnsi="宋体" w:eastAsia="宋体" w:cs="宋体"/>
          <w:snapToGrid/>
          <w:color w:val="auto"/>
          <w:kern w:val="2"/>
          <w:sz w:val="24"/>
          <w:szCs w:val="24"/>
          <w:highlight w:val="none"/>
          <w:u w:val="none"/>
          <w:lang w:val="en-US" w:eastAsia="zh-CN" w:bidi="ar-SA"/>
        </w:rPr>
        <w:t>，乙方对此不享有合同解除权，甲方有权按照本合同约定处理。</w:t>
      </w:r>
    </w:p>
    <w:p w14:paraId="67377086">
      <w:pPr>
        <w:pStyle w:val="6"/>
        <w:ind w:firstLine="0" w:firstLineChars="0"/>
        <w:rPr>
          <w:rFonts w:hint="eastAsia" w:ascii="宋体" w:hAnsi="宋体" w:eastAsia="宋体" w:cs="宋体"/>
          <w:color w:val="auto"/>
          <w:kern w:val="0"/>
          <w:sz w:val="24"/>
          <w:highlight w:val="none"/>
        </w:rPr>
      </w:pPr>
    </w:p>
    <w:p w14:paraId="0454EE91">
      <w:pPr>
        <w:pStyle w:val="6"/>
        <w:ind w:firstLine="480"/>
        <w:rPr>
          <w:rFonts w:hint="eastAsia" w:ascii="宋体" w:hAnsi="宋体" w:eastAsia="宋体" w:cs="宋体"/>
          <w:color w:val="auto"/>
          <w:kern w:val="0"/>
          <w:sz w:val="24"/>
          <w:highlight w:val="none"/>
        </w:rPr>
      </w:pPr>
    </w:p>
    <w:p w14:paraId="1DC91135">
      <w:pPr>
        <w:pStyle w:val="6"/>
        <w:ind w:firstLine="480"/>
        <w:rPr>
          <w:rFonts w:hint="eastAsia" w:ascii="宋体" w:hAnsi="宋体" w:eastAsia="宋体" w:cs="宋体"/>
          <w:color w:val="auto"/>
          <w:kern w:val="0"/>
          <w:sz w:val="24"/>
          <w:highlight w:val="none"/>
        </w:rPr>
      </w:pPr>
    </w:p>
    <w:p w14:paraId="01ECD4CA">
      <w:pPr>
        <w:pStyle w:val="6"/>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（以下无正文，本页为签署页）</w:t>
      </w:r>
    </w:p>
    <w:p w14:paraId="7B1637AC">
      <w:pPr>
        <w:pStyle w:val="6"/>
        <w:ind w:firstLine="0" w:firstLineChars="0"/>
        <w:rPr>
          <w:rFonts w:hint="eastAsia" w:ascii="宋体" w:hAnsi="宋体" w:eastAsia="宋体" w:cs="宋体"/>
          <w:color w:val="auto"/>
          <w:kern w:val="0"/>
          <w:sz w:val="24"/>
          <w:highlight w:val="none"/>
        </w:rPr>
      </w:pPr>
    </w:p>
    <w:p w14:paraId="130D5DF3">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lang w:eastAsia="zh-CN"/>
        </w:rPr>
        <w:t>广州市番禺区石碁镇桥山村股份合作经济社</w:t>
      </w:r>
      <w:r>
        <w:rPr>
          <w:rFonts w:hint="eastAsia" w:ascii="宋体" w:hAnsi="宋体" w:eastAsia="宋体" w:cs="宋体"/>
          <w:color w:val="auto"/>
          <w:sz w:val="24"/>
          <w:highlight w:val="none"/>
        </w:rPr>
        <w:t>（盖章）</w:t>
      </w:r>
    </w:p>
    <w:p w14:paraId="60B694F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通讯地址： </w:t>
      </w:r>
    </w:p>
    <w:p w14:paraId="1FBEF4E3">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 </w:t>
      </w:r>
    </w:p>
    <w:p w14:paraId="0BD66835">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 xml:space="preserve">电话：   </w:t>
      </w:r>
    </w:p>
    <w:p w14:paraId="2FB8494F">
      <w:pPr>
        <w:pStyle w:val="6"/>
        <w:adjustRightInd w:val="0"/>
        <w:snapToGrid w:val="0"/>
        <w:spacing w:line="360" w:lineRule="auto"/>
        <w:rPr>
          <w:rFonts w:hint="eastAsia" w:ascii="宋体" w:hAnsi="宋体" w:eastAsia="宋体" w:cs="宋体"/>
          <w:color w:val="auto"/>
          <w:highlight w:val="none"/>
        </w:rPr>
      </w:pPr>
    </w:p>
    <w:p w14:paraId="690F4237">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乙方（主）：             （盖章）  </w:t>
      </w:r>
    </w:p>
    <w:p w14:paraId="6EAA9E4C">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通讯地址： 　</w:t>
      </w:r>
    </w:p>
    <w:p w14:paraId="1CA54CBE">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　</w:t>
      </w:r>
    </w:p>
    <w:p w14:paraId="3511EDB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签约代表：　</w:t>
      </w:r>
    </w:p>
    <w:p w14:paraId="69C2DC6C">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p w14:paraId="212FEF8C">
      <w:pPr>
        <w:pStyle w:val="6"/>
        <w:adjustRightInd w:val="0"/>
        <w:snapToGrid w:val="0"/>
        <w:spacing w:line="360" w:lineRule="auto"/>
        <w:rPr>
          <w:rFonts w:hint="eastAsia" w:ascii="宋体" w:hAnsi="宋体" w:eastAsia="宋体" w:cs="宋体"/>
          <w:color w:val="auto"/>
          <w:highlight w:val="none"/>
        </w:rPr>
      </w:pPr>
    </w:p>
    <w:p w14:paraId="4006F1CE">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乙方（成）：             （盖章）</w:t>
      </w:r>
    </w:p>
    <w:p w14:paraId="53F867D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通讯地址： </w:t>
      </w:r>
    </w:p>
    <w:p w14:paraId="1875D50C">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    </w:t>
      </w:r>
    </w:p>
    <w:p w14:paraId="4B582CD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签约代表：   </w:t>
      </w:r>
    </w:p>
    <w:p w14:paraId="6152F6A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p w14:paraId="54BED3C8">
      <w:pPr>
        <w:adjustRightInd w:val="0"/>
        <w:snapToGrid w:val="0"/>
        <w:spacing w:line="360" w:lineRule="auto"/>
        <w:ind w:firstLine="420" w:firstLineChars="200"/>
        <w:rPr>
          <w:rFonts w:hint="eastAsia" w:ascii="宋体" w:hAnsi="宋体" w:eastAsia="宋体" w:cs="宋体"/>
          <w:color w:val="auto"/>
          <w:highlight w:val="none"/>
        </w:rPr>
      </w:pPr>
    </w:p>
    <w:p w14:paraId="48BD387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乙方（成）：               （盖章）</w:t>
      </w:r>
    </w:p>
    <w:p w14:paraId="4C470689">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通讯地址： </w:t>
      </w:r>
    </w:p>
    <w:p w14:paraId="743199E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    </w:t>
      </w:r>
    </w:p>
    <w:p w14:paraId="10DCE8A0">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签约代表：   </w:t>
      </w:r>
    </w:p>
    <w:p w14:paraId="6DB12EA0">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p w14:paraId="74BDF092">
      <w:pPr>
        <w:pStyle w:val="6"/>
        <w:spacing w:after="120" w:afterLines="50"/>
        <w:rPr>
          <w:rFonts w:hint="eastAsia" w:ascii="宋体" w:hAnsi="宋体" w:eastAsia="宋体" w:cs="宋体"/>
          <w:color w:val="auto"/>
          <w:highlight w:val="none"/>
        </w:rPr>
        <w:sectPr>
          <w:pgSz w:w="11920" w:h="16840"/>
          <w:pgMar w:top="1580" w:right="880" w:bottom="280" w:left="920" w:header="720" w:footer="720" w:gutter="0"/>
          <w:pgNumType w:fmt="numberInDash"/>
          <w:cols w:space="720" w:num="1"/>
          <w:titlePg/>
          <w:docGrid w:linePitch="286" w:charSpace="0"/>
        </w:sectPr>
      </w:pPr>
    </w:p>
    <w:p w14:paraId="7FE78997">
      <w:pPr>
        <w:pStyle w:val="81"/>
        <w:spacing w:after="120" w:afterLines="50"/>
        <w:rPr>
          <w:rFonts w:hint="eastAsia" w:ascii="宋体" w:hAnsi="宋体" w:eastAsia="宋体" w:cs="宋体"/>
          <w:b/>
          <w:bCs w:val="0"/>
          <w:color w:val="auto"/>
          <w:highlight w:val="none"/>
        </w:rPr>
      </w:pPr>
      <w:r>
        <w:rPr>
          <w:rFonts w:hint="eastAsia" w:ascii="宋体" w:hAnsi="宋体" w:eastAsia="宋体" w:cs="宋体"/>
          <w:b/>
          <w:bCs w:val="0"/>
          <w:color w:val="auto"/>
          <w:highlight w:val="none"/>
        </w:rPr>
        <w:t>第二篇</w:t>
      </w:r>
      <w:r>
        <w:rPr>
          <w:rFonts w:hint="eastAsia" w:ascii="宋体" w:hAnsi="宋体" w:eastAsia="宋体" w:cs="宋体"/>
          <w:b/>
          <w:bCs w:val="0"/>
          <w:color w:val="auto"/>
          <w:highlight w:val="none"/>
        </w:rPr>
        <w:tab/>
      </w:r>
      <w:r>
        <w:rPr>
          <w:rFonts w:hint="eastAsia" w:ascii="宋体" w:hAnsi="宋体" w:eastAsia="宋体" w:cs="宋体"/>
          <w:b/>
          <w:bCs w:val="0"/>
          <w:color w:val="auto"/>
          <w:highlight w:val="none"/>
        </w:rPr>
        <w:t>工程勘察合同条款</w:t>
      </w:r>
    </w:p>
    <w:p w14:paraId="6FA89ACA">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第一条  项目概况</w:t>
      </w:r>
    </w:p>
    <w:p w14:paraId="3B237D29">
      <w:pPr>
        <w:snapToGrid w:val="0"/>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ascii="宋体" w:hAnsi="宋体" w:eastAsia="宋体" w:cs="宋体"/>
          <w:color w:val="auto"/>
          <w:sz w:val="24"/>
          <w:highlight w:val="none"/>
        </w:rPr>
        <w:t>1</w:t>
      </w:r>
      <w:r>
        <w:rPr>
          <w:rFonts w:hint="eastAsia" w:ascii="宋体" w:hAnsi="宋体" w:eastAsia="宋体" w:cs="宋体"/>
          <w:color w:val="auto"/>
          <w:sz w:val="24"/>
          <w:highlight w:val="none"/>
        </w:rPr>
        <w:t xml:space="preserve"> 项目勘察任务（内容）与技术要求（包括但不限于勘察设计任务书所列内容）</w:t>
      </w:r>
    </w:p>
    <w:p w14:paraId="2B0E36FC">
      <w:pPr>
        <w:autoSpaceDE w:val="0"/>
        <w:autoSpaceDN w:val="0"/>
        <w:adjustRightInd w:val="0"/>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负责本项目范围内，以及经甲方审批用于项目建设所需的本合同约定工程实施范围外的勘察工作，</w:t>
      </w:r>
      <w:r>
        <w:rPr>
          <w:rFonts w:hint="eastAsia" w:ascii="宋体" w:hAnsi="宋体" w:eastAsia="宋体" w:cs="宋体"/>
          <w:color w:val="auto"/>
          <w:sz w:val="24"/>
          <w:highlight w:val="none"/>
          <w:u w:val="single"/>
        </w:rPr>
        <w:t>包括但不限于完成本项目规划红线图范围及周边所需的所有勘察工作(具体范围根据场地情况确定)， 包括但不限于岩土工程勘察[详细勘察和施工阶段勘察、工程物探（含管线探测）、按相关要求包工、包料、包安全、包水电，包通过建设等主管部门组织的勘察报告审查及备案，包配合设计阶段和施工阶段的技术支持和服务，包验收以及其他相关的技术支持和服务等（具体详见勘察设计任务书和合同约定为准）。</w:t>
      </w:r>
    </w:p>
    <w:p w14:paraId="19B6D1F8">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ascii="宋体" w:hAnsi="宋体" w:eastAsia="宋体" w:cs="宋体"/>
          <w:color w:val="auto"/>
          <w:sz w:val="24"/>
          <w:highlight w:val="none"/>
        </w:rPr>
        <w:t>1</w:t>
      </w:r>
      <w:r>
        <w:rPr>
          <w:rFonts w:hint="eastAsia" w:ascii="宋体" w:hAnsi="宋体" w:eastAsia="宋体" w:cs="宋体"/>
          <w:color w:val="auto"/>
          <w:sz w:val="24"/>
          <w:highlight w:val="none"/>
        </w:rPr>
        <w:t>.1工程物探要求</w:t>
      </w:r>
    </w:p>
    <w:p w14:paraId="1576873E">
      <w:pPr>
        <w:pStyle w:val="6"/>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广州市城乡建设委员会《关于加强地下工程施工前地下管线探测工作的通知》（穗建质[2013]845号），对本项目内的架空线路、地下管线、地下暗渠、地面线缆、水渠以及电力工程电塔、立管调查等项目范围内所有排水管线探测、综合管线探测进行物探，探测工作包括查明探测范围内各专业管线走向、位置和标高等，作为设计和施工的基础数据。探测单位应当根据《城市地下管线探测技术规程》(CJJ6  1-20</w:t>
      </w:r>
      <w:r>
        <w:rPr>
          <w:rFonts w:ascii="宋体" w:hAnsi="宋体" w:eastAsia="宋体" w:cs="宋体"/>
          <w:color w:val="auto"/>
          <w:sz w:val="24"/>
          <w:highlight w:val="none"/>
        </w:rPr>
        <w:t>17</w:t>
      </w:r>
      <w:r>
        <w:rPr>
          <w:rFonts w:hint="eastAsia" w:ascii="宋体" w:hAnsi="宋体" w:eastAsia="宋体" w:cs="宋体"/>
          <w:color w:val="auto"/>
          <w:sz w:val="24"/>
          <w:highlight w:val="none"/>
        </w:rPr>
        <w:t>)和探测合同开展工作，确保工作质量，出具的探测报告需加盖CMA章。</w:t>
      </w:r>
    </w:p>
    <w:p w14:paraId="3E903B14">
      <w:pPr>
        <w:pStyle w:val="6"/>
        <w:spacing w:line="360" w:lineRule="auto"/>
        <w:ind w:firstLine="480"/>
        <w:rPr>
          <w:rFonts w:hint="eastAsia" w:ascii="宋体" w:hAnsi="宋体" w:eastAsia="宋体" w:cs="宋体"/>
          <w:color w:val="auto"/>
          <w:highlight w:val="none"/>
        </w:rPr>
      </w:pPr>
      <w:r>
        <w:rPr>
          <w:rFonts w:hint="eastAsia" w:ascii="宋体" w:hAnsi="宋体" w:eastAsia="宋体" w:cs="宋体"/>
          <w:color w:val="auto"/>
          <w:sz w:val="24"/>
          <w:highlight w:val="none"/>
        </w:rPr>
        <w:t>1.</w:t>
      </w:r>
      <w:r>
        <w:rPr>
          <w:rFonts w:ascii="宋体" w:hAnsi="宋体" w:eastAsia="宋体" w:cs="宋体"/>
          <w:color w:val="auto"/>
          <w:sz w:val="24"/>
          <w:highlight w:val="none"/>
        </w:rPr>
        <w:t>1</w:t>
      </w:r>
      <w:r>
        <w:rPr>
          <w:rFonts w:hint="eastAsia" w:ascii="宋体" w:hAnsi="宋体" w:eastAsia="宋体" w:cs="宋体"/>
          <w:color w:val="auto"/>
          <w:sz w:val="24"/>
          <w:highlight w:val="none"/>
        </w:rPr>
        <w:t>.2其他工程勘察内容：包括但不限于甲方根据工程建设提出的勘察内容。</w:t>
      </w:r>
    </w:p>
    <w:p w14:paraId="15D6EE9A">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ascii="宋体" w:hAnsi="宋体" w:eastAsia="宋体" w:cs="宋体"/>
          <w:color w:val="auto"/>
          <w:sz w:val="24"/>
          <w:highlight w:val="none"/>
        </w:rPr>
        <w:t>2</w:t>
      </w:r>
      <w:r>
        <w:rPr>
          <w:rFonts w:hint="eastAsia" w:ascii="宋体" w:hAnsi="宋体" w:eastAsia="宋体" w:cs="宋体"/>
          <w:color w:val="auto"/>
          <w:sz w:val="24"/>
          <w:highlight w:val="none"/>
        </w:rPr>
        <w:t xml:space="preserve"> 承接方式：综合单价包干（按第一篇相关条款约定计算），工程量按实计算。综合包干单价已包括勘察设备、仪器及重物场内中转及多次进退场费用；所有实物工作收费、技术工作收费、税金等全部费用。</w:t>
      </w:r>
    </w:p>
    <w:p w14:paraId="0DE4A472">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第二条  甲方提供的资料</w:t>
      </w:r>
    </w:p>
    <w:p w14:paraId="00F5E275">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本项目批准文件（复印件），以及用地（附红线范围）等。</w:t>
      </w:r>
    </w:p>
    <w:p w14:paraId="033C5058">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项目勘察任务、技术要求。</w:t>
      </w:r>
    </w:p>
    <w:p w14:paraId="7C108123">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2.3勘察工作范围已有的技术资料。</w:t>
      </w:r>
    </w:p>
    <w:p w14:paraId="61881AE5">
      <w:pPr>
        <w:pStyle w:val="6"/>
        <w:spacing w:line="360" w:lineRule="auto"/>
        <w:ind w:firstLine="480"/>
        <w:rPr>
          <w:rFonts w:hint="eastAsia" w:ascii="宋体" w:hAnsi="宋体" w:eastAsia="宋体" w:cs="宋体"/>
          <w:color w:val="auto"/>
          <w:highlight w:val="none"/>
        </w:rPr>
      </w:pPr>
      <w:r>
        <w:rPr>
          <w:rFonts w:hint="eastAsia" w:ascii="宋体" w:hAnsi="宋体" w:eastAsia="宋体" w:cs="宋体"/>
          <w:color w:val="auto"/>
          <w:sz w:val="24"/>
          <w:highlight w:val="none"/>
        </w:rPr>
        <w:t>甲方对其所提供的上述资料准确性、可靠性负责。</w:t>
      </w:r>
    </w:p>
    <w:p w14:paraId="678F296D">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第三条  勘察期限及成果</w:t>
      </w:r>
    </w:p>
    <w:p w14:paraId="552E59D3">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w:t>
      </w:r>
      <w:r>
        <w:rPr>
          <w:rFonts w:hint="eastAsia" w:ascii="宋体" w:hAnsi="宋体" w:eastAsia="宋体" w:cs="宋体"/>
          <w:color w:val="auto"/>
          <w:sz w:val="24"/>
          <w:highlight w:val="none"/>
          <w:lang w:eastAsia="zh-CN"/>
        </w:rPr>
        <w:t>本合同签订后</w:t>
      </w:r>
      <w:r>
        <w:rPr>
          <w:rFonts w:hint="eastAsia" w:ascii="宋体" w:hAnsi="宋体" w:eastAsia="宋体" w:cs="宋体"/>
          <w:color w:val="auto"/>
          <w:sz w:val="24"/>
          <w:highlight w:val="none"/>
          <w:lang w:val="en-US" w:eastAsia="zh-CN"/>
        </w:rPr>
        <w:t>10日历天内</w:t>
      </w:r>
      <w:r>
        <w:rPr>
          <w:rFonts w:hint="eastAsia" w:ascii="宋体" w:hAnsi="宋体" w:eastAsia="宋体" w:cs="宋体"/>
          <w:color w:val="auto"/>
          <w:sz w:val="24"/>
          <w:highlight w:val="none"/>
        </w:rPr>
        <w:t>送勘察方案给甲方审核，勘察方案须经审核通过后</w:t>
      </w:r>
      <w:r>
        <w:rPr>
          <w:rFonts w:hint="eastAsia" w:ascii="宋体" w:hAnsi="宋体" w:eastAsia="宋体" w:cs="宋体"/>
          <w:color w:val="auto"/>
          <w:sz w:val="24"/>
          <w:highlight w:val="none"/>
          <w:lang w:eastAsia="zh-CN"/>
        </w:rPr>
        <w:t>，甲方以书面通知勘察开工</w:t>
      </w:r>
      <w:r>
        <w:rPr>
          <w:rFonts w:hint="eastAsia" w:ascii="宋体" w:hAnsi="宋体" w:eastAsia="宋体" w:cs="宋体"/>
          <w:color w:val="auto"/>
          <w:sz w:val="24"/>
          <w:highlight w:val="none"/>
        </w:rPr>
        <w:t>次日乙方应进场开工。未能按期开工，按本合同第六条规定办理。</w:t>
      </w:r>
    </w:p>
    <w:p w14:paraId="080D7A0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3.2勘察工作有效期限以合同约定为准，如遇特殊情况（设计变更、工作量大幅度增加、不可抗力影响以及甲方原因造成的停、窝工等）时，工期顺延，顺延的时间需经甲方与乙方确认，但不补偿任何费用。</w:t>
      </w:r>
    </w:p>
    <w:p w14:paraId="5C95A323">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3.3本工程的具体勘察工作开工日期自</w:t>
      </w:r>
      <w:r>
        <w:rPr>
          <w:rFonts w:hint="eastAsia" w:ascii="宋体" w:hAnsi="宋体" w:eastAsia="宋体" w:cs="宋体"/>
          <w:color w:val="auto"/>
          <w:sz w:val="24"/>
          <w:highlight w:val="none"/>
          <w:lang w:eastAsia="zh-CN"/>
        </w:rPr>
        <w:t>甲方发出勘察开工通知次日起算</w:t>
      </w:r>
      <w:r>
        <w:rPr>
          <w:rFonts w:hint="eastAsia" w:ascii="宋体" w:hAnsi="宋体" w:eastAsia="宋体" w:cs="宋体"/>
          <w:color w:val="auto"/>
          <w:sz w:val="24"/>
          <w:highlight w:val="none"/>
        </w:rPr>
        <w:t>，原则要求</w:t>
      </w:r>
      <w:r>
        <w:rPr>
          <w:rFonts w:hint="eastAsia" w:ascii="宋体" w:hAnsi="宋体" w:eastAsia="宋体" w:cs="宋体"/>
          <w:color w:val="auto"/>
          <w:sz w:val="24"/>
          <w:highlight w:val="none"/>
          <w:u w:val="single"/>
        </w:rPr>
        <w:t xml:space="preserve"> 30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历天</w:t>
      </w:r>
      <w:r>
        <w:rPr>
          <w:rFonts w:hint="eastAsia" w:ascii="宋体" w:hAnsi="宋体" w:eastAsia="宋体" w:cs="宋体"/>
          <w:color w:val="auto"/>
          <w:sz w:val="24"/>
          <w:highlight w:val="none"/>
        </w:rPr>
        <w:t>内提交勘察成果资料。经甲方批准，工程勘察可以根据项目开发时序，分期分批提交勘察成果资料，但应满足项目开发时序节点的要求。未能按期提交成果资料，按本合同第六条规定办理。</w:t>
      </w:r>
    </w:p>
    <w:p w14:paraId="76C5CB09">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3.4乙方负责向甲方提交勘察成果资料各最少</w:t>
      </w:r>
      <w:r>
        <w:rPr>
          <w:rFonts w:hint="eastAsia" w:ascii="宋体" w:hAnsi="宋体" w:eastAsia="宋体" w:cs="宋体"/>
          <w:color w:val="auto"/>
          <w:sz w:val="24"/>
          <w:highlight w:val="none"/>
          <w:u w:val="single"/>
        </w:rPr>
        <w:t>一式十二份</w:t>
      </w:r>
      <w:r>
        <w:rPr>
          <w:rFonts w:hint="eastAsia" w:ascii="宋体" w:hAnsi="宋体" w:eastAsia="宋体" w:cs="宋体"/>
          <w:color w:val="auto"/>
          <w:sz w:val="24"/>
          <w:highlight w:val="none"/>
        </w:rPr>
        <w:t>（不含向广州市城市规划勘测设计研究院购买的资料）及相应非加密的电子文件贰份，具体数量根据实际需要相应再增加。其中向广州市城市规划勘测设计研究院购买的资料一式四份。</w:t>
      </w:r>
    </w:p>
    <w:p w14:paraId="0C55FAB5">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第四条  勘察服务费用</w:t>
      </w:r>
    </w:p>
    <w:p w14:paraId="30F1AE28">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w:t>
      </w:r>
      <w:r>
        <w:rPr>
          <w:rFonts w:hint="eastAsia" w:ascii="宋体" w:hAnsi="宋体" w:eastAsia="宋体" w:cs="宋体"/>
          <w:color w:val="auto"/>
          <w:sz w:val="24"/>
          <w:highlight w:val="none"/>
          <w:lang w:val="en-US" w:eastAsia="zh-CN"/>
        </w:rPr>
        <w:t>总</w:t>
      </w:r>
      <w:r>
        <w:rPr>
          <w:rFonts w:hint="eastAsia" w:ascii="宋体" w:hAnsi="宋体" w:eastAsia="宋体" w:cs="宋体"/>
          <w:color w:val="auto"/>
          <w:sz w:val="24"/>
          <w:highlight w:val="none"/>
        </w:rPr>
        <w:t>勘察服务费用暂定含税合同价：总计为¥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kern w:val="0"/>
          <w:sz w:val="24"/>
          <w:highlight w:val="none"/>
        </w:rPr>
        <w:t>人民币</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rPr>
        <w:t>），中标下浮率为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en-US" w:eastAsia="zh-CN"/>
        </w:rPr>
        <w:t>暂定一期勘察费为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none"/>
        </w:rPr>
        <w:t>元</w:t>
      </w:r>
      <w:r>
        <w:rPr>
          <w:rFonts w:hint="eastAsia" w:ascii="宋体" w:hAnsi="宋体" w:eastAsia="宋体" w:cs="宋体"/>
          <w:color w:val="auto"/>
          <w:kern w:val="0"/>
          <w:sz w:val="24"/>
          <w:highlight w:val="none"/>
          <w:u w:val="none"/>
          <w:lang w:eastAsia="zh-CN"/>
        </w:rPr>
        <w:t>；</w:t>
      </w:r>
      <w:r>
        <w:rPr>
          <w:rFonts w:hint="eastAsia" w:ascii="宋体" w:hAnsi="宋体" w:eastAsia="宋体" w:cs="宋体"/>
          <w:color w:val="auto"/>
          <w:kern w:val="0"/>
          <w:sz w:val="24"/>
          <w:highlight w:val="none"/>
          <w:lang w:val="en-US" w:eastAsia="zh-CN"/>
        </w:rPr>
        <w:t xml:space="preserve"> 暂定二期勘察费为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none"/>
        </w:rPr>
        <w:t>元</w:t>
      </w:r>
      <w:r>
        <w:rPr>
          <w:rFonts w:hint="eastAsia" w:ascii="宋体" w:hAnsi="宋体" w:eastAsia="宋体" w:cs="宋体"/>
          <w:color w:val="auto"/>
          <w:kern w:val="0"/>
          <w:sz w:val="24"/>
          <w:highlight w:val="none"/>
          <w:u w:val="none"/>
          <w:lang w:eastAsia="zh-CN"/>
        </w:rPr>
        <w:t>；</w:t>
      </w:r>
      <w:r>
        <w:rPr>
          <w:rFonts w:hint="eastAsia" w:ascii="宋体" w:hAnsi="宋体" w:eastAsia="宋体" w:cs="宋体"/>
          <w:color w:val="auto"/>
          <w:kern w:val="0"/>
          <w:sz w:val="24"/>
          <w:highlight w:val="none"/>
          <w:lang w:val="en-US" w:eastAsia="zh-CN"/>
        </w:rPr>
        <w:t xml:space="preserve"> 暂定三期勘察费为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none"/>
        </w:rPr>
        <w:t xml:space="preserve">     元</w:t>
      </w:r>
      <w:r>
        <w:rPr>
          <w:rFonts w:hint="eastAsia" w:ascii="宋体" w:hAnsi="宋体" w:eastAsia="宋体" w:cs="宋体"/>
          <w:color w:val="auto"/>
          <w:kern w:val="0"/>
          <w:sz w:val="24"/>
          <w:highlight w:val="none"/>
          <w:u w:val="none"/>
          <w:lang w:eastAsia="zh-CN"/>
        </w:rPr>
        <w:t>。</w:t>
      </w:r>
    </w:p>
    <w:p w14:paraId="21103083">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4.2勘察服务计费标准</w:t>
      </w:r>
    </w:p>
    <w:p w14:paraId="2537802B">
      <w:pPr>
        <w:pStyle w:val="6"/>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4.2.1参照</w:t>
      </w:r>
      <w:r>
        <w:rPr>
          <w:rFonts w:hint="eastAsia" w:ascii="宋体" w:hAnsi="宋体" w:eastAsia="宋体" w:cs="宋体"/>
          <w:color w:val="auto"/>
          <w:sz w:val="24"/>
          <w:highlight w:val="none"/>
          <w:lang w:val="zh-CN"/>
        </w:rPr>
        <w:t>《工程勘察设计收费标准》（2002年修订本）</w:t>
      </w:r>
      <w:r>
        <w:rPr>
          <w:rFonts w:hint="eastAsia" w:ascii="宋体" w:hAnsi="宋体" w:eastAsia="宋体" w:cs="宋体"/>
          <w:color w:val="auto"/>
          <w:sz w:val="24"/>
          <w:highlight w:val="none"/>
        </w:rPr>
        <w:t>规</w:t>
      </w:r>
      <w:r>
        <w:rPr>
          <w:rFonts w:ascii="宋体" w:hAnsi="宋体" w:eastAsia="宋体" w:cs="宋体"/>
          <w:color w:val="auto"/>
          <w:spacing w:val="10"/>
          <w:sz w:val="24"/>
          <w:highlight w:val="none"/>
        </w:rPr>
        <w:t>定</w:t>
      </w:r>
      <w:r>
        <w:rPr>
          <w:rFonts w:hint="eastAsia" w:ascii="宋体" w:hAnsi="宋体" w:eastAsia="宋体" w:cs="宋体"/>
          <w:color w:val="auto"/>
          <w:spacing w:val="10"/>
          <w:sz w:val="24"/>
          <w:highlight w:val="none"/>
        </w:rPr>
        <w:t>的标准</w:t>
      </w:r>
      <w:r>
        <w:rPr>
          <w:rFonts w:hint="eastAsia" w:ascii="宋体" w:hAnsi="宋体" w:eastAsia="宋体" w:cs="宋体"/>
          <w:color w:val="auto"/>
          <w:sz w:val="24"/>
          <w:highlight w:val="none"/>
        </w:rPr>
        <w:t>乘以</w:t>
      </w:r>
      <w:r>
        <w:rPr>
          <w:rFonts w:hint="eastAsia" w:ascii="宋体" w:hAnsi="宋体" w:eastAsia="宋体" w:cs="宋体"/>
          <w:color w:val="auto"/>
          <w:sz w:val="24"/>
          <w:highlight w:val="none"/>
          <w:lang w:val="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勘察费</w:t>
      </w:r>
      <w:r>
        <w:rPr>
          <w:rFonts w:hint="eastAsia" w:ascii="宋体" w:hAnsi="宋体" w:eastAsia="宋体" w:cs="宋体"/>
          <w:color w:val="auto"/>
          <w:sz w:val="24"/>
          <w:highlight w:val="none"/>
        </w:rPr>
        <w:t>中标</w:t>
      </w:r>
      <w:r>
        <w:rPr>
          <w:rFonts w:hint="eastAsia" w:ascii="宋体" w:hAnsi="宋体" w:eastAsia="宋体" w:cs="宋体"/>
          <w:color w:val="auto"/>
          <w:sz w:val="24"/>
          <w:highlight w:val="none"/>
          <w:lang w:val="zh-CN"/>
        </w:rPr>
        <w:t>下浮率）</w:t>
      </w:r>
      <w:r>
        <w:rPr>
          <w:rFonts w:hint="eastAsia" w:ascii="宋体" w:hAnsi="宋体" w:eastAsia="宋体" w:cs="宋体"/>
          <w:color w:val="auto"/>
          <w:spacing w:val="10"/>
          <w:sz w:val="24"/>
          <w:highlight w:val="none"/>
        </w:rPr>
        <w:t>确定</w:t>
      </w:r>
      <w:r>
        <w:rPr>
          <w:rFonts w:hint="eastAsia" w:ascii="宋体" w:hAnsi="宋体" w:eastAsia="宋体" w:cs="宋体"/>
          <w:color w:val="auto"/>
          <w:sz w:val="24"/>
          <w:highlight w:val="none"/>
        </w:rPr>
        <w:t>勘察服务费标准。费用已包括所有实物工作收费、技术工作收费、税金及以及综合考虑不同自然条件下、不同作业内容、不同复杂程度及高温勘察等一切因素下的勘探作业的费用。</w:t>
      </w:r>
    </w:p>
    <w:p w14:paraId="364DBD23">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4.2.2</w:t>
      </w:r>
      <w:r>
        <w:rPr>
          <w:rFonts w:hint="eastAsia" w:ascii="宋体" w:hAnsi="宋体" w:eastAsia="宋体" w:cs="宋体"/>
          <w:color w:val="auto"/>
          <w:sz w:val="24"/>
          <w:highlight w:val="none"/>
        </w:rPr>
        <w:t>《工程勘察设计收费标准》（2002年修订本）中没有项目</w:t>
      </w:r>
      <w:r>
        <w:rPr>
          <w:rFonts w:hint="eastAsia" w:ascii="宋体" w:hAnsi="宋体" w:eastAsia="宋体" w:cs="宋体"/>
          <w:color w:val="auto"/>
          <w:kern w:val="0"/>
          <w:sz w:val="24"/>
          <w:highlight w:val="none"/>
        </w:rPr>
        <w:t>，双方依据市场价格协商定价。</w:t>
      </w:r>
    </w:p>
    <w:p w14:paraId="51D65178">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4.3</w:t>
      </w:r>
      <w:r>
        <w:rPr>
          <w:rFonts w:hint="eastAsia" w:ascii="宋体" w:hAnsi="宋体" w:eastAsia="宋体" w:cs="宋体"/>
          <w:color w:val="auto"/>
          <w:sz w:val="24"/>
          <w:highlight w:val="none"/>
        </w:rPr>
        <w:t>勘察</w:t>
      </w:r>
      <w:r>
        <w:rPr>
          <w:rFonts w:hint="eastAsia" w:ascii="宋体" w:hAnsi="宋体" w:eastAsia="宋体" w:cs="宋体"/>
          <w:color w:val="auto"/>
          <w:kern w:val="0"/>
          <w:sz w:val="24"/>
          <w:highlight w:val="none"/>
        </w:rPr>
        <w:t>服务费用结算</w:t>
      </w:r>
    </w:p>
    <w:p w14:paraId="2991DD5B">
      <w:pPr>
        <w:pStyle w:val="6"/>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岩土工程勘察费用，</w:t>
      </w:r>
      <w:r>
        <w:rPr>
          <w:rFonts w:hint="eastAsia" w:ascii="宋体" w:hAnsi="宋体" w:eastAsia="宋体" w:cs="宋体"/>
          <w:color w:val="auto"/>
          <w:sz w:val="24"/>
          <w:highlight w:val="none"/>
          <w:lang w:val="zh-CN"/>
        </w:rPr>
        <w:t>参照广东省工程勘察设计行业协会印发的《房屋建筑和市政基础设施工程设计收费导则》中所附的《工程勘察设计收费标准》（2002年修订本）标准</w:t>
      </w:r>
      <w:r>
        <w:rPr>
          <w:rFonts w:hint="eastAsia" w:ascii="宋体" w:hAnsi="宋体" w:eastAsia="宋体" w:cs="宋体"/>
          <w:color w:val="auto"/>
          <w:sz w:val="24"/>
          <w:highlight w:val="none"/>
        </w:rPr>
        <w:t>乘以</w:t>
      </w:r>
      <w:r>
        <w:rPr>
          <w:rFonts w:hint="eastAsia" w:ascii="宋体" w:hAnsi="宋体" w:eastAsia="宋体" w:cs="宋体"/>
          <w:color w:val="auto"/>
          <w:sz w:val="24"/>
          <w:highlight w:val="none"/>
          <w:lang w:val="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勘察费</w:t>
      </w:r>
      <w:r>
        <w:rPr>
          <w:rFonts w:hint="eastAsia" w:ascii="宋体" w:hAnsi="宋体" w:eastAsia="宋体" w:cs="宋体"/>
          <w:color w:val="auto"/>
          <w:sz w:val="24"/>
          <w:highlight w:val="none"/>
        </w:rPr>
        <w:t>中标</w:t>
      </w:r>
      <w:r>
        <w:rPr>
          <w:rFonts w:hint="eastAsia" w:ascii="宋体" w:hAnsi="宋体" w:eastAsia="宋体" w:cs="宋体"/>
          <w:color w:val="auto"/>
          <w:sz w:val="24"/>
          <w:highlight w:val="none"/>
          <w:lang w:val="zh-CN"/>
        </w:rPr>
        <w:t>下浮率）计价结算。</w:t>
      </w:r>
      <w:r>
        <w:rPr>
          <w:rFonts w:hint="eastAsia" w:ascii="宋体" w:hAnsi="宋体" w:eastAsia="宋体" w:cs="宋体"/>
          <w:color w:val="auto"/>
          <w:sz w:val="24"/>
          <w:highlight w:val="none"/>
        </w:rPr>
        <w:t>在合同实施期间岩土工程勘察费按实际完成工作量调整，但费率浮动幅度不变。</w:t>
      </w:r>
    </w:p>
    <w:p w14:paraId="395FD5EC">
      <w:pPr>
        <w:pStyle w:val="6"/>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工程物探（含管线探测）费，</w:t>
      </w:r>
      <w:r>
        <w:rPr>
          <w:rFonts w:hint="eastAsia" w:ascii="宋体" w:hAnsi="宋体" w:eastAsia="宋体" w:cs="宋体"/>
          <w:color w:val="auto"/>
          <w:sz w:val="24"/>
          <w:highlight w:val="none"/>
          <w:lang w:val="zh-CN"/>
        </w:rPr>
        <w:t>参照广东省工程勘察设计行业协会印发的《房屋建筑和市政基础设施工程设计收费导则》中所附的《工程勘察设计收费标准》（2002年修订本）标准</w:t>
      </w:r>
      <w:r>
        <w:rPr>
          <w:rFonts w:hint="eastAsia" w:ascii="宋体" w:hAnsi="宋体" w:eastAsia="宋体" w:cs="宋体"/>
          <w:color w:val="auto"/>
          <w:sz w:val="24"/>
          <w:highlight w:val="none"/>
        </w:rPr>
        <w:t>乘以</w:t>
      </w:r>
      <w:r>
        <w:rPr>
          <w:rFonts w:hint="eastAsia" w:ascii="宋体" w:hAnsi="宋体" w:eastAsia="宋体" w:cs="宋体"/>
          <w:color w:val="auto"/>
          <w:sz w:val="24"/>
          <w:highlight w:val="none"/>
          <w:lang w:val="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勘察费</w:t>
      </w:r>
      <w:r>
        <w:rPr>
          <w:rFonts w:hint="eastAsia" w:ascii="宋体" w:hAnsi="宋体" w:eastAsia="宋体" w:cs="宋体"/>
          <w:color w:val="auto"/>
          <w:sz w:val="24"/>
          <w:highlight w:val="none"/>
        </w:rPr>
        <w:t>中标</w:t>
      </w:r>
      <w:r>
        <w:rPr>
          <w:rFonts w:hint="eastAsia" w:ascii="宋体" w:hAnsi="宋体" w:eastAsia="宋体" w:cs="宋体"/>
          <w:color w:val="auto"/>
          <w:sz w:val="24"/>
          <w:highlight w:val="none"/>
          <w:lang w:val="zh-CN"/>
        </w:rPr>
        <w:t>下浮率）</w:t>
      </w:r>
      <w:r>
        <w:rPr>
          <w:rFonts w:hint="eastAsia" w:ascii="宋体" w:hAnsi="宋体" w:eastAsia="宋体" w:cs="宋体"/>
          <w:color w:val="auto"/>
          <w:sz w:val="24"/>
          <w:highlight w:val="none"/>
          <w:lang w:val="en-US" w:eastAsia="zh-CN"/>
        </w:rPr>
        <w:t>-初步勘察费19.2150万元</w:t>
      </w:r>
      <w:r>
        <w:rPr>
          <w:rFonts w:hint="eastAsia" w:ascii="宋体" w:hAnsi="宋体" w:eastAsia="宋体" w:cs="宋体"/>
          <w:color w:val="auto"/>
          <w:sz w:val="24"/>
          <w:highlight w:val="none"/>
          <w:lang w:val="zh-CN"/>
        </w:rPr>
        <w:t>计价结算</w:t>
      </w:r>
      <w:r>
        <w:rPr>
          <w:rFonts w:hint="eastAsia" w:ascii="宋体" w:hAnsi="宋体" w:eastAsia="宋体" w:cs="宋体"/>
          <w:color w:val="auto"/>
          <w:sz w:val="24"/>
          <w:highlight w:val="none"/>
        </w:rPr>
        <w:t>。同一管沟，相同种类的管线只按延长公里计费一次；同一管沟，不同种类的管线，可分别计费。在合同实施期间工程物探费按实际完成工作量调整，但费率浮动幅度不变。</w:t>
      </w:r>
    </w:p>
    <w:p w14:paraId="6F340CC3">
      <w:pPr>
        <w:pStyle w:val="6"/>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以上费用均已包括所有实物工作收费、技术工作收费、税金、临时占用土地、青苗补偿、交通工具费用、修筑钻机通行简易道路及影响勘察施工正常进行发生的有关费用等全部费用。</w:t>
      </w:r>
    </w:p>
    <w:p w14:paraId="5DE7A949">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按本合同第4.2款</w:t>
      </w:r>
      <w:r>
        <w:rPr>
          <w:rFonts w:hint="eastAsia" w:ascii="宋体" w:hAnsi="宋体" w:eastAsia="宋体" w:cs="宋体"/>
          <w:color w:val="auto"/>
          <w:sz w:val="24"/>
          <w:highlight w:val="none"/>
        </w:rPr>
        <w:t>勘察服务计费标准办理结算，</w:t>
      </w:r>
      <w:r>
        <w:rPr>
          <w:rFonts w:hint="eastAsia" w:ascii="宋体" w:hAnsi="宋体" w:eastAsia="宋体" w:cs="宋体"/>
          <w:color w:val="auto"/>
          <w:sz w:val="24"/>
          <w:highlight w:val="none"/>
          <w:u w:val="single"/>
        </w:rPr>
        <w:t>勘察费最终结算总金额不得超过</w:t>
      </w:r>
      <w:r>
        <w:rPr>
          <w:rFonts w:hint="eastAsia" w:ascii="宋体" w:hAnsi="宋体" w:eastAsia="宋体" w:cs="宋体"/>
          <w:color w:val="auto"/>
          <w:sz w:val="24"/>
          <w:highlight w:val="none"/>
          <w:u w:val="single"/>
          <w:lang w:eastAsia="zh-CN"/>
        </w:rPr>
        <w:t>该期</w:t>
      </w:r>
      <w:r>
        <w:rPr>
          <w:rFonts w:hint="eastAsia" w:ascii="宋体" w:hAnsi="宋体" w:eastAsia="宋体" w:cs="宋体"/>
          <w:color w:val="auto"/>
          <w:sz w:val="24"/>
          <w:highlight w:val="none"/>
          <w:u w:val="single"/>
        </w:rPr>
        <w:t>勘察费的中标价；如超过中标价，则按中标价结算。</w:t>
      </w:r>
      <w:r>
        <w:rPr>
          <w:rFonts w:hint="eastAsia" w:ascii="宋体" w:hAnsi="宋体" w:eastAsia="宋体" w:cs="宋体"/>
          <w:color w:val="auto"/>
          <w:kern w:val="0"/>
          <w:sz w:val="24"/>
          <w:highlight w:val="none"/>
        </w:rPr>
        <w:t>未经甲方确认和超出合同约定范围的工程量均不计入结算工程量。</w:t>
      </w:r>
    </w:p>
    <w:p w14:paraId="5FFBE5A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w:t>
      </w:r>
      <w:r>
        <w:rPr>
          <w:rFonts w:hint="eastAsia" w:ascii="宋体" w:hAnsi="宋体" w:eastAsia="宋体" w:cs="宋体"/>
          <w:color w:val="auto"/>
          <w:sz w:val="24"/>
          <w:highlight w:val="none"/>
          <w:lang w:val="en-US" w:eastAsia="zh-CN"/>
        </w:rPr>
        <w:t>每期</w:t>
      </w:r>
      <w:r>
        <w:rPr>
          <w:rFonts w:hint="eastAsia" w:ascii="宋体" w:hAnsi="宋体" w:eastAsia="宋体" w:cs="宋体"/>
          <w:color w:val="auto"/>
          <w:sz w:val="24"/>
          <w:highlight w:val="none"/>
        </w:rPr>
        <w:t>勘察服务费用支付方式</w:t>
      </w:r>
    </w:p>
    <w:p w14:paraId="7B45B2B5">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4.4.1</w:t>
      </w:r>
      <w:r>
        <w:rPr>
          <w:rFonts w:hint="eastAsia" w:ascii="宋体" w:hAnsi="宋体" w:eastAsia="宋体" w:cs="宋体"/>
          <w:color w:val="auto"/>
          <w:sz w:val="24"/>
          <w:highlight w:val="none"/>
          <w:lang w:val="en-US" w:eastAsia="zh-CN"/>
        </w:rPr>
        <w:t>按照项目建设进度分别支付每期勘察服务费。每期独立支出，独立结算。收到甲方书面通知开工</w:t>
      </w:r>
      <w:r>
        <w:rPr>
          <w:rFonts w:hint="eastAsia" w:ascii="宋体" w:hAnsi="宋体" w:eastAsia="宋体" w:cs="宋体"/>
          <w:color w:val="auto"/>
          <w:sz w:val="24"/>
          <w:highlight w:val="none"/>
        </w:rPr>
        <w:t>后，</w:t>
      </w:r>
      <w:r>
        <w:rPr>
          <w:rFonts w:hint="eastAsia" w:ascii="宋体" w:hAnsi="宋体" w:eastAsia="宋体" w:cs="宋体"/>
          <w:color w:val="auto"/>
          <w:sz w:val="24"/>
          <w:highlight w:val="none"/>
          <w:lang w:val="en-US" w:eastAsia="zh-CN"/>
        </w:rPr>
        <w:t>乙方提交请款手续后20个工作日内，</w:t>
      </w:r>
      <w:r>
        <w:rPr>
          <w:rFonts w:hint="eastAsia" w:ascii="宋体" w:hAnsi="宋体" w:eastAsia="宋体" w:cs="宋体"/>
          <w:color w:val="auto"/>
          <w:sz w:val="24"/>
          <w:highlight w:val="none"/>
        </w:rPr>
        <w:t>支付</w:t>
      </w:r>
      <w:r>
        <w:rPr>
          <w:rFonts w:hint="eastAsia" w:ascii="宋体" w:hAnsi="宋体" w:eastAsia="宋体" w:cs="宋体"/>
          <w:color w:val="auto"/>
          <w:sz w:val="24"/>
          <w:highlight w:val="none"/>
          <w:lang w:val="en-US" w:eastAsia="zh-CN"/>
        </w:rPr>
        <w:t>对应该期的</w:t>
      </w:r>
      <w:r>
        <w:rPr>
          <w:rFonts w:hint="eastAsia" w:ascii="宋体" w:hAnsi="宋体" w:eastAsia="宋体" w:cs="宋体"/>
          <w:color w:val="auto"/>
          <w:sz w:val="24"/>
          <w:highlight w:val="none"/>
        </w:rPr>
        <w:t>勘察服务费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按照合同约定每期暂定含税合同价）</w:t>
      </w:r>
      <w:r>
        <w:rPr>
          <w:rFonts w:hint="eastAsia" w:ascii="宋体" w:hAnsi="宋体" w:eastAsia="宋体" w:cs="宋体"/>
          <w:color w:val="auto"/>
          <w:sz w:val="24"/>
          <w:highlight w:val="none"/>
        </w:rPr>
        <w:t>的20</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（在第一次进度款请款时一次性扣回）。乙方应按甲方要求开展本项目工程勘察工作，满足项目推进勘察工作要求。</w:t>
      </w:r>
    </w:p>
    <w:p w14:paraId="6E2367D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4.4.2</w:t>
      </w:r>
      <w:r>
        <w:rPr>
          <w:rFonts w:hint="eastAsia" w:ascii="宋体" w:hAnsi="宋体" w:eastAsia="宋体" w:cs="宋体"/>
          <w:color w:val="auto"/>
          <w:sz w:val="24"/>
          <w:highlight w:val="none"/>
          <w:lang w:val="en-US" w:eastAsia="zh-CN"/>
        </w:rPr>
        <w:t>每期</w:t>
      </w:r>
      <w:r>
        <w:rPr>
          <w:rFonts w:hint="eastAsia" w:ascii="宋体" w:hAnsi="宋体" w:eastAsia="宋体" w:cs="宋体"/>
          <w:color w:val="auto"/>
          <w:sz w:val="24"/>
          <w:highlight w:val="none"/>
        </w:rPr>
        <w:t>详细勘察和施工阶段勘察、工程物探（含管线探测）等阶段性任务完成并提交正式勘察报告</w:t>
      </w:r>
      <w:r>
        <w:rPr>
          <w:rFonts w:hint="eastAsia" w:ascii="宋体" w:hAnsi="宋体" w:eastAsia="宋体" w:cs="宋体"/>
          <w:color w:val="auto"/>
          <w:sz w:val="24"/>
          <w:highlight w:val="none"/>
          <w:lang w:val="en-US" w:eastAsia="zh-CN"/>
        </w:rPr>
        <w:t>及施工图审查合格后（审图费不在本合同范围内）</w:t>
      </w:r>
      <w:r>
        <w:rPr>
          <w:rFonts w:hint="eastAsia" w:ascii="宋体" w:hAnsi="宋体" w:eastAsia="宋体" w:cs="宋体"/>
          <w:color w:val="auto"/>
          <w:sz w:val="24"/>
          <w:highlight w:val="none"/>
        </w:rPr>
        <w:t>，乙方提交请款手续后</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个工作日内</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累计支付至各分项对应勘察费用（经甲方确认的实际完成工程量乘以第4.2勘察服务计费标准得出的费用）的80%。（</w:t>
      </w:r>
      <w:r>
        <w:rPr>
          <w:rFonts w:hint="eastAsia" w:ascii="宋体" w:hAnsi="宋体" w:eastAsia="宋体" w:cs="宋体"/>
          <w:color w:val="auto"/>
          <w:sz w:val="24"/>
          <w:highlight w:val="none"/>
          <w:lang w:val="en-US" w:eastAsia="zh-CN"/>
        </w:rPr>
        <w:t>每期</w:t>
      </w:r>
      <w:r>
        <w:rPr>
          <w:rFonts w:hint="eastAsia" w:ascii="宋体" w:hAnsi="宋体" w:eastAsia="宋体" w:cs="宋体"/>
          <w:color w:val="auto"/>
          <w:sz w:val="24"/>
          <w:highlight w:val="none"/>
        </w:rPr>
        <w:t>第一次进度款累计需大于勘察服务费</w:t>
      </w:r>
      <w:r>
        <w:rPr>
          <w:rFonts w:hint="eastAsia" w:ascii="宋体" w:hAnsi="宋体" w:eastAsia="宋体" w:cs="宋体"/>
          <w:color w:val="auto"/>
          <w:sz w:val="24"/>
          <w:highlight w:val="none"/>
          <w:lang w:val="en-US" w:eastAsia="zh-CN"/>
        </w:rPr>
        <w:t>每期的</w:t>
      </w:r>
      <w:r>
        <w:rPr>
          <w:rFonts w:hint="eastAsia" w:ascii="宋体" w:hAnsi="宋体" w:eastAsia="宋体" w:cs="宋体"/>
          <w:color w:val="auto"/>
          <w:sz w:val="24"/>
          <w:highlight w:val="none"/>
        </w:rPr>
        <w:t>暂定含税合同价的20</w:t>
      </w:r>
      <w:r>
        <w:rPr>
          <w:rFonts w:ascii="宋体" w:hAnsi="宋体" w:eastAsia="宋体" w:cs="宋体"/>
          <w:color w:val="auto"/>
          <w:sz w:val="24"/>
          <w:highlight w:val="none"/>
        </w:rPr>
        <w:t>%</w:t>
      </w:r>
      <w:r>
        <w:rPr>
          <w:rFonts w:hint="eastAsia" w:ascii="宋体" w:hAnsi="宋体" w:eastAsia="宋体" w:cs="宋体"/>
          <w:color w:val="auto"/>
          <w:sz w:val="24"/>
          <w:highlight w:val="none"/>
        </w:rPr>
        <w:t>时，乙方才可以办理请款工作。）</w:t>
      </w:r>
    </w:p>
    <w:p w14:paraId="4AEBC87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4.4.3</w:t>
      </w:r>
      <w:r>
        <w:rPr>
          <w:rFonts w:hint="eastAsia" w:ascii="宋体" w:hAnsi="宋体" w:eastAsia="宋体" w:cs="宋体"/>
          <w:color w:val="auto"/>
          <w:sz w:val="24"/>
          <w:highlight w:val="none"/>
          <w:lang w:val="en-US" w:eastAsia="zh-CN"/>
        </w:rPr>
        <w:t>每期的勘察工作完成并经甲方委托的第三方造价咨询机构评审后，</w:t>
      </w:r>
      <w:r>
        <w:rPr>
          <w:rFonts w:hint="eastAsia" w:ascii="宋体" w:hAnsi="宋体" w:eastAsia="宋体" w:cs="宋体"/>
          <w:color w:val="auto"/>
          <w:sz w:val="24"/>
          <w:highlight w:val="none"/>
        </w:rPr>
        <w:t>乙方提交请款手续后</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个工作日内</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支付至本项目</w:t>
      </w:r>
      <w:r>
        <w:rPr>
          <w:rFonts w:hint="eastAsia" w:ascii="宋体" w:hAnsi="宋体" w:eastAsia="宋体" w:cs="宋体"/>
          <w:color w:val="auto"/>
          <w:sz w:val="24"/>
          <w:highlight w:val="none"/>
          <w:lang w:val="en-US" w:eastAsia="zh-CN"/>
        </w:rPr>
        <w:t>每期</w:t>
      </w:r>
      <w:r>
        <w:rPr>
          <w:rFonts w:hint="eastAsia" w:ascii="宋体" w:hAnsi="宋体" w:eastAsia="宋体" w:cs="宋体"/>
          <w:color w:val="auto"/>
          <w:sz w:val="24"/>
          <w:highlight w:val="none"/>
        </w:rPr>
        <w:t>勘察结算价的97%。</w:t>
      </w:r>
    </w:p>
    <w:p w14:paraId="5BA9A8FD">
      <w:pPr>
        <w:adjustRightInd w:val="0"/>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4.4.4缺陷通知期为竣工后两年，缺陷通知期限内未出现任何缺陷问题的，期限届满后无息付清余款。</w:t>
      </w:r>
      <w:r>
        <w:rPr>
          <w:rFonts w:hint="eastAsia" w:ascii="宋体" w:hAnsi="宋体" w:eastAsia="宋体" w:cs="宋体"/>
          <w:color w:val="auto"/>
          <w:sz w:val="24"/>
          <w:highlight w:val="none"/>
          <w:lang w:val="en-US" w:eastAsia="zh-CN"/>
        </w:rPr>
        <w:t>如提供</w:t>
      </w:r>
      <w:r>
        <w:rPr>
          <w:rFonts w:hint="eastAsia" w:ascii="宋体" w:hAnsi="宋体" w:eastAsia="宋体" w:cs="宋体"/>
          <w:color w:val="auto"/>
          <w:kern w:val="0"/>
          <w:sz w:val="24"/>
          <w:highlight w:val="none"/>
          <w:u w:val="single"/>
          <w:lang w:val="en-US" w:eastAsia="zh-CN"/>
        </w:rPr>
        <w:t>等额的质量保函</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u w:val="single"/>
          <w:lang w:val="en-US" w:eastAsia="zh-CN"/>
        </w:rPr>
        <w:t>由甲方最终决定</w:t>
      </w:r>
    </w:p>
    <w:p w14:paraId="1967AE04">
      <w:pPr>
        <w:pStyle w:val="6"/>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4.4.5每次款项支付前，乙方应先提供与待支付金额一致的正规发票</w:t>
      </w:r>
      <w:r>
        <w:rPr>
          <w:rFonts w:hint="eastAsia" w:ascii="宋体" w:hAnsi="宋体" w:eastAsia="宋体" w:cs="宋体"/>
          <w:color w:val="auto"/>
          <w:sz w:val="24"/>
          <w:highlight w:val="none"/>
          <w:lang w:eastAsia="zh-CN"/>
        </w:rPr>
        <w:t>以及付款审批流程所需要的完整资料提供</w:t>
      </w:r>
      <w:r>
        <w:rPr>
          <w:rFonts w:hint="eastAsia" w:ascii="宋体" w:hAnsi="宋体" w:eastAsia="宋体" w:cs="宋体"/>
          <w:color w:val="auto"/>
          <w:sz w:val="24"/>
          <w:highlight w:val="none"/>
        </w:rPr>
        <w:t>给甲方，否则甲方有权延期支付。如因甲方原因导致延期支付的，不视为甲方违约，乙方不得以此为由暂停相关工作，仍应按项目开发时序按甲方要求分期分批提交勘察成果，否则属于乙方违约，按本合同有关条款处理。</w:t>
      </w:r>
    </w:p>
    <w:p w14:paraId="236DB582">
      <w:pPr>
        <w:pStyle w:val="6"/>
        <w:spacing w:line="360" w:lineRule="auto"/>
        <w:ind w:firstLine="480"/>
        <w:rPr>
          <w:rFonts w:hint="eastAsia" w:ascii="宋体" w:hAnsi="宋体" w:eastAsia="宋体" w:cs="宋体"/>
          <w:b w:val="0"/>
          <w:bCs w:val="0"/>
          <w:color w:val="auto"/>
          <w:sz w:val="24"/>
          <w:highlight w:val="none"/>
          <w:u w:val="none"/>
          <w:lang w:bidi="ar"/>
        </w:rPr>
      </w:pPr>
      <w:r>
        <w:rPr>
          <w:rFonts w:hint="eastAsia" w:ascii="宋体" w:hAnsi="宋体" w:eastAsia="宋体" w:cs="宋体"/>
          <w:color w:val="auto"/>
          <w:sz w:val="24"/>
          <w:highlight w:val="none"/>
          <w:lang w:val="en-US" w:eastAsia="zh-CN"/>
        </w:rPr>
        <w:t>4.4.6</w:t>
      </w:r>
      <w:r>
        <w:rPr>
          <w:rFonts w:hint="eastAsia" w:ascii="宋体" w:hAnsi="宋体" w:eastAsia="宋体" w:cs="宋体"/>
          <w:b w:val="0"/>
          <w:bCs w:val="0"/>
          <w:color w:val="auto"/>
          <w:sz w:val="24"/>
          <w:highlight w:val="none"/>
          <w:u w:val="none"/>
          <w:lang w:bidi="ar"/>
        </w:rPr>
        <w:t>本工程资金来源属于农村集体经济组织贷款，</w:t>
      </w:r>
      <w:r>
        <w:rPr>
          <w:rFonts w:hint="eastAsia" w:ascii="宋体" w:hAnsi="宋体" w:eastAsia="宋体" w:cs="宋体"/>
          <w:b w:val="0"/>
          <w:bCs w:val="0"/>
          <w:color w:val="auto"/>
          <w:sz w:val="24"/>
          <w:highlight w:val="none"/>
          <w:u w:val="none"/>
          <w:lang w:val="en-US" w:eastAsia="zh-CN" w:bidi="ar"/>
        </w:rPr>
        <w:t>勘察费</w:t>
      </w:r>
      <w:r>
        <w:rPr>
          <w:rFonts w:hint="eastAsia" w:ascii="宋体" w:hAnsi="宋体" w:eastAsia="宋体" w:cs="宋体"/>
          <w:b w:val="0"/>
          <w:bCs w:val="0"/>
          <w:color w:val="auto"/>
          <w:sz w:val="24"/>
          <w:highlight w:val="none"/>
          <w:u w:val="none"/>
          <w:lang w:bidi="ar"/>
        </w:rPr>
        <w:t>的支付须遵守相关银行贷款制度</w:t>
      </w:r>
      <w:r>
        <w:rPr>
          <w:rFonts w:hint="eastAsia" w:ascii="宋体" w:hAnsi="宋体" w:eastAsia="宋体" w:cs="宋体"/>
          <w:b w:val="0"/>
          <w:bCs w:val="0"/>
          <w:color w:val="auto"/>
          <w:sz w:val="24"/>
          <w:highlight w:val="none"/>
          <w:u w:val="none"/>
          <w:lang w:eastAsia="zh-CN" w:bidi="ar"/>
        </w:rPr>
        <w:t>、</w:t>
      </w:r>
      <w:r>
        <w:rPr>
          <w:rFonts w:hint="eastAsia" w:ascii="宋体" w:hAnsi="宋体" w:eastAsia="宋体" w:cs="宋体"/>
          <w:b w:val="0"/>
          <w:bCs w:val="0"/>
          <w:color w:val="auto"/>
          <w:sz w:val="24"/>
          <w:highlight w:val="none"/>
          <w:u w:val="none"/>
          <w:lang w:val="en-US" w:eastAsia="zh-CN" w:bidi="ar"/>
        </w:rPr>
        <w:t>农村资金支付制度</w:t>
      </w:r>
      <w:r>
        <w:rPr>
          <w:rFonts w:hint="eastAsia" w:ascii="宋体" w:hAnsi="宋体" w:eastAsia="宋体" w:cs="宋体"/>
          <w:b w:val="0"/>
          <w:bCs w:val="0"/>
          <w:color w:val="auto"/>
          <w:sz w:val="24"/>
          <w:highlight w:val="none"/>
          <w:u w:val="none"/>
          <w:lang w:bidi="ar"/>
        </w:rPr>
        <w:t>，</w:t>
      </w:r>
      <w:r>
        <w:rPr>
          <w:rFonts w:hint="eastAsia" w:ascii="宋体" w:hAnsi="宋体" w:eastAsia="宋体" w:cs="宋体"/>
          <w:b w:val="0"/>
          <w:bCs w:val="0"/>
          <w:color w:val="auto"/>
          <w:sz w:val="24"/>
          <w:highlight w:val="none"/>
          <w:u w:val="none"/>
          <w:lang w:val="en-US" w:eastAsia="zh-CN" w:bidi="ar"/>
        </w:rPr>
        <w:t>服务费的</w:t>
      </w:r>
      <w:r>
        <w:rPr>
          <w:rFonts w:hint="eastAsia" w:ascii="宋体" w:hAnsi="宋体" w:eastAsia="宋体" w:cs="宋体"/>
          <w:b w:val="0"/>
          <w:bCs w:val="0"/>
          <w:color w:val="auto"/>
          <w:sz w:val="24"/>
          <w:highlight w:val="none"/>
          <w:u w:val="none"/>
          <w:lang w:bidi="ar"/>
        </w:rPr>
        <w:t>支付在银行放款</w:t>
      </w:r>
      <w:r>
        <w:rPr>
          <w:rFonts w:hint="eastAsia" w:ascii="宋体" w:hAnsi="宋体" w:eastAsia="宋体" w:cs="宋体"/>
          <w:b w:val="0"/>
          <w:bCs w:val="0"/>
          <w:color w:val="auto"/>
          <w:sz w:val="24"/>
          <w:highlight w:val="none"/>
          <w:u w:val="none"/>
          <w:lang w:val="en-US" w:eastAsia="zh-CN" w:bidi="ar"/>
        </w:rPr>
        <w:t>及农村资金支付审核完成次</w:t>
      </w:r>
      <w:r>
        <w:rPr>
          <w:rFonts w:hint="eastAsia" w:ascii="宋体" w:hAnsi="宋体" w:eastAsia="宋体" w:cs="宋体"/>
          <w:b w:val="0"/>
          <w:bCs w:val="0"/>
          <w:color w:val="auto"/>
          <w:sz w:val="24"/>
          <w:highlight w:val="none"/>
          <w:u w:val="none"/>
          <w:lang w:bidi="ar"/>
        </w:rPr>
        <w:t>日执行</w:t>
      </w:r>
      <w:r>
        <w:rPr>
          <w:rFonts w:hint="eastAsia" w:ascii="宋体" w:hAnsi="宋体" w:eastAsia="宋体" w:cs="宋体"/>
          <w:b w:val="0"/>
          <w:bCs w:val="0"/>
          <w:color w:val="auto"/>
          <w:sz w:val="24"/>
          <w:highlight w:val="none"/>
          <w:u w:val="none"/>
          <w:lang w:val="en-US" w:bidi="ar"/>
        </w:rPr>
        <w:t>,</w:t>
      </w:r>
      <w:r>
        <w:rPr>
          <w:rFonts w:hint="eastAsia" w:ascii="宋体" w:hAnsi="宋体" w:eastAsia="宋体" w:cs="宋体"/>
          <w:b w:val="0"/>
          <w:bCs w:val="0"/>
          <w:color w:val="auto"/>
          <w:sz w:val="24"/>
          <w:highlight w:val="none"/>
          <w:u w:val="none"/>
          <w:lang w:bidi="ar"/>
        </w:rPr>
        <w:t>若银行延迟放款</w:t>
      </w:r>
      <w:r>
        <w:rPr>
          <w:rFonts w:hint="eastAsia" w:ascii="宋体" w:hAnsi="宋体" w:eastAsia="宋体" w:cs="宋体"/>
          <w:b w:val="0"/>
          <w:bCs w:val="0"/>
          <w:color w:val="auto"/>
          <w:sz w:val="24"/>
          <w:highlight w:val="none"/>
          <w:u w:val="none"/>
          <w:lang w:val="en-US" w:eastAsia="zh-CN" w:bidi="ar"/>
        </w:rPr>
        <w:t>或农村资金支付审核延期</w:t>
      </w:r>
      <w:r>
        <w:rPr>
          <w:rFonts w:hint="eastAsia" w:ascii="宋体" w:hAnsi="宋体" w:eastAsia="宋体" w:cs="宋体"/>
          <w:b w:val="0"/>
          <w:bCs w:val="0"/>
          <w:color w:val="auto"/>
          <w:sz w:val="24"/>
          <w:highlight w:val="none"/>
          <w:u w:val="none"/>
          <w:lang w:bidi="ar"/>
        </w:rPr>
        <w:t>，支付期限相应顺延”。</w:t>
      </w:r>
    </w:p>
    <w:p w14:paraId="4325FEB1">
      <w:pPr>
        <w:pStyle w:val="6"/>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4.4.7乙方提供履约担保的约定：</w:t>
      </w:r>
    </w:p>
    <w:p w14:paraId="0F645097">
      <w:pPr>
        <w:pStyle w:val="6"/>
        <w:spacing w:line="360" w:lineRule="auto"/>
        <w:ind w:firstLine="480"/>
        <w:rPr>
          <w:rFonts w:hint="eastAsia" w:ascii="宋体" w:hAnsi="宋体" w:eastAsia="宋体" w:cs="宋体"/>
          <w:color w:val="auto"/>
          <w:kern w:val="2"/>
          <w:sz w:val="24"/>
          <w:highlight w:val="none"/>
        </w:rPr>
      </w:pPr>
      <w:r>
        <w:rPr>
          <w:rFonts w:hint="eastAsia" w:ascii="宋体" w:hAnsi="宋体" w:eastAsia="宋体" w:cs="宋体"/>
          <w:color w:val="auto"/>
          <w:sz w:val="24"/>
          <w:highlight w:val="none"/>
          <w:lang w:val="en-US" w:eastAsia="zh-CN"/>
        </w:rPr>
        <w:t>4.4.7.1</w:t>
      </w:r>
      <w:r>
        <w:rPr>
          <w:rFonts w:hint="eastAsia" w:ascii="宋体" w:hAnsi="宋体" w:eastAsia="宋体" w:cs="宋体"/>
          <w:color w:val="auto"/>
          <w:kern w:val="2"/>
          <w:sz w:val="24"/>
          <w:highlight w:val="none"/>
        </w:rPr>
        <w:t>履约担保的金额</w:t>
      </w:r>
      <w:r>
        <w:rPr>
          <w:rFonts w:hint="eastAsia" w:ascii="宋体" w:hAnsi="宋体" w:eastAsia="宋体" w:cs="宋体"/>
          <w:color w:val="auto"/>
          <w:spacing w:val="0"/>
          <w:kern w:val="2"/>
          <w:sz w:val="24"/>
          <w:highlight w:val="none"/>
        </w:rPr>
        <w:t>：</w:t>
      </w:r>
      <w:r>
        <w:rPr>
          <w:rFonts w:hint="eastAsia" w:ascii="宋体" w:hAnsi="宋体" w:eastAsia="宋体" w:cs="宋体"/>
          <w:color w:val="auto"/>
          <w:sz w:val="24"/>
          <w:highlight w:val="none"/>
          <w:u w:val="none"/>
        </w:rPr>
        <w:t>按</w:t>
      </w:r>
      <w:r>
        <w:rPr>
          <w:rFonts w:hint="eastAsia" w:ascii="宋体" w:hAnsi="宋体" w:eastAsia="宋体" w:cs="宋体"/>
          <w:color w:val="auto"/>
          <w:sz w:val="24"/>
          <w:highlight w:val="none"/>
          <w:u w:val="none"/>
          <w:lang w:val="en-US" w:eastAsia="zh-CN"/>
        </w:rPr>
        <w:t>每期</w:t>
      </w:r>
      <w:r>
        <w:rPr>
          <w:rFonts w:hint="eastAsia" w:ascii="宋体" w:hAnsi="宋体" w:eastAsia="宋体" w:cs="宋体"/>
          <w:color w:val="auto"/>
          <w:kern w:val="2"/>
          <w:sz w:val="24"/>
          <w:highlight w:val="none"/>
          <w:u w:val="none"/>
        </w:rPr>
        <w:t>中标金额（</w:t>
      </w:r>
      <w:r>
        <w:rPr>
          <w:rFonts w:hint="eastAsia" w:ascii="宋体" w:hAnsi="宋体" w:eastAsia="宋体" w:cs="宋体"/>
          <w:color w:val="auto"/>
          <w:kern w:val="2"/>
          <w:sz w:val="24"/>
          <w:highlight w:val="none"/>
          <w:u w:val="none"/>
          <w:lang w:val="en-US" w:eastAsia="zh-CN"/>
        </w:rPr>
        <w:t>勘察费</w:t>
      </w:r>
      <w:r>
        <w:rPr>
          <w:rFonts w:hint="eastAsia" w:ascii="宋体" w:hAnsi="宋体" w:eastAsia="宋体" w:cs="宋体"/>
          <w:color w:val="auto"/>
          <w:kern w:val="2"/>
          <w:sz w:val="24"/>
          <w:highlight w:val="none"/>
          <w:u w:val="none"/>
        </w:rPr>
        <w:t>）</w:t>
      </w:r>
      <w:r>
        <w:rPr>
          <w:rFonts w:hint="eastAsia" w:ascii="宋体" w:hAnsi="宋体" w:eastAsia="宋体" w:cs="宋体"/>
          <w:color w:val="auto"/>
          <w:sz w:val="24"/>
          <w:highlight w:val="none"/>
          <w:u w:val="none"/>
        </w:rPr>
        <w:t>的</w:t>
      </w:r>
      <w:r>
        <w:rPr>
          <w:rFonts w:hint="eastAsia" w:ascii="宋体" w:hAnsi="宋体" w:eastAsia="宋体" w:cs="宋体"/>
          <w:color w:val="auto"/>
          <w:sz w:val="24"/>
          <w:highlight w:val="none"/>
          <w:u w:val="none"/>
          <w:lang w:val="en-US" w:eastAsia="zh-CN"/>
        </w:rPr>
        <w:t>10</w:t>
      </w:r>
      <w:r>
        <w:rPr>
          <w:rFonts w:hint="eastAsia" w:ascii="宋体" w:hAnsi="宋体" w:eastAsia="宋体" w:cs="宋体"/>
          <w:color w:val="auto"/>
          <w:sz w:val="24"/>
          <w:highlight w:val="none"/>
          <w:u w:val="none"/>
        </w:rPr>
        <w:t>%向业主单位提供项目履约保证金。</w:t>
      </w:r>
      <w:r>
        <w:rPr>
          <w:rFonts w:hint="eastAsia" w:ascii="宋体" w:hAnsi="宋体" w:eastAsia="宋体" w:cs="宋体"/>
          <w:color w:val="auto"/>
          <w:kern w:val="2"/>
          <w:sz w:val="24"/>
          <w:highlight w:val="none"/>
        </w:rPr>
        <w:t>若为联合体投标，由承担</w:t>
      </w:r>
      <w:r>
        <w:rPr>
          <w:rFonts w:hint="eastAsia" w:ascii="宋体" w:hAnsi="宋体" w:eastAsia="宋体" w:cs="宋体"/>
          <w:color w:val="auto"/>
          <w:kern w:val="0"/>
          <w:sz w:val="24"/>
          <w:highlight w:val="none"/>
          <w:lang w:val="en-US" w:eastAsia="zh-CN"/>
        </w:rPr>
        <w:t>勘察</w:t>
      </w:r>
      <w:r>
        <w:rPr>
          <w:rFonts w:hint="eastAsia" w:ascii="宋体" w:hAnsi="宋体" w:eastAsia="宋体" w:cs="宋体"/>
          <w:color w:val="auto"/>
          <w:kern w:val="2"/>
          <w:sz w:val="24"/>
          <w:highlight w:val="none"/>
        </w:rPr>
        <w:t>任务的单位提供。</w:t>
      </w:r>
    </w:p>
    <w:p w14:paraId="173D2E32">
      <w:pPr>
        <w:pStyle w:val="6"/>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4.4.7.2</w:t>
      </w:r>
      <w:r>
        <w:rPr>
          <w:rFonts w:hint="eastAsia" w:ascii="宋体" w:hAnsi="宋体" w:eastAsia="宋体" w:cs="宋体"/>
          <w:color w:val="auto"/>
          <w:kern w:val="0"/>
          <w:sz w:val="24"/>
          <w:highlight w:val="none"/>
        </w:rPr>
        <w:t>提供履约担保的时间：签订合同后</w:t>
      </w:r>
      <w:r>
        <w:rPr>
          <w:rFonts w:hint="eastAsia" w:ascii="宋体" w:hAnsi="宋体" w:eastAsia="宋体" w:cs="宋体"/>
          <w:color w:val="auto"/>
          <w:kern w:val="0"/>
          <w:sz w:val="24"/>
          <w:highlight w:val="none"/>
          <w:lang w:val="en-US" w:eastAsia="zh-CN"/>
        </w:rPr>
        <w:t>30</w:t>
      </w:r>
      <w:r>
        <w:rPr>
          <w:rFonts w:hint="eastAsia" w:ascii="宋体" w:hAnsi="宋体" w:eastAsia="宋体" w:cs="宋体"/>
          <w:color w:val="auto"/>
          <w:kern w:val="0"/>
          <w:sz w:val="24"/>
          <w:highlight w:val="none"/>
        </w:rPr>
        <w:t>个日历天内，乙方（若承包人为联合体单位的，由联合体单位</w:t>
      </w:r>
      <w:r>
        <w:rPr>
          <w:rFonts w:hint="eastAsia" w:ascii="宋体" w:hAnsi="宋体" w:eastAsia="宋体" w:cs="宋体"/>
          <w:color w:val="auto"/>
          <w:kern w:val="2"/>
          <w:sz w:val="24"/>
          <w:highlight w:val="none"/>
        </w:rPr>
        <w:t>承担</w:t>
      </w:r>
      <w:r>
        <w:rPr>
          <w:rFonts w:hint="eastAsia" w:ascii="宋体" w:hAnsi="宋体" w:eastAsia="宋体" w:cs="宋体"/>
          <w:color w:val="auto"/>
          <w:kern w:val="0"/>
          <w:sz w:val="24"/>
          <w:highlight w:val="none"/>
          <w:lang w:val="en-US" w:eastAsia="zh-CN"/>
        </w:rPr>
        <w:t>勘察</w:t>
      </w:r>
      <w:r>
        <w:rPr>
          <w:rFonts w:hint="eastAsia" w:ascii="宋体" w:hAnsi="宋体" w:eastAsia="宋体" w:cs="宋体"/>
          <w:color w:val="auto"/>
          <w:kern w:val="2"/>
          <w:sz w:val="24"/>
          <w:highlight w:val="none"/>
        </w:rPr>
        <w:t>任务的单位</w:t>
      </w:r>
      <w:r>
        <w:rPr>
          <w:rFonts w:hint="eastAsia" w:ascii="宋体" w:hAnsi="宋体" w:eastAsia="宋体" w:cs="宋体"/>
          <w:color w:val="auto"/>
          <w:kern w:val="0"/>
          <w:sz w:val="24"/>
          <w:highlight w:val="none"/>
        </w:rPr>
        <w:t>提供）以履约保函方式向业主单位提供</w:t>
      </w:r>
      <w:r>
        <w:rPr>
          <w:rFonts w:hint="eastAsia" w:ascii="宋体" w:hAnsi="宋体" w:eastAsia="宋体" w:cs="宋体"/>
          <w:color w:val="auto"/>
          <w:kern w:val="0"/>
          <w:sz w:val="24"/>
          <w:highlight w:val="none"/>
          <w:lang w:val="en-US" w:eastAsia="zh-CN"/>
        </w:rPr>
        <w:t>一期</w:t>
      </w:r>
      <w:r>
        <w:rPr>
          <w:rFonts w:hint="eastAsia" w:ascii="宋体" w:hAnsi="宋体" w:eastAsia="宋体" w:cs="宋体"/>
          <w:color w:val="auto"/>
          <w:kern w:val="0"/>
          <w:sz w:val="24"/>
          <w:highlight w:val="none"/>
        </w:rPr>
        <w:t>中标金额（</w:t>
      </w:r>
      <w:r>
        <w:rPr>
          <w:rFonts w:hint="eastAsia" w:ascii="宋体" w:hAnsi="宋体" w:eastAsia="宋体" w:cs="宋体"/>
          <w:color w:val="auto"/>
          <w:kern w:val="0"/>
          <w:sz w:val="24"/>
          <w:highlight w:val="none"/>
          <w:lang w:val="en-US" w:eastAsia="zh-CN"/>
        </w:rPr>
        <w:t>勘察费</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lang w:val="en-US" w:eastAsia="zh-CN"/>
        </w:rPr>
        <w:t>10</w:t>
      </w:r>
      <w:r>
        <w:rPr>
          <w:rFonts w:hint="eastAsia" w:ascii="宋体" w:hAnsi="宋体" w:eastAsia="宋体" w:cs="宋体"/>
          <w:color w:val="auto"/>
          <w:kern w:val="0"/>
          <w:sz w:val="24"/>
          <w:highlight w:val="none"/>
        </w:rPr>
        <w:t>％</w:t>
      </w:r>
      <w:r>
        <w:rPr>
          <w:rFonts w:hint="eastAsia"/>
          <w:color w:val="auto"/>
          <w:highlight w:val="none"/>
          <w:lang w:val="en-US" w:eastAsia="zh-CN"/>
        </w:rPr>
        <w:t xml:space="preserve"> </w:t>
      </w:r>
      <w:r>
        <w:rPr>
          <w:rFonts w:hint="eastAsia" w:ascii="宋体" w:hAnsi="宋体" w:eastAsia="宋体" w:cs="宋体"/>
          <w:color w:val="auto"/>
          <w:kern w:val="0"/>
          <w:sz w:val="24"/>
          <w:highlight w:val="none"/>
        </w:rPr>
        <w:t>的履约保证金。</w:t>
      </w:r>
      <w:r>
        <w:rPr>
          <w:rFonts w:hint="eastAsia" w:ascii="宋体" w:hAnsi="宋体" w:eastAsia="宋体" w:cs="宋体"/>
          <w:color w:val="auto"/>
          <w:kern w:val="0"/>
          <w:sz w:val="24"/>
          <w:highlight w:val="none"/>
          <w:lang w:val="en-US" w:eastAsia="zh-CN"/>
        </w:rPr>
        <w:t>二期、三期以甲方向乙方发出该期勘察开工通知后15个日历天内，</w:t>
      </w:r>
      <w:r>
        <w:rPr>
          <w:rFonts w:hint="eastAsia" w:ascii="宋体" w:hAnsi="宋体" w:eastAsia="宋体" w:cs="宋体"/>
          <w:color w:val="auto"/>
          <w:kern w:val="0"/>
          <w:sz w:val="24"/>
          <w:highlight w:val="none"/>
        </w:rPr>
        <w:t>乙方（若承包人为联合体单位的，由联合体单位</w:t>
      </w:r>
      <w:r>
        <w:rPr>
          <w:rFonts w:hint="eastAsia" w:ascii="宋体" w:hAnsi="宋体" w:eastAsia="宋体" w:cs="宋体"/>
          <w:color w:val="auto"/>
          <w:kern w:val="2"/>
          <w:sz w:val="24"/>
          <w:highlight w:val="none"/>
        </w:rPr>
        <w:t>承担</w:t>
      </w:r>
      <w:r>
        <w:rPr>
          <w:rFonts w:hint="eastAsia" w:ascii="宋体" w:hAnsi="宋体" w:eastAsia="宋体" w:cs="宋体"/>
          <w:color w:val="auto"/>
          <w:kern w:val="0"/>
          <w:sz w:val="24"/>
          <w:highlight w:val="none"/>
          <w:lang w:val="en-US" w:eastAsia="zh-CN"/>
        </w:rPr>
        <w:t>勘察</w:t>
      </w:r>
      <w:r>
        <w:rPr>
          <w:rFonts w:hint="eastAsia" w:ascii="宋体" w:hAnsi="宋体" w:eastAsia="宋体" w:cs="宋体"/>
          <w:color w:val="auto"/>
          <w:kern w:val="2"/>
          <w:sz w:val="24"/>
          <w:highlight w:val="none"/>
        </w:rPr>
        <w:t>任务的单位</w:t>
      </w:r>
      <w:r>
        <w:rPr>
          <w:rFonts w:hint="eastAsia" w:ascii="宋体" w:hAnsi="宋体" w:eastAsia="宋体" w:cs="宋体"/>
          <w:color w:val="auto"/>
          <w:kern w:val="0"/>
          <w:sz w:val="24"/>
          <w:highlight w:val="none"/>
        </w:rPr>
        <w:t>提供）以履约保函方式向业主单位提供</w:t>
      </w:r>
      <w:r>
        <w:rPr>
          <w:rFonts w:hint="eastAsia" w:ascii="宋体" w:hAnsi="宋体" w:eastAsia="宋体" w:cs="宋体"/>
          <w:color w:val="auto"/>
          <w:kern w:val="0"/>
          <w:sz w:val="24"/>
          <w:highlight w:val="none"/>
          <w:lang w:val="en-US" w:eastAsia="zh-CN"/>
        </w:rPr>
        <w:t>该期</w:t>
      </w:r>
      <w:r>
        <w:rPr>
          <w:rFonts w:hint="eastAsia" w:ascii="宋体" w:hAnsi="宋体" w:eastAsia="宋体" w:cs="宋体"/>
          <w:color w:val="auto"/>
          <w:kern w:val="0"/>
          <w:sz w:val="24"/>
          <w:highlight w:val="none"/>
        </w:rPr>
        <w:t>中标金额（</w:t>
      </w:r>
      <w:r>
        <w:rPr>
          <w:rFonts w:hint="eastAsia" w:ascii="宋体" w:hAnsi="宋体" w:eastAsia="宋体" w:cs="宋体"/>
          <w:color w:val="auto"/>
          <w:kern w:val="0"/>
          <w:sz w:val="24"/>
          <w:highlight w:val="none"/>
          <w:lang w:val="en-US" w:eastAsia="zh-CN"/>
        </w:rPr>
        <w:t>勘察费</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lang w:val="en-US" w:eastAsia="zh-CN"/>
        </w:rPr>
        <w:t>10</w:t>
      </w:r>
      <w:r>
        <w:rPr>
          <w:rFonts w:hint="eastAsia" w:ascii="宋体" w:hAnsi="宋体" w:eastAsia="宋体" w:cs="宋体"/>
          <w:color w:val="auto"/>
          <w:kern w:val="0"/>
          <w:sz w:val="24"/>
          <w:highlight w:val="none"/>
        </w:rPr>
        <w:t>％</w:t>
      </w:r>
      <w:r>
        <w:rPr>
          <w:rFonts w:hint="eastAsia"/>
          <w:color w:val="auto"/>
          <w:highlight w:val="none"/>
          <w:lang w:val="en-US" w:eastAsia="zh-CN"/>
        </w:rPr>
        <w:t xml:space="preserve"> </w:t>
      </w:r>
      <w:r>
        <w:rPr>
          <w:rFonts w:hint="eastAsia" w:ascii="宋体" w:hAnsi="宋体" w:eastAsia="宋体" w:cs="宋体"/>
          <w:color w:val="auto"/>
          <w:kern w:val="0"/>
          <w:sz w:val="24"/>
          <w:highlight w:val="none"/>
        </w:rPr>
        <w:t>的履约保证金。</w:t>
      </w:r>
    </w:p>
    <w:p w14:paraId="4BF534A7">
      <w:pPr>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en-US" w:eastAsia="zh-CN"/>
        </w:rPr>
        <w:t>4.4.7.3</w:t>
      </w:r>
      <w:r>
        <w:rPr>
          <w:rFonts w:hint="eastAsia" w:ascii="宋体" w:hAnsi="宋体" w:eastAsia="宋体" w:cs="宋体"/>
          <w:color w:val="auto"/>
          <w:kern w:val="0"/>
          <w:sz w:val="24"/>
          <w:highlight w:val="none"/>
        </w:rPr>
        <w:t>出具履约保函的担保人：</w:t>
      </w:r>
      <w:r>
        <w:rPr>
          <w:rFonts w:hint="eastAsia" w:ascii="宋体" w:hAnsi="宋体" w:eastAsia="宋体" w:cs="宋体"/>
          <w:color w:val="auto"/>
          <w:kern w:val="0"/>
          <w:sz w:val="24"/>
          <w:highlight w:val="none"/>
          <w:u w:val="single"/>
        </w:rPr>
        <w:t>原则要求在中国注册且营业地点在广州行政辖区内的银行或甲方认可的担保机构开具，且是不可撤销、见索即付的银行保函。</w:t>
      </w:r>
    </w:p>
    <w:p w14:paraId="1BA8B78F">
      <w:pPr>
        <w:spacing w:line="360" w:lineRule="auto"/>
        <w:ind w:firstLine="480" w:firstLineChars="200"/>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4.4.7.4</w:t>
      </w:r>
      <w:r>
        <w:rPr>
          <w:rFonts w:hint="eastAsia" w:ascii="宋体" w:hAnsi="宋体" w:eastAsia="宋体" w:cs="宋体"/>
          <w:color w:val="auto"/>
          <w:kern w:val="0"/>
          <w:sz w:val="24"/>
          <w:highlight w:val="none"/>
        </w:rPr>
        <w:t>履约保证金退还时间</w:t>
      </w:r>
      <w:r>
        <w:rPr>
          <w:rFonts w:hint="eastAsia" w:ascii="宋体" w:hAnsi="宋体" w:eastAsia="宋体" w:cs="宋体"/>
          <w:color w:val="auto"/>
          <w:kern w:val="0"/>
          <w:sz w:val="24"/>
          <w:highlight w:val="none"/>
          <w:lang w:val="en-US" w:eastAsia="zh-CN"/>
        </w:rPr>
        <w:t>/保函有效期</w:t>
      </w:r>
      <w:r>
        <w:rPr>
          <w:rFonts w:hint="eastAsia" w:ascii="宋体" w:hAnsi="宋体" w:eastAsia="宋体" w:cs="宋体"/>
          <w:color w:val="auto"/>
          <w:kern w:val="0"/>
          <w:sz w:val="24"/>
          <w:highlight w:val="none"/>
        </w:rPr>
        <w:t>：银行保函的有效期至少应至</w:t>
      </w:r>
      <w:r>
        <w:rPr>
          <w:rFonts w:hint="eastAsia" w:ascii="宋体" w:hAnsi="宋体" w:eastAsia="宋体" w:cs="宋体"/>
          <w:color w:val="auto"/>
          <w:kern w:val="0"/>
          <w:sz w:val="24"/>
          <w:highlight w:val="none"/>
          <w:lang w:val="en-US" w:eastAsia="zh-CN"/>
        </w:rPr>
        <w:t>每期</w:t>
      </w:r>
      <w:r>
        <w:rPr>
          <w:rFonts w:hint="eastAsia" w:ascii="宋体" w:hAnsi="宋体" w:eastAsia="宋体" w:cs="宋体"/>
          <w:color w:val="auto"/>
          <w:kern w:val="0"/>
          <w:sz w:val="24"/>
          <w:highlight w:val="none"/>
        </w:rPr>
        <w:t>工程</w:t>
      </w:r>
      <w:r>
        <w:rPr>
          <w:rFonts w:hint="eastAsia" w:ascii="宋体" w:hAnsi="宋体" w:eastAsia="宋体" w:cs="宋体"/>
          <w:color w:val="auto"/>
          <w:kern w:val="0"/>
          <w:sz w:val="24"/>
          <w:highlight w:val="none"/>
          <w:lang w:val="en-US" w:eastAsia="zh-CN"/>
        </w:rPr>
        <w:t>完勘察报告，勘察报告通过施工图审查机构审查后</w:t>
      </w:r>
      <w:r>
        <w:rPr>
          <w:rFonts w:hint="eastAsia" w:ascii="宋体" w:hAnsi="宋体" w:eastAsia="宋体" w:cs="宋体"/>
          <w:color w:val="auto"/>
          <w:kern w:val="0"/>
          <w:sz w:val="24"/>
          <w:highlight w:val="none"/>
        </w:rPr>
        <w:t>，保函内容应由甲方确认，提供履约担保所发生的费用由乙方承担。在提交结算资料后28</w:t>
      </w:r>
      <w:r>
        <w:rPr>
          <w:rFonts w:hint="eastAsia" w:ascii="宋体" w:hAnsi="宋体" w:eastAsia="宋体" w:cs="宋体"/>
          <w:color w:val="auto"/>
          <w:kern w:val="0"/>
          <w:sz w:val="24"/>
          <w:highlight w:val="none"/>
          <w:lang w:val="en-US" w:eastAsia="zh-CN"/>
        </w:rPr>
        <w:t>日历</w:t>
      </w:r>
      <w:r>
        <w:rPr>
          <w:rFonts w:hint="eastAsia" w:ascii="宋体" w:hAnsi="宋体" w:eastAsia="宋体" w:cs="宋体"/>
          <w:color w:val="auto"/>
          <w:kern w:val="0"/>
          <w:sz w:val="24"/>
          <w:highlight w:val="none"/>
        </w:rPr>
        <w:t>天内，由乙方提出申请，经监理人和甲方同意，退回履约担保。</w:t>
      </w:r>
      <w:r>
        <w:rPr>
          <w:rFonts w:hint="eastAsia" w:ascii="宋体" w:hAnsi="宋体" w:eastAsia="宋体" w:cs="宋体"/>
          <w:color w:val="auto"/>
          <w:kern w:val="0"/>
          <w:sz w:val="24"/>
          <w:highlight w:val="none"/>
          <w:lang w:val="en-US" w:eastAsia="zh-CN"/>
        </w:rPr>
        <w:t>如乙方现金方式支付履约保证金，则甲方无息退还履约保证金。</w:t>
      </w:r>
    </w:p>
    <w:p w14:paraId="2F7A72C2">
      <w:pPr>
        <w:pStyle w:val="17"/>
        <w:ind w:firstLine="720"/>
        <w:rPr>
          <w:rFonts w:hint="default" w:ascii="宋体" w:hAnsi="宋体" w:eastAsia="宋体" w:cs="宋体"/>
          <w:color w:val="auto"/>
          <w:kern w:val="0"/>
          <w:sz w:val="24"/>
          <w:highlight w:val="none"/>
          <w:lang w:val="en-US" w:eastAsia="zh-CN"/>
        </w:rPr>
      </w:pPr>
    </w:p>
    <w:p w14:paraId="65978782">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第五条  甲方和乙方责任</w:t>
      </w:r>
    </w:p>
    <w:p w14:paraId="1F69BF0B">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5.1甲方责任</w:t>
      </w:r>
    </w:p>
    <w:p w14:paraId="12448F78">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5.1.1甲方委托任务时，必须以书面形式向乙方明确勘察任务及技术要求，审定乙方的勘察方案并按第二条规定提供文件资料。</w:t>
      </w:r>
    </w:p>
    <w:p w14:paraId="6853FF4C">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5.1.2若勘察现场需要看守，特别是在有毒、有害等危险现场作业时，甲方应协助安全保卫工作，乙方按有关规定对从事危险作业的现场人员进行保健防护，发生的人身损害等责任由乙方承担，甲方不承担任何责任。</w:t>
      </w:r>
    </w:p>
    <w:p w14:paraId="1FD88CF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5.1.3工程勘察现场作业所需一切材料、人员配合等均由乙方负责，所需费用已包含在投标报价中。</w:t>
      </w:r>
    </w:p>
    <w:p w14:paraId="48ECFA53">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5.1.4勘察过程中乙方提出的变更，经办理正式变更手续后，甲方应支付增加工程量的费用。工程量减少的，按实际工程量计算费用，甲方不补偿乙方任何费用。</w:t>
      </w:r>
    </w:p>
    <w:p w14:paraId="3344A1E9">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5.1.5由于甲方原因造成乙方停、窝工，工期顺延，顺延的时间应经双方确认，但不补偿乙方任何费用。</w:t>
      </w:r>
    </w:p>
    <w:p w14:paraId="117F9EF8">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5.2乙方责任</w:t>
      </w:r>
    </w:p>
    <w:p w14:paraId="2EF5E02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5.2.1乙方应按国家技术规范、标准、规程、本合同的约定和任务委托书、技术要求及经甲方审定的勘察方案进行工程勘察，</w:t>
      </w:r>
      <w:r>
        <w:rPr>
          <w:rFonts w:hint="eastAsia" w:ascii="宋体" w:hAnsi="宋体" w:eastAsia="宋体" w:cs="宋体"/>
          <w:color w:val="auto"/>
          <w:sz w:val="24"/>
          <w:highlight w:val="none"/>
          <w:lang w:eastAsia="zh-CN"/>
        </w:rPr>
        <w:t>乙方应尽谨慎、认真义务，</w:t>
      </w:r>
      <w:r>
        <w:rPr>
          <w:rFonts w:hint="eastAsia" w:ascii="宋体" w:hAnsi="宋体" w:eastAsia="宋体" w:cs="宋体"/>
          <w:color w:val="auto"/>
          <w:sz w:val="24"/>
          <w:highlight w:val="none"/>
        </w:rPr>
        <w:t>按本合同规定的时间提交质量合格的勘察成果，并对其负责。</w:t>
      </w:r>
    </w:p>
    <w:p w14:paraId="4A88E61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5.2.2所有岩样均应放入统一规格的岩样盒内，岩样盒上应注明钻孔编号，各岩性变化处均应标明相应深度，并现场拍照，上述图片均应附在勘察报告中。</w:t>
      </w:r>
    </w:p>
    <w:p w14:paraId="5754B83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5.2.3乙方应加强钻探现场岩样的保护工作，未经甲方或甲方指定人员现场查验，不得自行处理。</w:t>
      </w:r>
    </w:p>
    <w:p w14:paraId="108F2BAB">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5.2.4乙方自行解决勘察现场的工作条件和存在问题，产生的费用、责任由乙方自行承担。</w:t>
      </w:r>
    </w:p>
    <w:p w14:paraId="620267E6">
      <w:pPr>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5.2.5由于乙方提供的勘察成果资料质量不合格，乙方应负责无偿给予补充完善，按甲方要求期限使其达到质量合格标准；若乙方无力补充完善，需另委托其他单位时，乙方应承担委托其他单位的全部勘察费用</w:t>
      </w:r>
      <w:r>
        <w:rPr>
          <w:rFonts w:hint="eastAsia" w:ascii="宋体" w:hAnsi="宋体" w:eastAsia="宋体" w:cs="宋体"/>
          <w:color w:val="auto"/>
          <w:sz w:val="24"/>
          <w:highlight w:val="none"/>
          <w:lang w:eastAsia="zh-CN"/>
        </w:rPr>
        <w:t>，乙方还要按照合同金额的10%支付违约金</w:t>
      </w:r>
      <w:r>
        <w:rPr>
          <w:rFonts w:hint="eastAsia" w:ascii="宋体" w:hAnsi="宋体" w:eastAsia="宋体" w:cs="宋体"/>
          <w:color w:val="auto"/>
          <w:sz w:val="24"/>
          <w:highlight w:val="none"/>
        </w:rPr>
        <w:t>；或因勘察质量造成重大经济损失或工程事故时，乙方除应负法律责任和扣除直接受损失部分的勘察费外，</w:t>
      </w:r>
      <w:r>
        <w:rPr>
          <w:rFonts w:hint="eastAsia" w:ascii="宋体" w:hAnsi="宋体" w:eastAsia="宋体" w:cs="宋体"/>
          <w:color w:val="auto"/>
          <w:sz w:val="24"/>
          <w:highlight w:val="none"/>
          <w:lang w:val="en-US" w:eastAsia="zh-CN"/>
        </w:rPr>
        <w:t>乙方还需要承担修复责任，并按照受损部分勘察费的100%支付违约金且不低于10万元。</w:t>
      </w:r>
    </w:p>
    <w:p w14:paraId="1D5A6480">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5.2.6在工程勘察前，乙方与甲方一起验收甲方提供的资料。</w:t>
      </w:r>
    </w:p>
    <w:p w14:paraId="793D7C1C">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5.2.7勘察过程中，根据工程的岩土工程条件（或工作现场地形地貌、水文地质条件）及技术规范要求，向甲方提出增减工作量或修改勘察工作的意见，经批准后办理正式变更手续。</w:t>
      </w:r>
    </w:p>
    <w:p w14:paraId="4B24066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5.2.8完成勘察范围内地下已有埋藏物（如电力、电讯电缆、各种管道、人防设施、洞室等）以及架空线路、水渠以及电力工程电塔的相关资料和具体位置分布图。</w:t>
      </w:r>
    </w:p>
    <w:p w14:paraId="067B512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5.2.9在现场工作的乙方的人员应遵守甲方的安全保卫及其有关的规章制度，承担有关资料保密义务。</w:t>
      </w:r>
    </w:p>
    <w:p w14:paraId="0E87E140">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5.2.10勘察费用中已包括临时占用土地、青苗、树木赔偿费、交通工具费用及影响勘察施工正常进行发生的其他一切费用，甲方无需再支付费用。</w:t>
      </w:r>
    </w:p>
    <w:p w14:paraId="17A49BC3">
      <w:pPr>
        <w:pStyle w:val="15"/>
        <w:spacing w:line="360" w:lineRule="auto"/>
        <w:ind w:firstLine="42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5.2.11在工程实施过程中，若遇特殊情况需要补充勘察的，乙方应根据设计要求进行补充勘察，计费标准按本合同约定，但设备进退场费不予计算。</w:t>
      </w:r>
    </w:p>
    <w:p w14:paraId="1CB7E29A">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5.2.12工程勘察和主体工程施工过程中，根据需要参加现场协调会、专家论证会、单项或分项验收，乙方应派项目主要负责人按时参加，并提出专业技术意见。</w:t>
      </w:r>
    </w:p>
    <w:p w14:paraId="5D24BD4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5.2.13本合同有关条款规定乙方应负的责任。</w:t>
      </w:r>
    </w:p>
    <w:p w14:paraId="6827314B">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5.2.14乙方自行负责相关人员的安全保障工作，并承担全部责任。如乙方及乙方人员造成甲方或其他第三方人身财产损失的，乙方承担全部责任，与甲方无关。</w:t>
      </w:r>
    </w:p>
    <w:p w14:paraId="13DF937C">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5.2.15乙方应具备相应勘察资质，不得擅自转包或分包勘察任务。乙方勘察人员必须与本合同附件3.1本项目人员架构表一致，更换人员或人员不到位，未经乙方批准的，按每人</w:t>
      </w:r>
      <w:r>
        <w:rPr>
          <w:rFonts w:hint="eastAsia" w:ascii="宋体" w:hAnsi="宋体" w:eastAsia="宋体" w:cs="宋体"/>
          <w:color w:val="auto"/>
          <w:sz w:val="24"/>
          <w:highlight w:val="none"/>
          <w:u w:val="single"/>
        </w:rPr>
        <w:t>2万元</w:t>
      </w:r>
      <w:r>
        <w:rPr>
          <w:rFonts w:hint="eastAsia" w:ascii="宋体" w:hAnsi="宋体" w:eastAsia="宋体" w:cs="宋体"/>
          <w:color w:val="auto"/>
          <w:sz w:val="24"/>
          <w:highlight w:val="none"/>
        </w:rPr>
        <w:t>由甲方收取违约金，在请款中直接扣除。甲方认为乙方不称职的人员，在甲方通知的次日无条件更换。</w:t>
      </w:r>
    </w:p>
    <w:p w14:paraId="2D2AF490">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5.2.16乙方自行负责勘察工具及相关施工用料，费用由乙方承担。</w:t>
      </w:r>
    </w:p>
    <w:p w14:paraId="22EF7B6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5.2.17乙方应根据《关于加强地铁控制保护区内工程勘探及地下工程管理的通知》(穗建技〔2012〕1433号)规定，在开展勘察工作前到市地铁设施保护办公室办理相关手续。　</w:t>
      </w:r>
    </w:p>
    <w:p w14:paraId="30A05621">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第六条  违约责任</w:t>
      </w:r>
    </w:p>
    <w:p w14:paraId="0BD4260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6.1由于甲方的原因造成停、窝工，甲方应将工期按实际受影响的时间顺延。</w:t>
      </w:r>
    </w:p>
    <w:p w14:paraId="167882B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6.2由于乙方原因造成勘察成果资料质量不合格或该勘察成果不能满足技术要求及现场施工要求的，其返工勘察费用及连带责任由乙方承担。</w:t>
      </w:r>
    </w:p>
    <w:p w14:paraId="1FED9DDC">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6.3乙方未按时按质提供勘察成果资料的，每延误一天，甲方有权按暂定勘察合同价格的1‰收取逾期违约金，甲方有权从应付款项中直接扣减逾期违约金，不足部分由乙方另行支付。</w:t>
      </w:r>
    </w:p>
    <w:p w14:paraId="145569CE">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6.4本合同履行期间，乙方的勘察成果质量不符合合同约定或勘察成果文件出现遗漏、错误的，乙方应在甲方规定的限期内对成果文件及时进行补充、修改、完善；因此造成成果文件逾期交付的，按本条第6.3款的约定处理。除误期损失外，造成甲方材料、设备等其他损失的，乙方应继续赔偿。</w:t>
      </w:r>
    </w:p>
    <w:p w14:paraId="4D7AD078">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6.5合同履行期间，由于工程停建而终止合同或甲方要求解除合同时，乙方未进行勘察工作的，甲方不支付任何补偿费用。已进行勘察工作的，按实际完成的工作量向乙方支付勘察费</w:t>
      </w:r>
      <w:r>
        <w:rPr>
          <w:rFonts w:hint="eastAsia" w:ascii="宋体" w:hAnsi="宋体" w:eastAsia="宋体" w:cs="宋体"/>
          <w:color w:val="auto"/>
          <w:sz w:val="24"/>
          <w:highlight w:val="none"/>
          <w:lang w:eastAsia="zh-CN"/>
        </w:rPr>
        <w:t>，双方按照实际工作量结算，多除少补</w:t>
      </w:r>
      <w:r>
        <w:rPr>
          <w:rFonts w:hint="eastAsia" w:ascii="宋体" w:hAnsi="宋体" w:eastAsia="宋体" w:cs="宋体"/>
          <w:color w:val="auto"/>
          <w:sz w:val="24"/>
          <w:highlight w:val="none"/>
        </w:rPr>
        <w:t>。</w:t>
      </w:r>
    </w:p>
    <w:p w14:paraId="3430935D">
      <w:pPr>
        <w:pStyle w:val="6"/>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6.6 本合同签订后，甲方无正当理由不履行合同时，无权要求返还已支付的勘察费用；乙方不履行合同时，已经完成的工作成果归甲方，乙方须退还甲方已经支付的勘察费，</w:t>
      </w:r>
      <w:r>
        <w:rPr>
          <w:rFonts w:hint="eastAsia" w:ascii="宋体" w:hAnsi="宋体" w:eastAsia="宋体" w:cs="宋体"/>
          <w:color w:val="auto"/>
          <w:sz w:val="24"/>
          <w:highlight w:val="none"/>
          <w:lang w:val="en-US" w:eastAsia="zh-CN"/>
        </w:rPr>
        <w:t>还须</w:t>
      </w:r>
      <w:r>
        <w:rPr>
          <w:rFonts w:hint="eastAsia" w:ascii="宋体" w:hAnsi="宋体" w:eastAsia="宋体" w:cs="宋体"/>
          <w:color w:val="auto"/>
          <w:sz w:val="24"/>
          <w:highlight w:val="none"/>
        </w:rPr>
        <w:t>支付暂定勘察合同总价20%的违约金给甲方。</w:t>
      </w:r>
    </w:p>
    <w:p w14:paraId="355B273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6.7乙方提交的设计成果文件如有违反国家相关强制性规定的，经政府有关部门确认，每发生1例，须支付暂定勘察合同总价3%的违约金给甲方。</w:t>
      </w:r>
    </w:p>
    <w:p w14:paraId="33DAE51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6.8如经过甲方、施工图审查单位或甲方委托的第三方对设计变更的审核，发现乙方违反合同约定对设计变更随意进行合并、分拆的，每发生1例，须支付暂定勘察合同总价3%的违约金给甲方。</w:t>
      </w:r>
    </w:p>
    <w:p w14:paraId="7889D5D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6.9如乙方的勘察成果文件中含有明显倾向于某一专门厂商生产的设备、材料的描述，或在其成果文件中选用了具有专一性、排他性的材料、设备而又未事先向甲方书面报告并详细说明理由的，每违反一次，支付暂定勘察合同总价3%的违约金给甲方。</w:t>
      </w:r>
    </w:p>
    <w:p w14:paraId="36660025">
      <w:pPr>
        <w:spacing w:line="360" w:lineRule="auto"/>
        <w:ind w:firstLine="480" w:firstLineChars="200"/>
        <w:rPr>
          <w:rFonts w:hint="eastAsia" w:ascii="宋体" w:hAnsi="宋体" w:eastAsia="宋体" w:cs="宋体"/>
          <w:color w:val="auto"/>
          <w:sz w:val="24"/>
          <w:highlight w:val="none"/>
        </w:rPr>
      </w:pPr>
      <w:bookmarkStart w:id="13" w:name="_Hlk48574668"/>
      <w:r>
        <w:rPr>
          <w:rFonts w:hint="eastAsia" w:ascii="宋体" w:hAnsi="宋体" w:eastAsia="宋体" w:cs="宋体"/>
          <w:color w:val="auto"/>
          <w:sz w:val="24"/>
          <w:highlight w:val="none"/>
        </w:rPr>
        <w:t>6.10如果由于乙方原因造成甲方在测量、测绘及后续工作中产生损失，则乙方对此承担全部责任及连带责任，如需复测等相关费用及连带责任损失均由乙方承担赔偿。</w:t>
      </w:r>
      <w:bookmarkEnd w:id="13"/>
    </w:p>
    <w:p w14:paraId="11CB91B6">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6.11 乙方未履行本合同约定的其他义务，经甲方催促仍不整改的，甲方有权按照合同价款的</w:t>
      </w:r>
      <w:r>
        <w:rPr>
          <w:rFonts w:hint="eastAsia" w:ascii="宋体" w:hAnsi="宋体" w:eastAsia="宋体" w:cs="宋体"/>
          <w:color w:val="auto"/>
          <w:sz w:val="24"/>
          <w:highlight w:val="none"/>
        </w:rPr>
        <w:t>1‰收取逾期违约金</w:t>
      </w:r>
      <w:r>
        <w:rPr>
          <w:rFonts w:hint="eastAsia" w:ascii="宋体" w:hAnsi="宋体" w:eastAsia="宋体" w:cs="宋体"/>
          <w:color w:val="auto"/>
          <w:sz w:val="24"/>
          <w:highlight w:val="none"/>
          <w:lang w:eastAsia="zh-CN"/>
        </w:rPr>
        <w:t>，直至整改完毕，情节严重的，甲方有权解除合同，按照本合同第</w:t>
      </w:r>
      <w:r>
        <w:rPr>
          <w:rFonts w:hint="eastAsia" w:ascii="宋体" w:hAnsi="宋体" w:eastAsia="宋体" w:cs="宋体"/>
          <w:color w:val="auto"/>
          <w:sz w:val="24"/>
          <w:highlight w:val="none"/>
          <w:lang w:val="en-US" w:eastAsia="zh-CN"/>
        </w:rPr>
        <w:t>6.6条执行。</w:t>
      </w:r>
    </w:p>
    <w:p w14:paraId="1E00B87E">
      <w:pPr>
        <w:tabs>
          <w:tab w:val="left" w:pos="1947"/>
          <w:tab w:val="left" w:pos="4318"/>
          <w:tab w:val="left" w:pos="6042"/>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第七条、争议的解决</w:t>
      </w:r>
      <w:r>
        <w:rPr>
          <w:rFonts w:ascii="宋体" w:hAnsi="宋体" w:eastAsia="宋体" w:cs="宋体"/>
          <w:color w:val="auto"/>
          <w:sz w:val="24"/>
          <w:highlight w:val="none"/>
        </w:rPr>
        <w:t>和其他约定</w:t>
      </w:r>
    </w:p>
    <w:p w14:paraId="5046B4C0">
      <w:pPr>
        <w:tabs>
          <w:tab w:val="left" w:pos="1947"/>
          <w:tab w:val="left" w:pos="4318"/>
          <w:tab w:val="left" w:pos="6042"/>
        </w:tabs>
        <w:spacing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 、</w:t>
      </w:r>
      <w:r>
        <w:rPr>
          <w:rFonts w:hint="eastAsia" w:ascii="宋体" w:hAnsi="宋体" w:eastAsia="宋体" w:cs="宋体"/>
          <w:color w:val="auto"/>
          <w:sz w:val="24"/>
          <w:highlight w:val="none"/>
        </w:rPr>
        <w:t>合同执行过程中双方如有争议，应友好协商解决，协商不成，</w:t>
      </w:r>
      <w:r>
        <w:rPr>
          <w:rFonts w:ascii="宋体" w:hAnsi="宋体" w:eastAsia="宋体" w:cs="宋体"/>
          <w:color w:val="auto"/>
          <w:sz w:val="24"/>
          <w:highlight w:val="none"/>
        </w:rPr>
        <w:t>应向广州市番禺区人民法院提起诉讼解决。</w:t>
      </w:r>
    </w:p>
    <w:p w14:paraId="104ABB1A">
      <w:pPr>
        <w:tabs>
          <w:tab w:val="left" w:pos="1947"/>
          <w:tab w:val="left" w:pos="4318"/>
          <w:tab w:val="left" w:pos="6042"/>
        </w:tabs>
        <w:spacing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xml:space="preserve">2、本勘察部分合同自项目缺陷通知期届满且期间未出现任何缺陷时终止。 </w:t>
      </w:r>
    </w:p>
    <w:p w14:paraId="6FBA7F9B">
      <w:pPr>
        <w:spacing w:before="201" w:beforeLines="84" w:after="240" w:afterLines="100"/>
        <w:jc w:val="both"/>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216365B1">
      <w:pPr>
        <w:pStyle w:val="81"/>
        <w:spacing w:before="201" w:beforeLines="84" w:after="240" w:afterLines="100"/>
        <w:rPr>
          <w:rFonts w:hint="eastAsia" w:ascii="宋体" w:hAnsi="宋体" w:eastAsia="宋体" w:cs="宋体"/>
          <w:b/>
          <w:bCs w:val="0"/>
          <w:color w:val="auto"/>
          <w:highlight w:val="none"/>
        </w:rPr>
      </w:pPr>
      <w:r>
        <w:rPr>
          <w:rFonts w:hint="eastAsia" w:ascii="宋体" w:hAnsi="宋体" w:eastAsia="宋体" w:cs="宋体"/>
          <w:b/>
          <w:bCs w:val="0"/>
          <w:color w:val="auto"/>
          <w:highlight w:val="none"/>
        </w:rPr>
        <w:t>第三篇</w:t>
      </w:r>
      <w:r>
        <w:rPr>
          <w:rFonts w:hint="eastAsia" w:ascii="宋体" w:hAnsi="宋体" w:eastAsia="宋体" w:cs="宋体"/>
          <w:b/>
          <w:bCs w:val="0"/>
          <w:color w:val="auto"/>
          <w:highlight w:val="none"/>
        </w:rPr>
        <w:tab/>
      </w:r>
      <w:r>
        <w:rPr>
          <w:rFonts w:hint="eastAsia" w:ascii="宋体" w:hAnsi="宋体" w:eastAsia="宋体" w:cs="宋体"/>
          <w:b/>
          <w:bCs w:val="0"/>
          <w:color w:val="auto"/>
          <w:highlight w:val="none"/>
        </w:rPr>
        <w:t>工程设计合同条款</w:t>
      </w:r>
    </w:p>
    <w:p w14:paraId="22AA6DB2">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第一条　签订依据</w:t>
      </w:r>
    </w:p>
    <w:p w14:paraId="2012E87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 《中华人民共和国民法典》、《中华人民共和国建筑法》、《建设工程勘察设计管理条例》、《建设工程质量管理条例》和《工程勘察设计收费标准（2002年修订本）》。</w:t>
      </w:r>
    </w:p>
    <w:p w14:paraId="709FED3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 国家及地方有关建设工程勘察设计管理法规和规章。</w:t>
      </w:r>
    </w:p>
    <w:p w14:paraId="1B8440B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 建设工程批准文件。</w:t>
      </w:r>
    </w:p>
    <w:p w14:paraId="7F809C3C">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第二条　设计依据</w:t>
      </w:r>
    </w:p>
    <w:p w14:paraId="1BEB886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甲方给乙方的委托书或设计中标文件。</w:t>
      </w:r>
    </w:p>
    <w:p w14:paraId="67271BF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甲方提交的基础资料及工程技术要求。</w:t>
      </w:r>
    </w:p>
    <w:p w14:paraId="5E1EE54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 国家现行的有关技术规范及标准要求。</w:t>
      </w:r>
    </w:p>
    <w:p w14:paraId="51A95D46">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第三条</w:t>
      </w:r>
      <w:r>
        <w:rPr>
          <w:rFonts w:hint="eastAsia" w:ascii="宋体" w:hAnsi="宋体" w:eastAsia="宋体" w:cs="宋体"/>
          <w:color w:val="auto"/>
          <w:sz w:val="24"/>
          <w:highlight w:val="none"/>
        </w:rPr>
        <w:t>　</w:t>
      </w:r>
      <w:r>
        <w:rPr>
          <w:rFonts w:hint="eastAsia" w:ascii="宋体" w:hAnsi="宋体" w:eastAsia="宋体" w:cs="宋体"/>
          <w:b/>
          <w:color w:val="auto"/>
          <w:sz w:val="24"/>
          <w:highlight w:val="none"/>
        </w:rPr>
        <w:t>合同文件的优先次序</w:t>
      </w:r>
    </w:p>
    <w:p w14:paraId="7DD7916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详见第一篇合同协议书</w:t>
      </w:r>
      <w:r>
        <w:rPr>
          <w:rFonts w:hint="eastAsia" w:ascii="宋体" w:hAnsi="宋体" w:eastAsia="宋体" w:cs="宋体"/>
          <w:color w:val="auto"/>
          <w:sz w:val="24"/>
          <w:highlight w:val="none"/>
        </w:rPr>
        <w:t>。</w:t>
      </w:r>
    </w:p>
    <w:p w14:paraId="095CEFF0">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第四条</w:t>
      </w:r>
      <w:r>
        <w:rPr>
          <w:rFonts w:hint="eastAsia" w:ascii="宋体" w:hAnsi="宋体" w:eastAsia="宋体" w:cs="宋体"/>
          <w:color w:val="auto"/>
          <w:sz w:val="24"/>
          <w:highlight w:val="none"/>
        </w:rPr>
        <w:t>　</w:t>
      </w:r>
      <w:r>
        <w:rPr>
          <w:rFonts w:hint="eastAsia" w:ascii="宋体" w:hAnsi="宋体" w:eastAsia="宋体" w:cs="宋体"/>
          <w:b/>
          <w:color w:val="auto"/>
          <w:sz w:val="24"/>
          <w:highlight w:val="none"/>
        </w:rPr>
        <w:t>项目概况、设计工作范围及设计内容</w:t>
      </w:r>
    </w:p>
    <w:p w14:paraId="7A604BA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包括但不限于</w:t>
      </w:r>
      <w:r>
        <w:rPr>
          <w:rFonts w:hint="eastAsia" w:ascii="宋体" w:hAnsi="宋体" w:eastAsia="宋体" w:cs="宋体"/>
          <w:b/>
          <w:color w:val="auto"/>
          <w:sz w:val="24"/>
          <w:highlight w:val="none"/>
          <w:u w:val="single"/>
        </w:rPr>
        <w:t>附件十 勘察设计任务书</w:t>
      </w:r>
      <w:r>
        <w:rPr>
          <w:rFonts w:hint="eastAsia" w:ascii="宋体" w:hAnsi="宋体" w:eastAsia="宋体" w:cs="宋体"/>
          <w:color w:val="auto"/>
          <w:sz w:val="24"/>
          <w:highlight w:val="none"/>
        </w:rPr>
        <w:t>要求设计工作范围和内容。</w:t>
      </w:r>
    </w:p>
    <w:p w14:paraId="1ECB2562">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4.1项目概况：</w:t>
      </w:r>
      <w:r>
        <w:rPr>
          <w:rFonts w:hint="eastAsia" w:ascii="宋体" w:hAnsi="宋体" w:eastAsia="宋体" w:cs="宋体"/>
          <w:color w:val="auto"/>
          <w:sz w:val="24"/>
          <w:highlight w:val="none"/>
          <w:u w:val="single"/>
        </w:rPr>
        <w:t>详见第一篇合同协议书</w:t>
      </w:r>
      <w:r>
        <w:rPr>
          <w:rFonts w:hint="eastAsia" w:ascii="宋体" w:hAnsi="宋体" w:eastAsia="宋体" w:cs="宋体"/>
          <w:color w:val="auto"/>
          <w:sz w:val="24"/>
          <w:highlight w:val="none"/>
        </w:rPr>
        <w:t>。</w:t>
      </w:r>
    </w:p>
    <w:p w14:paraId="74038E7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4.2本项目实行设计总承包，乙方的设计范围包括但不限于：</w:t>
      </w:r>
    </w:p>
    <w:p w14:paraId="6EEED99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4.2.1负责以下工作并提交相关文件：方案及深化、方案估算、方案审查及专家技术论证；初步设计、概算编制（要达到施工图预算深度）、施工图设计、出具设计变更图并附变更清单等。</w:t>
      </w:r>
    </w:p>
    <w:p w14:paraId="4D45655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4.2.2负责配合甲方开展报建报批并提交相关文件，根据需要，提交包括但不限于以下文件：总平面规划、管线综合规划、专业报建、造价咨询单位概算审核、施工图审查及备案（含节能）；招标、配合测量勘察、规划报批等各项工作相关文件；</w:t>
      </w:r>
      <w:r>
        <w:rPr>
          <w:rFonts w:hint="eastAsia" w:ascii="宋体" w:hAnsi="宋体" w:eastAsia="宋体" w:cs="宋体"/>
          <w:color w:val="auto"/>
          <w:sz w:val="24"/>
          <w:highlight w:val="none"/>
          <w:u w:val="single"/>
        </w:rPr>
        <w:t>配合完成各专业竣工图编制及盖章工作（资料满足验收通过）</w:t>
      </w:r>
      <w:r>
        <w:rPr>
          <w:rFonts w:hint="eastAsia" w:ascii="宋体" w:hAnsi="宋体" w:eastAsia="宋体" w:cs="宋体"/>
          <w:color w:val="auto"/>
          <w:sz w:val="24"/>
          <w:highlight w:val="none"/>
        </w:rPr>
        <w:t>。</w:t>
      </w:r>
    </w:p>
    <w:p w14:paraId="08ED3FD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4.2.3负责专业设计，具体按甲方要求。</w:t>
      </w:r>
    </w:p>
    <w:p w14:paraId="4BCB78F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4.2.4配合工程各项验收；设计图修改、工程变更设计应办理的手续；需要深化设计的内容应审核并确认。由施工分包方完成深化设计，乙方成员方设计单位最终审核并确认。</w:t>
      </w:r>
    </w:p>
    <w:p w14:paraId="7F9EB33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4.2.5负责本项目施工设计方面的配合工作。按合同约定提供现场服务及专人驻场服务等，现场工作的劳务、管理、住宿、临时办公、材料、保险、利润、税金、政策性文件规定及合同包含内的所有风险、责任等各项费用，不论其在招标文件中是否提及均由乙方自行承担。</w:t>
      </w:r>
    </w:p>
    <w:p w14:paraId="0AE7936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4.2.6设计至竣工验收期间所发生的甲方要求的本工程的设计图纸、资料加晒等费用。</w:t>
      </w:r>
    </w:p>
    <w:p w14:paraId="7B766938">
      <w:pPr>
        <w:pStyle w:val="15"/>
        <w:spacing w:line="360" w:lineRule="auto"/>
        <w:ind w:firstLine="480" w:firstLineChars="200"/>
        <w:rPr>
          <w:rFonts w:hint="eastAsia" w:ascii="宋体" w:hAnsi="宋体" w:eastAsia="等线" w:cs="宋体"/>
          <w:color w:val="auto"/>
          <w:sz w:val="24"/>
          <w:highlight w:val="none"/>
          <w:lang w:eastAsia="zh-CN"/>
        </w:rPr>
      </w:pPr>
      <w:r>
        <w:rPr>
          <w:rFonts w:hint="eastAsia" w:ascii="宋体" w:hAnsi="宋体" w:eastAsia="宋体" w:cs="宋体"/>
          <w:color w:val="auto"/>
          <w:sz w:val="24"/>
          <w:highlight w:val="none"/>
        </w:rPr>
        <w:t xml:space="preserve">4.3 </w:t>
      </w:r>
      <w:r>
        <w:rPr>
          <w:rFonts w:hint="eastAsia" w:ascii="宋体" w:hAnsi="宋体" w:eastAsia="宋体" w:cs="宋体"/>
          <w:color w:val="auto"/>
          <w:sz w:val="24"/>
          <w:highlight w:val="none"/>
          <w:lang w:eastAsia="zh-CN"/>
        </w:rPr>
        <w:t>每期</w:t>
      </w:r>
      <w:r>
        <w:rPr>
          <w:rFonts w:hint="eastAsia" w:ascii="宋体" w:hAnsi="宋体" w:eastAsia="宋体" w:cs="宋体"/>
          <w:color w:val="auto"/>
          <w:sz w:val="24"/>
          <w:highlight w:val="none"/>
        </w:rPr>
        <w:t>设计阶段划分</w:t>
      </w:r>
      <w:r>
        <w:rPr>
          <w:rFonts w:hint="eastAsia"/>
          <w:color w:val="auto"/>
          <w:highlight w:val="none"/>
          <w:lang w:eastAsia="zh-CN"/>
        </w:rPr>
        <w:t>，</w:t>
      </w:r>
      <w:r>
        <w:rPr>
          <w:rFonts w:hint="eastAsia" w:ascii="宋体" w:hAnsi="宋体" w:eastAsia="宋体" w:cs="宋体"/>
          <w:color w:val="auto"/>
          <w:sz w:val="24"/>
          <w:highlight w:val="none"/>
          <w:lang w:eastAsia="zh-CN"/>
        </w:rPr>
        <w:t>每期按照以下资料提供设计成果：</w:t>
      </w:r>
    </w:p>
    <w:tbl>
      <w:tblPr>
        <w:tblStyle w:val="45"/>
        <w:tblW w:w="9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552"/>
        <w:gridCol w:w="923"/>
        <w:gridCol w:w="2587"/>
        <w:gridCol w:w="3175"/>
      </w:tblGrid>
      <w:tr w14:paraId="1DCA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tcPr>
          <w:p w14:paraId="7B91A5C1">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552" w:type="dxa"/>
            <w:vAlign w:val="center"/>
          </w:tcPr>
          <w:p w14:paraId="1E8F8D59">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资料及文件名称</w:t>
            </w:r>
          </w:p>
        </w:tc>
        <w:tc>
          <w:tcPr>
            <w:tcW w:w="923" w:type="dxa"/>
          </w:tcPr>
          <w:p w14:paraId="68D6863F">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份数</w:t>
            </w:r>
          </w:p>
        </w:tc>
        <w:tc>
          <w:tcPr>
            <w:tcW w:w="2587" w:type="dxa"/>
            <w:vAlign w:val="center"/>
          </w:tcPr>
          <w:p w14:paraId="47FD878C">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提交日期</w:t>
            </w:r>
          </w:p>
        </w:tc>
        <w:tc>
          <w:tcPr>
            <w:tcW w:w="3175" w:type="dxa"/>
            <w:vAlign w:val="center"/>
          </w:tcPr>
          <w:p w14:paraId="177C781F">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有关事宜</w:t>
            </w:r>
          </w:p>
        </w:tc>
      </w:tr>
      <w:tr w14:paraId="04D7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tcPr>
          <w:p w14:paraId="7C5EDB94">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2552" w:type="dxa"/>
            <w:vAlign w:val="center"/>
          </w:tcPr>
          <w:p w14:paraId="0B47E49B">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方案设计</w:t>
            </w:r>
          </w:p>
        </w:tc>
        <w:tc>
          <w:tcPr>
            <w:tcW w:w="923" w:type="dxa"/>
          </w:tcPr>
          <w:p w14:paraId="0886F872">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5套</w:t>
            </w:r>
          </w:p>
        </w:tc>
        <w:tc>
          <w:tcPr>
            <w:tcW w:w="2587" w:type="dxa"/>
            <w:vAlign w:val="center"/>
          </w:tcPr>
          <w:p w14:paraId="7821F540">
            <w:pPr>
              <w:keepNext w:val="0"/>
              <w:keepLines w:val="0"/>
              <w:suppressLineNumbers w:val="0"/>
              <w:spacing w:before="0" w:beforeAutospacing="0" w:after="0" w:afterAutospacing="0" w:line="360" w:lineRule="auto"/>
              <w:ind w:left="0" w:right="0"/>
              <w:jc w:val="center"/>
              <w:rPr>
                <w:rFonts w:hint="default" w:ascii="宋体" w:hAnsi="宋体" w:eastAsia="等线" w:cs="宋体"/>
                <w:bCs/>
                <w:color w:val="auto"/>
                <w:szCs w:val="21"/>
                <w:highlight w:val="none"/>
                <w:lang w:val="en-US" w:eastAsia="zh-CN"/>
              </w:rPr>
            </w:pPr>
            <w:r>
              <w:rPr>
                <w:rFonts w:hint="eastAsia" w:ascii="宋体" w:hAnsi="宋体" w:eastAsia="宋体" w:cs="宋体"/>
                <w:bCs/>
                <w:color w:val="auto"/>
                <w:szCs w:val="21"/>
                <w:highlight w:val="none"/>
                <w:lang w:val="en-US" w:eastAsia="zh-CN"/>
              </w:rPr>
              <w:t>一期为</w:t>
            </w:r>
            <w:r>
              <w:rPr>
                <w:rFonts w:hint="eastAsia" w:ascii="宋体" w:hAnsi="宋体" w:eastAsia="宋体" w:cs="宋体"/>
                <w:bCs/>
                <w:color w:val="auto"/>
                <w:szCs w:val="21"/>
                <w:highlight w:val="none"/>
              </w:rPr>
              <w:t>中标通知书发出后15个日历日内</w:t>
            </w:r>
            <w:r>
              <w:rPr>
                <w:rFonts w:hint="eastAsia"/>
                <w:color w:val="auto"/>
                <w:highlight w:val="none"/>
                <w:lang w:eastAsia="zh-CN"/>
              </w:rPr>
              <w:t>，</w:t>
            </w:r>
            <w:r>
              <w:rPr>
                <w:rFonts w:hint="eastAsia"/>
                <w:color w:val="auto"/>
                <w:highlight w:val="none"/>
                <w:lang w:val="en-US" w:eastAsia="zh-CN"/>
              </w:rPr>
              <w:t>二期、三期为甲方发出开工通知15个日历天内</w:t>
            </w:r>
          </w:p>
        </w:tc>
        <w:tc>
          <w:tcPr>
            <w:tcW w:w="3175" w:type="dxa"/>
            <w:vAlign w:val="center"/>
          </w:tcPr>
          <w:p w14:paraId="0B0C5027">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按甲方要求</w:t>
            </w:r>
          </w:p>
        </w:tc>
      </w:tr>
      <w:tr w14:paraId="0AAB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tcPr>
          <w:p w14:paraId="603EE19E">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p>
        </w:tc>
        <w:tc>
          <w:tcPr>
            <w:tcW w:w="2552" w:type="dxa"/>
            <w:vAlign w:val="center"/>
          </w:tcPr>
          <w:p w14:paraId="7D477114">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修建性详细规划编制</w:t>
            </w:r>
          </w:p>
        </w:tc>
        <w:tc>
          <w:tcPr>
            <w:tcW w:w="923" w:type="dxa"/>
          </w:tcPr>
          <w:p w14:paraId="2CED71A8">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3套</w:t>
            </w:r>
          </w:p>
        </w:tc>
        <w:tc>
          <w:tcPr>
            <w:tcW w:w="2587" w:type="dxa"/>
            <w:vAlign w:val="center"/>
          </w:tcPr>
          <w:p w14:paraId="548D1181">
            <w:pPr>
              <w:keepNext w:val="0"/>
              <w:keepLines w:val="0"/>
              <w:suppressLineNumbers w:val="0"/>
              <w:spacing w:before="0" w:beforeAutospacing="0" w:after="0" w:afterAutospacing="0" w:line="360" w:lineRule="auto"/>
              <w:ind w:left="0" w:leftChars="0" w:right="0" w:firstLine="0" w:firstLineChars="0"/>
              <w:jc w:val="center"/>
              <w:rPr>
                <w:rFonts w:cs="Calibri"/>
                <w:color w:val="auto"/>
                <w:highlight w:val="none"/>
              </w:rPr>
            </w:pPr>
            <w:r>
              <w:rPr>
                <w:rFonts w:hint="eastAsia" w:ascii="宋体" w:hAnsi="宋体" w:eastAsia="宋体" w:cs="宋体"/>
                <w:bCs/>
                <w:color w:val="auto"/>
                <w:szCs w:val="21"/>
                <w:highlight w:val="none"/>
              </w:rPr>
              <w:t>甲方确定方案后5个日历日</w:t>
            </w:r>
          </w:p>
        </w:tc>
        <w:tc>
          <w:tcPr>
            <w:tcW w:w="3175" w:type="dxa"/>
            <w:vAlign w:val="center"/>
          </w:tcPr>
          <w:p w14:paraId="556BB330">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按主管部门要求</w:t>
            </w:r>
          </w:p>
        </w:tc>
      </w:tr>
      <w:tr w14:paraId="1897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tcPr>
          <w:p w14:paraId="7FAEFC57">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w:t>
            </w:r>
          </w:p>
        </w:tc>
        <w:tc>
          <w:tcPr>
            <w:tcW w:w="2552" w:type="dxa"/>
            <w:vAlign w:val="center"/>
          </w:tcPr>
          <w:p w14:paraId="38BA201E">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单体报建图设计</w:t>
            </w:r>
          </w:p>
        </w:tc>
        <w:tc>
          <w:tcPr>
            <w:tcW w:w="923" w:type="dxa"/>
          </w:tcPr>
          <w:p w14:paraId="0A97BD7F">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3套</w:t>
            </w:r>
          </w:p>
        </w:tc>
        <w:tc>
          <w:tcPr>
            <w:tcW w:w="2587" w:type="dxa"/>
            <w:vAlign w:val="center"/>
          </w:tcPr>
          <w:p w14:paraId="59868794">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业主确定设计方案后7个日历日内</w:t>
            </w:r>
          </w:p>
        </w:tc>
        <w:tc>
          <w:tcPr>
            <w:tcW w:w="3175" w:type="dxa"/>
            <w:vAlign w:val="center"/>
          </w:tcPr>
          <w:p w14:paraId="7D3B4D24">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按主管部门要求</w:t>
            </w:r>
          </w:p>
        </w:tc>
      </w:tr>
      <w:tr w14:paraId="77227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tcPr>
          <w:p w14:paraId="3F3F0923">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w:t>
            </w:r>
          </w:p>
        </w:tc>
        <w:tc>
          <w:tcPr>
            <w:tcW w:w="2552" w:type="dxa"/>
            <w:vAlign w:val="center"/>
          </w:tcPr>
          <w:p w14:paraId="15994229">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基坑部分施工图</w:t>
            </w:r>
          </w:p>
        </w:tc>
        <w:tc>
          <w:tcPr>
            <w:tcW w:w="923" w:type="dxa"/>
          </w:tcPr>
          <w:p w14:paraId="5AC2D37E">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8套</w:t>
            </w:r>
          </w:p>
        </w:tc>
        <w:tc>
          <w:tcPr>
            <w:tcW w:w="2587" w:type="dxa"/>
            <w:vAlign w:val="center"/>
          </w:tcPr>
          <w:p w14:paraId="6AAE211B">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单体报建批复12个日历日内</w:t>
            </w:r>
          </w:p>
        </w:tc>
        <w:tc>
          <w:tcPr>
            <w:tcW w:w="3175" w:type="dxa"/>
            <w:vAlign w:val="center"/>
          </w:tcPr>
          <w:p w14:paraId="086090E7">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达到施工图深度要求</w:t>
            </w:r>
          </w:p>
        </w:tc>
      </w:tr>
      <w:tr w14:paraId="71BC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tcPr>
          <w:p w14:paraId="5C4B7A41">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w:t>
            </w:r>
          </w:p>
        </w:tc>
        <w:tc>
          <w:tcPr>
            <w:tcW w:w="2552" w:type="dxa"/>
            <w:vAlign w:val="center"/>
          </w:tcPr>
          <w:p w14:paraId="4F290E8C">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初步设计（含电子版）</w:t>
            </w:r>
          </w:p>
        </w:tc>
        <w:tc>
          <w:tcPr>
            <w:tcW w:w="923" w:type="dxa"/>
          </w:tcPr>
          <w:p w14:paraId="42745FAC">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8套</w:t>
            </w:r>
          </w:p>
        </w:tc>
        <w:tc>
          <w:tcPr>
            <w:tcW w:w="2587" w:type="dxa"/>
            <w:vAlign w:val="center"/>
          </w:tcPr>
          <w:p w14:paraId="7B119CED">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单体报建批复20个日历日内</w:t>
            </w:r>
          </w:p>
        </w:tc>
        <w:tc>
          <w:tcPr>
            <w:tcW w:w="3175" w:type="dxa"/>
            <w:vAlign w:val="center"/>
          </w:tcPr>
          <w:p w14:paraId="697315C9">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按国家行业要求</w:t>
            </w:r>
          </w:p>
        </w:tc>
      </w:tr>
      <w:tr w14:paraId="1754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4520420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552" w:type="dxa"/>
            <w:vAlign w:val="center"/>
          </w:tcPr>
          <w:p w14:paraId="2573CEA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施工图设计文件（含电子版）</w:t>
            </w:r>
          </w:p>
        </w:tc>
        <w:tc>
          <w:tcPr>
            <w:tcW w:w="923" w:type="dxa"/>
            <w:vAlign w:val="center"/>
          </w:tcPr>
          <w:p w14:paraId="1314BE0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套</w:t>
            </w:r>
          </w:p>
        </w:tc>
        <w:tc>
          <w:tcPr>
            <w:tcW w:w="2587" w:type="dxa"/>
            <w:vAlign w:val="center"/>
          </w:tcPr>
          <w:p w14:paraId="1FAE9AC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初步设计批复后30</w:t>
            </w:r>
            <w:r>
              <w:rPr>
                <w:rFonts w:hint="eastAsia" w:ascii="宋体" w:hAnsi="宋体" w:eastAsia="宋体" w:cs="宋体"/>
                <w:bCs/>
                <w:color w:val="auto"/>
                <w:szCs w:val="21"/>
                <w:highlight w:val="none"/>
              </w:rPr>
              <w:t>个日历日</w:t>
            </w:r>
            <w:r>
              <w:rPr>
                <w:rFonts w:hint="eastAsia" w:ascii="宋体" w:hAnsi="宋体" w:eastAsia="宋体" w:cs="宋体"/>
                <w:color w:val="auto"/>
                <w:szCs w:val="21"/>
                <w:highlight w:val="none"/>
              </w:rPr>
              <w:t>内提供，后续根据项目开发时序，按甲方要求分期分批提交</w:t>
            </w:r>
          </w:p>
        </w:tc>
        <w:tc>
          <w:tcPr>
            <w:tcW w:w="3175" w:type="dxa"/>
            <w:vMerge w:val="restart"/>
          </w:tcPr>
          <w:p w14:paraId="27EA8C5C">
            <w:pPr>
              <w:pStyle w:val="22"/>
              <w:keepNext w:val="0"/>
              <w:keepLines w:val="0"/>
              <w:suppressLineNumbers w:val="0"/>
              <w:spacing w:before="0" w:beforeAutospacing="0" w:after="0" w:afterAutospacing="0" w:line="360" w:lineRule="auto"/>
              <w:ind w:left="0" w:right="0"/>
              <w:rPr>
                <w:rFonts w:hint="eastAsia" w:hAnsi="宋体" w:eastAsia="宋体" w:cs="宋体"/>
                <w:color w:val="auto"/>
                <w:sz w:val="24"/>
                <w:szCs w:val="24"/>
                <w:highlight w:val="none"/>
              </w:rPr>
            </w:pPr>
            <w:r>
              <w:rPr>
                <w:rFonts w:hint="eastAsia" w:hAnsi="宋体" w:eastAsia="宋体" w:cs="宋体"/>
                <w:color w:val="auto"/>
                <w:szCs w:val="21"/>
                <w:highlight w:val="none"/>
              </w:rPr>
              <w:t>施工图设计文件经审查发现问题后</w:t>
            </w:r>
            <w:r>
              <w:rPr>
                <w:rFonts w:hint="eastAsia" w:hAnsi="宋体" w:eastAsia="宋体" w:cs="宋体"/>
                <w:color w:val="auto"/>
                <w:szCs w:val="21"/>
                <w:highlight w:val="none"/>
                <w:u w:val="single"/>
              </w:rPr>
              <w:t>3</w:t>
            </w:r>
            <w:r>
              <w:rPr>
                <w:rFonts w:hint="eastAsia" w:hAnsi="宋体" w:eastAsia="宋体" w:cs="宋体"/>
                <w:bCs/>
                <w:color w:val="auto"/>
                <w:szCs w:val="21"/>
                <w:highlight w:val="none"/>
              </w:rPr>
              <w:t>个日历日</w:t>
            </w:r>
            <w:r>
              <w:rPr>
                <w:rFonts w:hint="eastAsia" w:hAnsi="宋体" w:eastAsia="宋体" w:cs="宋体"/>
                <w:color w:val="auto"/>
                <w:szCs w:val="21"/>
                <w:highlight w:val="none"/>
              </w:rPr>
              <w:t>内完成补充、修改。修改率较大的按甲方要求的时间完成。</w:t>
            </w:r>
          </w:p>
          <w:p w14:paraId="033511C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r>
      <w:tr w14:paraId="0183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73AF6A7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2552" w:type="dxa"/>
            <w:vAlign w:val="center"/>
          </w:tcPr>
          <w:p w14:paraId="16BBD2A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竣工图设计文件</w:t>
            </w:r>
          </w:p>
        </w:tc>
        <w:tc>
          <w:tcPr>
            <w:tcW w:w="923" w:type="dxa"/>
            <w:vAlign w:val="center"/>
          </w:tcPr>
          <w:p w14:paraId="2155637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8套</w:t>
            </w:r>
          </w:p>
        </w:tc>
        <w:tc>
          <w:tcPr>
            <w:tcW w:w="2587" w:type="dxa"/>
            <w:vAlign w:val="center"/>
          </w:tcPr>
          <w:p w14:paraId="1162589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工程初步验收通过</w:t>
            </w:r>
          </w:p>
        </w:tc>
        <w:tc>
          <w:tcPr>
            <w:tcW w:w="3175" w:type="dxa"/>
            <w:vMerge w:val="continue"/>
          </w:tcPr>
          <w:p w14:paraId="1DE2111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r>
      <w:tr w14:paraId="6AAD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29B7B49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2552" w:type="dxa"/>
            <w:vAlign w:val="center"/>
          </w:tcPr>
          <w:p w14:paraId="6724584B">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设计电子文件（包括但不限于非加密且可编辑AutoCAD的版本及不可编辑的PDF版本）</w:t>
            </w:r>
          </w:p>
        </w:tc>
        <w:tc>
          <w:tcPr>
            <w:tcW w:w="923" w:type="dxa"/>
            <w:vAlign w:val="center"/>
          </w:tcPr>
          <w:p w14:paraId="75B9E4E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2套（U盘）</w:t>
            </w:r>
          </w:p>
        </w:tc>
        <w:tc>
          <w:tcPr>
            <w:tcW w:w="2587" w:type="dxa"/>
            <w:vAlign w:val="center"/>
          </w:tcPr>
          <w:p w14:paraId="3EB8E15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随设计文件一起提交</w:t>
            </w:r>
          </w:p>
        </w:tc>
        <w:tc>
          <w:tcPr>
            <w:tcW w:w="3175" w:type="dxa"/>
            <w:vMerge w:val="continue"/>
          </w:tcPr>
          <w:p w14:paraId="54FADE6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r>
      <w:tr w14:paraId="2B69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tcPr>
          <w:p w14:paraId="662A8B7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9237" w:type="dxa"/>
            <w:gridSpan w:val="4"/>
          </w:tcPr>
          <w:p w14:paraId="7791239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评审过程中需要的图纸（属乙方工作范围内的）由乙方按需要提供。</w:t>
            </w:r>
          </w:p>
        </w:tc>
      </w:tr>
    </w:tbl>
    <w:p w14:paraId="011ECE92">
      <w:pPr>
        <w:rPr>
          <w:rFonts w:hint="eastAsia"/>
          <w:color w:val="auto"/>
          <w:highlight w:val="none"/>
        </w:rPr>
      </w:pPr>
    </w:p>
    <w:p w14:paraId="764D6497">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本项目设计阶段划分如下：初步设计（含概算）、施工图设计、施工现场服务、竣工验收配合（包括规划验收）等。</w:t>
      </w:r>
    </w:p>
    <w:p w14:paraId="2DCA82DE">
      <w:pPr>
        <w:spacing w:line="360" w:lineRule="auto"/>
        <w:ind w:firstLine="359" w:firstLineChars="14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第五条  甲方向乙方提交的有关资料、文件及时间　</w:t>
      </w:r>
    </w:p>
    <w:tbl>
      <w:tblPr>
        <w:tblStyle w:val="45"/>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5"/>
        <w:gridCol w:w="3867"/>
        <w:gridCol w:w="892"/>
        <w:gridCol w:w="1414"/>
        <w:gridCol w:w="2243"/>
      </w:tblGrid>
      <w:tr w14:paraId="05A4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blHeader/>
          <w:jc w:val="center"/>
        </w:trPr>
        <w:tc>
          <w:tcPr>
            <w:tcW w:w="885" w:type="dxa"/>
            <w:vAlign w:val="center"/>
          </w:tcPr>
          <w:p w14:paraId="1BAC1F69">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3867" w:type="dxa"/>
            <w:vAlign w:val="center"/>
          </w:tcPr>
          <w:p w14:paraId="7DA3F077">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资料及文件名称</w:t>
            </w:r>
          </w:p>
        </w:tc>
        <w:tc>
          <w:tcPr>
            <w:tcW w:w="892" w:type="dxa"/>
            <w:vAlign w:val="center"/>
          </w:tcPr>
          <w:p w14:paraId="58B9CC7D">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份数</w:t>
            </w:r>
          </w:p>
        </w:tc>
        <w:tc>
          <w:tcPr>
            <w:tcW w:w="1414" w:type="dxa"/>
            <w:vAlign w:val="center"/>
          </w:tcPr>
          <w:p w14:paraId="4B5D4C0B">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内容要求</w:t>
            </w:r>
          </w:p>
        </w:tc>
        <w:tc>
          <w:tcPr>
            <w:tcW w:w="2243" w:type="dxa"/>
            <w:vAlign w:val="center"/>
          </w:tcPr>
          <w:p w14:paraId="18796D5A">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提交时间</w:t>
            </w:r>
          </w:p>
        </w:tc>
      </w:tr>
      <w:tr w14:paraId="3296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885" w:type="dxa"/>
            <w:vAlign w:val="center"/>
          </w:tcPr>
          <w:p w14:paraId="28FD5B3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867" w:type="dxa"/>
            <w:vAlign w:val="center"/>
          </w:tcPr>
          <w:p w14:paraId="04EF140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中标通知书</w:t>
            </w:r>
          </w:p>
        </w:tc>
        <w:tc>
          <w:tcPr>
            <w:tcW w:w="892" w:type="dxa"/>
            <w:vAlign w:val="center"/>
          </w:tcPr>
          <w:p w14:paraId="34CC404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414" w:type="dxa"/>
            <w:vAlign w:val="center"/>
          </w:tcPr>
          <w:p w14:paraId="199A4D1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原件</w:t>
            </w:r>
          </w:p>
        </w:tc>
        <w:tc>
          <w:tcPr>
            <w:tcW w:w="2243" w:type="dxa"/>
            <w:vAlign w:val="center"/>
          </w:tcPr>
          <w:p w14:paraId="374F1A7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合同签订前</w:t>
            </w:r>
          </w:p>
        </w:tc>
      </w:tr>
      <w:tr w14:paraId="5B81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jc w:val="center"/>
        </w:trPr>
        <w:tc>
          <w:tcPr>
            <w:tcW w:w="885" w:type="dxa"/>
            <w:vAlign w:val="center"/>
          </w:tcPr>
          <w:p w14:paraId="4DCD518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867" w:type="dxa"/>
            <w:vAlign w:val="center"/>
          </w:tcPr>
          <w:p w14:paraId="69EB187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1：500实测地形图</w:t>
            </w:r>
          </w:p>
        </w:tc>
        <w:tc>
          <w:tcPr>
            <w:tcW w:w="892" w:type="dxa"/>
            <w:vAlign w:val="center"/>
          </w:tcPr>
          <w:p w14:paraId="2B0BF39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414" w:type="dxa"/>
            <w:vAlign w:val="center"/>
          </w:tcPr>
          <w:p w14:paraId="6202747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CAD版</w:t>
            </w:r>
          </w:p>
        </w:tc>
        <w:tc>
          <w:tcPr>
            <w:tcW w:w="2243" w:type="dxa"/>
            <w:vAlign w:val="center"/>
          </w:tcPr>
          <w:p w14:paraId="4F9302E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合同签订前</w:t>
            </w:r>
          </w:p>
        </w:tc>
      </w:tr>
      <w:tr w14:paraId="5714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885" w:type="dxa"/>
            <w:vAlign w:val="center"/>
          </w:tcPr>
          <w:p w14:paraId="12C913C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867" w:type="dxa"/>
            <w:vAlign w:val="center"/>
          </w:tcPr>
          <w:p w14:paraId="24753196">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各阶段有关建设主管部门审批文件</w:t>
            </w:r>
          </w:p>
          <w:p w14:paraId="26B0C806">
            <w:pPr>
              <w:pStyle w:val="17"/>
              <w:keepNext w:val="0"/>
              <w:keepLines w:val="0"/>
              <w:suppressLineNumbers w:val="0"/>
              <w:spacing w:before="0" w:beforeAutospacing="0" w:afterAutospacing="0"/>
              <w:ind w:left="0" w:right="0"/>
              <w:jc w:val="center"/>
              <w:rPr>
                <w:rFonts w:hint="eastAsia"/>
                <w:color w:val="auto"/>
                <w:highlight w:val="none"/>
              </w:rPr>
            </w:pPr>
            <w:r>
              <w:rPr>
                <w:rFonts w:hint="eastAsia" w:ascii="宋体" w:hAnsi="宋体" w:eastAsia="宋体" w:cs="宋体"/>
                <w:bCs/>
                <w:color w:val="auto"/>
                <w:szCs w:val="21"/>
                <w:highlight w:val="none"/>
                <w:lang w:val="en-US" w:eastAsia="zh-CN"/>
              </w:rPr>
              <w:t>（分期启动时，分期提供）</w:t>
            </w:r>
          </w:p>
        </w:tc>
        <w:tc>
          <w:tcPr>
            <w:tcW w:w="892" w:type="dxa"/>
            <w:vAlign w:val="center"/>
          </w:tcPr>
          <w:p w14:paraId="573EA8B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414" w:type="dxa"/>
            <w:vAlign w:val="center"/>
          </w:tcPr>
          <w:p w14:paraId="3A2EE32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复印件</w:t>
            </w:r>
          </w:p>
        </w:tc>
        <w:tc>
          <w:tcPr>
            <w:tcW w:w="2243" w:type="dxa"/>
            <w:vAlign w:val="center"/>
          </w:tcPr>
          <w:p w14:paraId="3534219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文件审批后根据设计需要及时提供</w:t>
            </w:r>
          </w:p>
        </w:tc>
      </w:tr>
      <w:tr w14:paraId="5D2D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885" w:type="dxa"/>
            <w:vAlign w:val="center"/>
          </w:tcPr>
          <w:p w14:paraId="1CB5AC7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867" w:type="dxa"/>
            <w:vAlign w:val="center"/>
          </w:tcPr>
          <w:p w14:paraId="22A89BBE">
            <w:pPr>
              <w:pStyle w:val="28"/>
              <w:keepNext w:val="0"/>
              <w:keepLines w:val="0"/>
              <w:suppressLineNumbers w:val="0"/>
              <w:spacing w:before="0" w:beforeAutospacing="0" w:after="0" w:afterAutospacing="0" w:line="360" w:lineRule="auto"/>
              <w:ind w:left="0" w:right="0" w:firstLine="48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设计任务书</w:t>
            </w:r>
          </w:p>
        </w:tc>
        <w:tc>
          <w:tcPr>
            <w:tcW w:w="892" w:type="dxa"/>
            <w:vAlign w:val="center"/>
          </w:tcPr>
          <w:p w14:paraId="5963E2BB">
            <w:pPr>
              <w:pStyle w:val="28"/>
              <w:keepNext w:val="0"/>
              <w:keepLines w:val="0"/>
              <w:suppressLineNumbers w:val="0"/>
              <w:spacing w:before="0" w:beforeAutospacing="0" w:after="0" w:afterAutospacing="0" w:line="360" w:lineRule="auto"/>
              <w:ind w:left="0" w:right="0" w:firstLine="48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414" w:type="dxa"/>
            <w:vAlign w:val="center"/>
          </w:tcPr>
          <w:p w14:paraId="3552D0EB">
            <w:pPr>
              <w:pStyle w:val="28"/>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原件</w:t>
            </w:r>
          </w:p>
        </w:tc>
        <w:tc>
          <w:tcPr>
            <w:tcW w:w="2243" w:type="dxa"/>
            <w:vAlign w:val="center"/>
          </w:tcPr>
          <w:p w14:paraId="20761C9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合同签订后</w:t>
            </w:r>
          </w:p>
        </w:tc>
      </w:tr>
      <w:tr w14:paraId="1AE2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885" w:type="dxa"/>
            <w:vAlign w:val="center"/>
          </w:tcPr>
          <w:p w14:paraId="0A5790A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867" w:type="dxa"/>
            <w:vAlign w:val="center"/>
          </w:tcPr>
          <w:p w14:paraId="76120CC1">
            <w:pPr>
              <w:pStyle w:val="28"/>
              <w:keepNext w:val="0"/>
              <w:keepLines w:val="0"/>
              <w:suppressLineNumbers w:val="0"/>
              <w:spacing w:before="0" w:beforeAutospacing="0" w:after="0" w:afterAutospacing="0" w:line="360" w:lineRule="auto"/>
              <w:ind w:left="0" w:right="0" w:firstLine="48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用地红线图（CAD）、规划设计条件</w:t>
            </w:r>
          </w:p>
        </w:tc>
        <w:tc>
          <w:tcPr>
            <w:tcW w:w="892" w:type="dxa"/>
            <w:vAlign w:val="center"/>
          </w:tcPr>
          <w:p w14:paraId="579CF5FF">
            <w:pPr>
              <w:pStyle w:val="28"/>
              <w:keepNext w:val="0"/>
              <w:keepLines w:val="0"/>
              <w:suppressLineNumbers w:val="0"/>
              <w:spacing w:before="0" w:beforeAutospacing="0" w:after="0" w:afterAutospacing="0" w:line="360" w:lineRule="auto"/>
              <w:ind w:left="0" w:right="0" w:firstLine="48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414" w:type="dxa"/>
            <w:vAlign w:val="center"/>
          </w:tcPr>
          <w:p w14:paraId="091A0BD8">
            <w:pPr>
              <w:pStyle w:val="28"/>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复印件</w:t>
            </w:r>
          </w:p>
        </w:tc>
        <w:tc>
          <w:tcPr>
            <w:tcW w:w="2243" w:type="dxa"/>
            <w:vAlign w:val="center"/>
          </w:tcPr>
          <w:p w14:paraId="0D15F30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合同签订后</w:t>
            </w:r>
          </w:p>
        </w:tc>
      </w:tr>
      <w:tr w14:paraId="3C15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885" w:type="dxa"/>
            <w:vAlign w:val="center"/>
          </w:tcPr>
          <w:p w14:paraId="779473F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867" w:type="dxa"/>
            <w:vAlign w:val="center"/>
          </w:tcPr>
          <w:p w14:paraId="25DF09C1">
            <w:pPr>
              <w:pStyle w:val="28"/>
              <w:keepNext w:val="0"/>
              <w:keepLines w:val="0"/>
              <w:suppressLineNumbers w:val="0"/>
              <w:spacing w:before="0" w:beforeAutospacing="0" w:after="0" w:afterAutospacing="0" w:line="360" w:lineRule="auto"/>
              <w:ind w:left="0" w:right="0" w:firstLine="48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可研报告及批复文件（含可研估算）</w:t>
            </w:r>
          </w:p>
        </w:tc>
        <w:tc>
          <w:tcPr>
            <w:tcW w:w="892" w:type="dxa"/>
            <w:vAlign w:val="center"/>
          </w:tcPr>
          <w:p w14:paraId="13D522AA">
            <w:pPr>
              <w:pStyle w:val="28"/>
              <w:keepNext w:val="0"/>
              <w:keepLines w:val="0"/>
              <w:suppressLineNumbers w:val="0"/>
              <w:spacing w:before="0" w:beforeAutospacing="0" w:after="0" w:afterAutospacing="0" w:line="360" w:lineRule="auto"/>
              <w:ind w:left="0" w:right="0" w:firstLine="48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414" w:type="dxa"/>
            <w:vAlign w:val="center"/>
          </w:tcPr>
          <w:p w14:paraId="562F5AE1">
            <w:pPr>
              <w:pStyle w:val="28"/>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原件</w:t>
            </w:r>
          </w:p>
        </w:tc>
        <w:tc>
          <w:tcPr>
            <w:tcW w:w="2243" w:type="dxa"/>
            <w:vAlign w:val="center"/>
          </w:tcPr>
          <w:p w14:paraId="34AE7E9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合同签订后</w:t>
            </w:r>
          </w:p>
        </w:tc>
      </w:tr>
      <w:tr w14:paraId="5BD6E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885" w:type="dxa"/>
            <w:vAlign w:val="center"/>
          </w:tcPr>
          <w:p w14:paraId="6BFF2A1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3867" w:type="dxa"/>
            <w:vAlign w:val="center"/>
          </w:tcPr>
          <w:p w14:paraId="7E9CCF47">
            <w:pPr>
              <w:pStyle w:val="28"/>
              <w:keepNext w:val="0"/>
              <w:keepLines w:val="0"/>
              <w:suppressLineNumbers w:val="0"/>
              <w:spacing w:before="0" w:beforeAutospacing="0" w:after="0" w:afterAutospacing="0" w:line="360" w:lineRule="auto"/>
              <w:ind w:left="0" w:right="0" w:firstLine="48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其他资料</w:t>
            </w:r>
          </w:p>
        </w:tc>
        <w:tc>
          <w:tcPr>
            <w:tcW w:w="892" w:type="dxa"/>
            <w:vAlign w:val="center"/>
          </w:tcPr>
          <w:p w14:paraId="06F80858">
            <w:pPr>
              <w:pStyle w:val="28"/>
              <w:keepNext w:val="0"/>
              <w:keepLines w:val="0"/>
              <w:suppressLineNumbers w:val="0"/>
              <w:spacing w:before="0" w:beforeAutospacing="0" w:after="0" w:afterAutospacing="0" w:line="360" w:lineRule="auto"/>
              <w:ind w:left="0" w:right="0" w:firstLine="48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414" w:type="dxa"/>
            <w:vAlign w:val="center"/>
          </w:tcPr>
          <w:p w14:paraId="09570132">
            <w:pPr>
              <w:pStyle w:val="28"/>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原件</w:t>
            </w:r>
          </w:p>
        </w:tc>
        <w:tc>
          <w:tcPr>
            <w:tcW w:w="2243" w:type="dxa"/>
            <w:vAlign w:val="center"/>
          </w:tcPr>
          <w:p w14:paraId="69088AA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合同签订后</w:t>
            </w:r>
          </w:p>
        </w:tc>
      </w:tr>
    </w:tbl>
    <w:p w14:paraId="0DD6B98A">
      <w:pPr>
        <w:pStyle w:val="22"/>
        <w:ind w:firstLine="480" w:firstLineChars="200"/>
        <w:rPr>
          <w:rFonts w:hint="eastAsia" w:hAnsi="宋体" w:eastAsia="宋体" w:cs="宋体"/>
          <w:color w:val="auto"/>
          <w:sz w:val="24"/>
          <w:szCs w:val="24"/>
          <w:highlight w:val="none"/>
        </w:rPr>
      </w:pPr>
    </w:p>
    <w:p w14:paraId="497E1E73">
      <w:pPr>
        <w:pStyle w:val="22"/>
        <w:spacing w:line="360" w:lineRule="auto"/>
        <w:ind w:firstLine="480" w:firstLineChars="200"/>
        <w:rPr>
          <w:rFonts w:hint="eastAsia" w:hAnsi="宋体" w:eastAsia="宋体" w:cs="宋体"/>
          <w:color w:val="auto"/>
          <w:sz w:val="24"/>
          <w:szCs w:val="24"/>
          <w:highlight w:val="none"/>
        </w:rPr>
      </w:pPr>
      <w:r>
        <w:rPr>
          <w:rFonts w:hint="eastAsia" w:hAnsi="宋体" w:eastAsia="宋体" w:cs="宋体"/>
          <w:color w:val="auto"/>
          <w:sz w:val="24"/>
          <w:szCs w:val="24"/>
          <w:highlight w:val="none"/>
        </w:rPr>
        <w:t>注：设计过程中需要购买的资料（包含代甲方购买的地形图纸和电子文件等资料），需经甲方同意购买后，由乙方先行出资购买，甲方凭乙方提供的发票支付费用。由甲方出资购买的资料，所有权归甲方，乙方应在收款的同时向甲方移交全部资料。</w:t>
      </w:r>
    </w:p>
    <w:p w14:paraId="3E7A7430">
      <w:pPr>
        <w:pStyle w:val="22"/>
        <w:spacing w:line="360" w:lineRule="auto"/>
        <w:rPr>
          <w:rFonts w:hint="eastAsia" w:hAnsi="宋体" w:eastAsia="宋体" w:cs="宋体"/>
          <w:color w:val="auto"/>
          <w:sz w:val="24"/>
          <w:szCs w:val="24"/>
          <w:highlight w:val="none"/>
        </w:rPr>
      </w:pPr>
    </w:p>
    <w:p w14:paraId="72DA1F1A">
      <w:pPr>
        <w:spacing w:line="360" w:lineRule="auto"/>
        <w:ind w:firstLine="359" w:firstLineChars="14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第六条  设计工期、设计文件提交的约定</w:t>
      </w:r>
    </w:p>
    <w:p w14:paraId="564E4B8E">
      <w:pPr>
        <w:spacing w:line="540" w:lineRule="exact"/>
        <w:ind w:firstLine="480" w:firstLineChars="200"/>
        <w:jc w:val="left"/>
        <w:rPr>
          <w:rFonts w:hint="eastAsia" w:hAnsi="宋体" w:eastAsia="宋体" w:cs="宋体"/>
          <w:color w:val="auto"/>
          <w:sz w:val="24"/>
          <w:highlight w:val="none"/>
        </w:rPr>
      </w:pPr>
      <w:r>
        <w:rPr>
          <w:rFonts w:hint="eastAsia" w:hAnsi="宋体" w:eastAsia="宋体" w:cs="宋体"/>
          <w:color w:val="auto"/>
          <w:sz w:val="24"/>
          <w:highlight w:val="none"/>
        </w:rPr>
        <w:t>6.1设计工期：</w:t>
      </w:r>
      <w:r>
        <w:rPr>
          <w:rFonts w:hint="eastAsia" w:hAnsi="宋体" w:eastAsia="宋体" w:cs="宋体"/>
          <w:color w:val="auto"/>
          <w:sz w:val="24"/>
          <w:highlight w:val="none"/>
          <w:u w:val="single"/>
        </w:rPr>
        <w:t>乙方应根据工程需要，按照本条第6.2款中约定的时间节点提交相应设计成果</w:t>
      </w:r>
      <w:r>
        <w:rPr>
          <w:rFonts w:hint="eastAsia" w:hAnsi="宋体" w:eastAsia="宋体" w:cs="宋体"/>
          <w:color w:val="auto"/>
          <w:sz w:val="24"/>
          <w:highlight w:val="none"/>
        </w:rPr>
        <w:t>。</w:t>
      </w:r>
      <w:r>
        <w:rPr>
          <w:rFonts w:hint="eastAsia" w:hAnsi="宋体" w:eastAsia="宋体" w:cs="宋体"/>
          <w:color w:val="auto"/>
          <w:sz w:val="24"/>
          <w:highlight w:val="none"/>
          <w:u w:val="single"/>
        </w:rPr>
        <w:t>各设计阶段启动前3天内乙方需提交详细设计进度计划，并明确计划内乙方需甲方配合确认或提供的内容。</w:t>
      </w:r>
    </w:p>
    <w:p w14:paraId="2F7F44FF">
      <w:pPr>
        <w:pStyle w:val="22"/>
        <w:spacing w:line="360" w:lineRule="auto"/>
        <w:ind w:firstLine="470" w:firstLineChars="196"/>
        <w:rPr>
          <w:rFonts w:hint="eastAsia" w:hAnsi="宋体" w:eastAsia="宋体" w:cs="宋体"/>
          <w:color w:val="auto"/>
          <w:sz w:val="24"/>
          <w:szCs w:val="24"/>
          <w:highlight w:val="none"/>
        </w:rPr>
      </w:pPr>
      <w:r>
        <w:rPr>
          <w:rFonts w:hint="eastAsia" w:hAnsi="宋体" w:eastAsia="宋体" w:cs="宋体"/>
          <w:color w:val="auto"/>
          <w:sz w:val="24"/>
          <w:szCs w:val="24"/>
          <w:highlight w:val="none"/>
        </w:rPr>
        <w:t>6.2</w:t>
      </w:r>
      <w:r>
        <w:rPr>
          <w:rFonts w:hint="eastAsia" w:hAnsi="宋体" w:eastAsia="宋体" w:cs="宋体"/>
          <w:color w:val="auto"/>
          <w:sz w:val="24"/>
          <w:szCs w:val="24"/>
          <w:highlight w:val="none"/>
          <w:lang w:val="en-US" w:eastAsia="zh-CN"/>
        </w:rPr>
        <w:t>每期</w:t>
      </w:r>
      <w:r>
        <w:rPr>
          <w:rFonts w:hint="eastAsia" w:hAnsi="宋体" w:eastAsia="宋体" w:cs="宋体"/>
          <w:color w:val="auto"/>
          <w:sz w:val="24"/>
          <w:szCs w:val="24"/>
          <w:highlight w:val="none"/>
        </w:rPr>
        <w:t>乙方应向甲方交付的设计资料及文件：</w:t>
      </w:r>
    </w:p>
    <w:tbl>
      <w:tblPr>
        <w:tblStyle w:val="45"/>
        <w:tblW w:w="9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552"/>
        <w:gridCol w:w="923"/>
        <w:gridCol w:w="2587"/>
        <w:gridCol w:w="3175"/>
      </w:tblGrid>
      <w:tr w14:paraId="0B028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tcPr>
          <w:p w14:paraId="5E8F38A8">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552" w:type="dxa"/>
            <w:vAlign w:val="center"/>
          </w:tcPr>
          <w:p w14:paraId="25F53F68">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资料及文件名称</w:t>
            </w:r>
          </w:p>
        </w:tc>
        <w:tc>
          <w:tcPr>
            <w:tcW w:w="923" w:type="dxa"/>
          </w:tcPr>
          <w:p w14:paraId="647EEF44">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份数</w:t>
            </w:r>
          </w:p>
        </w:tc>
        <w:tc>
          <w:tcPr>
            <w:tcW w:w="2587" w:type="dxa"/>
            <w:vAlign w:val="center"/>
          </w:tcPr>
          <w:p w14:paraId="51D5AAB3">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提交日期</w:t>
            </w:r>
          </w:p>
        </w:tc>
        <w:tc>
          <w:tcPr>
            <w:tcW w:w="3175" w:type="dxa"/>
            <w:vAlign w:val="center"/>
          </w:tcPr>
          <w:p w14:paraId="603E8A5D">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有关事宜</w:t>
            </w:r>
          </w:p>
        </w:tc>
      </w:tr>
      <w:tr w14:paraId="7A65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tcPr>
          <w:p w14:paraId="461D737A">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2552" w:type="dxa"/>
            <w:vAlign w:val="center"/>
          </w:tcPr>
          <w:p w14:paraId="6CE1EF24">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方案设计</w:t>
            </w:r>
          </w:p>
        </w:tc>
        <w:tc>
          <w:tcPr>
            <w:tcW w:w="923" w:type="dxa"/>
          </w:tcPr>
          <w:p w14:paraId="02D29321">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5套</w:t>
            </w:r>
          </w:p>
        </w:tc>
        <w:tc>
          <w:tcPr>
            <w:tcW w:w="2587" w:type="dxa"/>
            <w:vAlign w:val="center"/>
          </w:tcPr>
          <w:p w14:paraId="6CE9553A">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一期为</w:t>
            </w:r>
            <w:r>
              <w:rPr>
                <w:rFonts w:hint="eastAsia" w:ascii="宋体" w:hAnsi="宋体" w:eastAsia="宋体" w:cs="宋体"/>
                <w:bCs/>
                <w:color w:val="auto"/>
                <w:szCs w:val="21"/>
                <w:highlight w:val="none"/>
              </w:rPr>
              <w:t>中标通知书发出后15个日历日内</w:t>
            </w:r>
            <w:r>
              <w:rPr>
                <w:rFonts w:hint="eastAsia"/>
                <w:color w:val="auto"/>
                <w:highlight w:val="none"/>
                <w:lang w:eastAsia="zh-CN"/>
              </w:rPr>
              <w:t>，</w:t>
            </w:r>
            <w:r>
              <w:rPr>
                <w:rFonts w:hint="eastAsia"/>
                <w:color w:val="auto"/>
                <w:highlight w:val="none"/>
                <w:lang w:val="en-US" w:eastAsia="zh-CN"/>
              </w:rPr>
              <w:t>二期、三期为甲方发出开工通知15个日历天内</w:t>
            </w:r>
          </w:p>
        </w:tc>
        <w:tc>
          <w:tcPr>
            <w:tcW w:w="3175" w:type="dxa"/>
            <w:vAlign w:val="center"/>
          </w:tcPr>
          <w:p w14:paraId="196224A7">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按甲方要求</w:t>
            </w:r>
          </w:p>
        </w:tc>
      </w:tr>
      <w:tr w14:paraId="3F59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tcPr>
          <w:p w14:paraId="1CCEA742">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p>
        </w:tc>
        <w:tc>
          <w:tcPr>
            <w:tcW w:w="2552" w:type="dxa"/>
            <w:vAlign w:val="center"/>
          </w:tcPr>
          <w:p w14:paraId="1C5A34B4">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修建性详细规划编制</w:t>
            </w:r>
          </w:p>
        </w:tc>
        <w:tc>
          <w:tcPr>
            <w:tcW w:w="923" w:type="dxa"/>
          </w:tcPr>
          <w:p w14:paraId="4BDAFC48">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3套</w:t>
            </w:r>
          </w:p>
        </w:tc>
        <w:tc>
          <w:tcPr>
            <w:tcW w:w="2587" w:type="dxa"/>
            <w:vAlign w:val="center"/>
          </w:tcPr>
          <w:p w14:paraId="7F779CBF">
            <w:pPr>
              <w:keepNext w:val="0"/>
              <w:keepLines w:val="0"/>
              <w:suppressLineNumbers w:val="0"/>
              <w:spacing w:before="0" w:beforeAutospacing="0" w:after="0" w:afterAutospacing="0" w:line="360" w:lineRule="auto"/>
              <w:ind w:left="0" w:right="0"/>
              <w:jc w:val="center"/>
              <w:rPr>
                <w:rFonts w:hint="eastAsia" w:cs="Calibri"/>
                <w:color w:val="auto"/>
                <w:highlight w:val="none"/>
              </w:rPr>
            </w:pPr>
            <w:r>
              <w:rPr>
                <w:rFonts w:hint="eastAsia" w:ascii="宋体" w:hAnsi="宋体" w:eastAsia="宋体" w:cs="宋体"/>
                <w:bCs/>
                <w:color w:val="auto"/>
                <w:szCs w:val="21"/>
                <w:highlight w:val="none"/>
              </w:rPr>
              <w:t>甲方确定方案后5个日历日</w:t>
            </w:r>
          </w:p>
        </w:tc>
        <w:tc>
          <w:tcPr>
            <w:tcW w:w="3175" w:type="dxa"/>
            <w:vAlign w:val="center"/>
          </w:tcPr>
          <w:p w14:paraId="0DAAD1F1">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按主管部门要求</w:t>
            </w:r>
          </w:p>
        </w:tc>
      </w:tr>
      <w:tr w14:paraId="2724E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tcPr>
          <w:p w14:paraId="4AC47D4D">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w:t>
            </w:r>
          </w:p>
        </w:tc>
        <w:tc>
          <w:tcPr>
            <w:tcW w:w="2552" w:type="dxa"/>
            <w:vAlign w:val="center"/>
          </w:tcPr>
          <w:p w14:paraId="5F95AF55">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单体报建图设计</w:t>
            </w:r>
          </w:p>
        </w:tc>
        <w:tc>
          <w:tcPr>
            <w:tcW w:w="923" w:type="dxa"/>
          </w:tcPr>
          <w:p w14:paraId="4F244C15">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3套</w:t>
            </w:r>
          </w:p>
        </w:tc>
        <w:tc>
          <w:tcPr>
            <w:tcW w:w="2587" w:type="dxa"/>
            <w:vAlign w:val="center"/>
          </w:tcPr>
          <w:p w14:paraId="3FBE122B">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甲方确定设计方案后7个日历日内</w:t>
            </w:r>
          </w:p>
        </w:tc>
        <w:tc>
          <w:tcPr>
            <w:tcW w:w="3175" w:type="dxa"/>
            <w:vAlign w:val="center"/>
          </w:tcPr>
          <w:p w14:paraId="7EE830CF">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按主管部门要求</w:t>
            </w:r>
          </w:p>
        </w:tc>
      </w:tr>
      <w:tr w14:paraId="15BC7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tcPr>
          <w:p w14:paraId="6A178B54">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w:t>
            </w:r>
          </w:p>
        </w:tc>
        <w:tc>
          <w:tcPr>
            <w:tcW w:w="2552" w:type="dxa"/>
            <w:vAlign w:val="center"/>
          </w:tcPr>
          <w:p w14:paraId="51EF389D">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基坑部分施工图</w:t>
            </w:r>
          </w:p>
        </w:tc>
        <w:tc>
          <w:tcPr>
            <w:tcW w:w="923" w:type="dxa"/>
          </w:tcPr>
          <w:p w14:paraId="3B761586">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8套</w:t>
            </w:r>
          </w:p>
        </w:tc>
        <w:tc>
          <w:tcPr>
            <w:tcW w:w="2587" w:type="dxa"/>
            <w:vAlign w:val="center"/>
          </w:tcPr>
          <w:p w14:paraId="785ED3BD">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单体报建取得批复后12个日历日内</w:t>
            </w:r>
          </w:p>
        </w:tc>
        <w:tc>
          <w:tcPr>
            <w:tcW w:w="3175" w:type="dxa"/>
            <w:vAlign w:val="center"/>
          </w:tcPr>
          <w:p w14:paraId="160F70A8">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达到施工图深度要求</w:t>
            </w:r>
          </w:p>
        </w:tc>
      </w:tr>
      <w:tr w14:paraId="0C5C3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tcPr>
          <w:p w14:paraId="112B47E2">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w:t>
            </w:r>
          </w:p>
        </w:tc>
        <w:tc>
          <w:tcPr>
            <w:tcW w:w="2552" w:type="dxa"/>
            <w:vAlign w:val="center"/>
          </w:tcPr>
          <w:p w14:paraId="5F698FF0">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初步设计（含电子版）</w:t>
            </w:r>
          </w:p>
        </w:tc>
        <w:tc>
          <w:tcPr>
            <w:tcW w:w="923" w:type="dxa"/>
          </w:tcPr>
          <w:p w14:paraId="50A2F869">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8套</w:t>
            </w:r>
          </w:p>
        </w:tc>
        <w:tc>
          <w:tcPr>
            <w:tcW w:w="2587" w:type="dxa"/>
            <w:vAlign w:val="center"/>
          </w:tcPr>
          <w:p w14:paraId="4F45B49B">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单体报建取得批复后20个日历日内</w:t>
            </w:r>
          </w:p>
        </w:tc>
        <w:tc>
          <w:tcPr>
            <w:tcW w:w="3175" w:type="dxa"/>
            <w:vAlign w:val="center"/>
          </w:tcPr>
          <w:p w14:paraId="51BFDF6A">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按国家行业要求</w:t>
            </w:r>
          </w:p>
        </w:tc>
      </w:tr>
      <w:tr w14:paraId="3B9DE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3F5A583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552" w:type="dxa"/>
            <w:vAlign w:val="center"/>
          </w:tcPr>
          <w:p w14:paraId="5159033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施工图设计文件（含电子版）</w:t>
            </w:r>
          </w:p>
        </w:tc>
        <w:tc>
          <w:tcPr>
            <w:tcW w:w="923" w:type="dxa"/>
            <w:vAlign w:val="center"/>
          </w:tcPr>
          <w:p w14:paraId="556B17E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套</w:t>
            </w:r>
          </w:p>
        </w:tc>
        <w:tc>
          <w:tcPr>
            <w:tcW w:w="2587" w:type="dxa"/>
            <w:vAlign w:val="center"/>
          </w:tcPr>
          <w:p w14:paraId="2EFF54F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初步设计取得批复后30个日历日内提供，后续根据项目开发时序，按甲方要求分期分批提交</w:t>
            </w:r>
          </w:p>
        </w:tc>
        <w:tc>
          <w:tcPr>
            <w:tcW w:w="3175" w:type="dxa"/>
            <w:vMerge w:val="restart"/>
          </w:tcPr>
          <w:p w14:paraId="0BC463EB">
            <w:pPr>
              <w:pStyle w:val="22"/>
              <w:keepNext w:val="0"/>
              <w:keepLines w:val="0"/>
              <w:suppressLineNumbers w:val="0"/>
              <w:spacing w:before="0" w:beforeAutospacing="0" w:after="0" w:afterAutospacing="0" w:line="360" w:lineRule="auto"/>
              <w:ind w:left="0" w:right="0"/>
              <w:rPr>
                <w:rFonts w:hint="eastAsia" w:hAnsi="宋体" w:eastAsia="宋体" w:cs="宋体"/>
                <w:color w:val="auto"/>
                <w:sz w:val="24"/>
                <w:szCs w:val="24"/>
                <w:highlight w:val="none"/>
              </w:rPr>
            </w:pPr>
            <w:r>
              <w:rPr>
                <w:rFonts w:hint="eastAsia" w:hAnsi="宋体" w:eastAsia="宋体" w:cs="宋体"/>
                <w:color w:val="auto"/>
                <w:szCs w:val="21"/>
                <w:highlight w:val="none"/>
              </w:rPr>
              <w:t>施工图设计文件经审查发现问题后</w:t>
            </w:r>
            <w:r>
              <w:rPr>
                <w:rFonts w:hint="eastAsia" w:hAnsi="宋体" w:eastAsia="宋体" w:cs="宋体"/>
                <w:color w:val="auto"/>
                <w:szCs w:val="21"/>
                <w:highlight w:val="none"/>
                <w:u w:val="single"/>
              </w:rPr>
              <w:t>3</w:t>
            </w:r>
            <w:r>
              <w:rPr>
                <w:rFonts w:hint="eastAsia" w:hAnsi="宋体" w:eastAsia="宋体" w:cs="宋体"/>
                <w:color w:val="auto"/>
                <w:szCs w:val="21"/>
                <w:highlight w:val="none"/>
              </w:rPr>
              <w:t>日内完成补充、修改。修改率较大的按甲方要求的时间完成。</w:t>
            </w:r>
          </w:p>
          <w:p w14:paraId="0310D1A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r>
      <w:tr w14:paraId="3896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3A8C398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2552" w:type="dxa"/>
            <w:vAlign w:val="center"/>
          </w:tcPr>
          <w:p w14:paraId="7D5E5F9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竣工图设计文件</w:t>
            </w:r>
          </w:p>
        </w:tc>
        <w:tc>
          <w:tcPr>
            <w:tcW w:w="923" w:type="dxa"/>
            <w:vAlign w:val="center"/>
          </w:tcPr>
          <w:p w14:paraId="3BADF25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8套</w:t>
            </w:r>
          </w:p>
        </w:tc>
        <w:tc>
          <w:tcPr>
            <w:tcW w:w="2587" w:type="dxa"/>
            <w:vAlign w:val="center"/>
          </w:tcPr>
          <w:p w14:paraId="61695F0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工程初步验收通过后10个日历日内</w:t>
            </w:r>
          </w:p>
        </w:tc>
        <w:tc>
          <w:tcPr>
            <w:tcW w:w="3175" w:type="dxa"/>
            <w:vMerge w:val="continue"/>
          </w:tcPr>
          <w:p w14:paraId="3DCF50F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r>
      <w:tr w14:paraId="6845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00DF83E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2552" w:type="dxa"/>
            <w:vAlign w:val="center"/>
          </w:tcPr>
          <w:p w14:paraId="732461B2">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设计电子文件（包括但不限于非加密且可编辑AutoCAD的版本及不可编辑的PDF版本）</w:t>
            </w:r>
          </w:p>
        </w:tc>
        <w:tc>
          <w:tcPr>
            <w:tcW w:w="923" w:type="dxa"/>
            <w:vAlign w:val="center"/>
          </w:tcPr>
          <w:p w14:paraId="4394AAB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2套（U盘）</w:t>
            </w:r>
          </w:p>
        </w:tc>
        <w:tc>
          <w:tcPr>
            <w:tcW w:w="2587" w:type="dxa"/>
            <w:vAlign w:val="center"/>
          </w:tcPr>
          <w:p w14:paraId="472CD2D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随设计文件一起提交</w:t>
            </w:r>
          </w:p>
        </w:tc>
        <w:tc>
          <w:tcPr>
            <w:tcW w:w="3175" w:type="dxa"/>
            <w:vMerge w:val="continue"/>
          </w:tcPr>
          <w:p w14:paraId="4EEAC85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r>
      <w:tr w14:paraId="0992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tcPr>
          <w:p w14:paraId="20738AB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9237" w:type="dxa"/>
            <w:gridSpan w:val="4"/>
          </w:tcPr>
          <w:p w14:paraId="3ADA85F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评审过程中需要的图纸（属乙方工作范围内的）由乙方按需要提供。</w:t>
            </w:r>
          </w:p>
        </w:tc>
      </w:tr>
    </w:tbl>
    <w:p w14:paraId="3395E4B2">
      <w:pPr>
        <w:rPr>
          <w:rFonts w:hint="eastAsia"/>
          <w:color w:val="auto"/>
          <w:highlight w:val="none"/>
        </w:rPr>
      </w:pPr>
    </w:p>
    <w:p w14:paraId="44FE2901">
      <w:pPr>
        <w:spacing w:line="360" w:lineRule="auto"/>
        <w:ind w:firstLine="482" w:firstLineChars="200"/>
        <w:rPr>
          <w:rFonts w:hint="eastAsia" w:ascii="宋体" w:hAnsi="宋体" w:eastAsia="宋体" w:cs="宋体"/>
          <w:color w:val="auto"/>
          <w:kern w:val="0"/>
          <w:sz w:val="24"/>
          <w:highlight w:val="none"/>
        </w:rPr>
      </w:pPr>
      <w:r>
        <w:rPr>
          <w:rFonts w:hint="eastAsia" w:ascii="宋体" w:hAnsi="宋体" w:eastAsia="宋体" w:cs="宋体"/>
          <w:b/>
          <w:bCs/>
          <w:color w:val="auto"/>
          <w:sz w:val="24"/>
          <w:highlight w:val="none"/>
        </w:rPr>
        <w:t>第七条  设计服务费用</w:t>
      </w:r>
    </w:p>
    <w:p w14:paraId="4AAAEEAC">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kern w:val="0"/>
          <w:sz w:val="24"/>
          <w:highlight w:val="none"/>
        </w:rPr>
        <w:t>7.1本项目</w:t>
      </w:r>
      <w:r>
        <w:rPr>
          <w:rFonts w:hint="eastAsia" w:ascii="宋体" w:hAnsi="宋体" w:eastAsia="宋体" w:cs="宋体"/>
          <w:color w:val="auto"/>
          <w:kern w:val="0"/>
          <w:sz w:val="24"/>
          <w:highlight w:val="none"/>
          <w:lang w:eastAsia="zh-CN"/>
        </w:rPr>
        <w:t>三期</w:t>
      </w:r>
      <w:r>
        <w:rPr>
          <w:rFonts w:hint="eastAsia" w:ascii="宋体" w:hAnsi="宋体" w:eastAsia="宋体" w:cs="宋体"/>
          <w:color w:val="auto"/>
          <w:kern w:val="0"/>
          <w:sz w:val="24"/>
          <w:highlight w:val="none"/>
          <w:lang w:val="en-US" w:eastAsia="zh-CN"/>
        </w:rPr>
        <w:t>总</w:t>
      </w:r>
      <w:r>
        <w:rPr>
          <w:rFonts w:hint="eastAsia" w:ascii="宋体" w:hAnsi="宋体" w:eastAsia="宋体" w:cs="宋体"/>
          <w:color w:val="auto"/>
          <w:kern w:val="0"/>
          <w:sz w:val="24"/>
          <w:highlight w:val="none"/>
        </w:rPr>
        <w:t>设计费暂定合同含税价为人民币(大写）</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元），中标下浮率为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暂定一期设计费为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none"/>
        </w:rPr>
        <w:t>元</w:t>
      </w:r>
      <w:r>
        <w:rPr>
          <w:rFonts w:hint="eastAsia" w:ascii="宋体" w:hAnsi="宋体" w:eastAsia="宋体" w:cs="宋体"/>
          <w:color w:val="auto"/>
          <w:kern w:val="0"/>
          <w:sz w:val="24"/>
          <w:highlight w:val="none"/>
          <w:u w:val="none"/>
          <w:lang w:eastAsia="zh-CN"/>
        </w:rPr>
        <w:t>；</w:t>
      </w:r>
      <w:r>
        <w:rPr>
          <w:rFonts w:hint="eastAsia" w:ascii="宋体" w:hAnsi="宋体" w:eastAsia="宋体" w:cs="宋体"/>
          <w:color w:val="auto"/>
          <w:kern w:val="0"/>
          <w:sz w:val="24"/>
          <w:highlight w:val="none"/>
          <w:lang w:val="en-US" w:eastAsia="zh-CN"/>
        </w:rPr>
        <w:t xml:space="preserve"> 暂定二期设计费为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none"/>
        </w:rPr>
        <w:t>元</w:t>
      </w:r>
      <w:r>
        <w:rPr>
          <w:rFonts w:hint="eastAsia" w:ascii="宋体" w:hAnsi="宋体" w:eastAsia="宋体" w:cs="宋体"/>
          <w:color w:val="auto"/>
          <w:kern w:val="0"/>
          <w:sz w:val="24"/>
          <w:highlight w:val="none"/>
          <w:u w:val="none"/>
          <w:lang w:eastAsia="zh-CN"/>
        </w:rPr>
        <w:t>；</w:t>
      </w:r>
      <w:r>
        <w:rPr>
          <w:rFonts w:hint="eastAsia" w:ascii="宋体" w:hAnsi="宋体" w:eastAsia="宋体" w:cs="宋体"/>
          <w:color w:val="auto"/>
          <w:kern w:val="0"/>
          <w:sz w:val="24"/>
          <w:highlight w:val="none"/>
          <w:lang w:val="en-US" w:eastAsia="zh-CN"/>
        </w:rPr>
        <w:t xml:space="preserve"> 暂定三期设计费为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none"/>
        </w:rPr>
        <w:t xml:space="preserve">     元</w:t>
      </w:r>
      <w:r>
        <w:rPr>
          <w:rFonts w:hint="eastAsia" w:ascii="宋体" w:hAnsi="宋体" w:eastAsia="宋体" w:cs="宋体"/>
          <w:color w:val="auto"/>
          <w:kern w:val="0"/>
          <w:sz w:val="24"/>
          <w:highlight w:val="none"/>
          <w:u w:val="none"/>
          <w:lang w:eastAsia="zh-CN"/>
        </w:rPr>
        <w:t>。</w:t>
      </w:r>
      <w:r>
        <w:rPr>
          <w:rFonts w:hint="eastAsia" w:ascii="宋体" w:hAnsi="宋体" w:eastAsia="宋体" w:cs="宋体"/>
          <w:color w:val="auto"/>
          <w:kern w:val="0"/>
          <w:sz w:val="24"/>
          <w:highlight w:val="none"/>
        </w:rPr>
        <w:t>（详见下表）</w:t>
      </w:r>
      <w:r>
        <w:rPr>
          <w:rFonts w:hint="eastAsia" w:ascii="宋体" w:hAnsi="宋体" w:eastAsia="宋体" w:cs="宋体"/>
          <w:color w:val="auto"/>
          <w:kern w:val="0"/>
          <w:highlight w:val="none"/>
        </w:rPr>
        <w:t>。</w:t>
      </w:r>
    </w:p>
    <w:tbl>
      <w:tblPr>
        <w:tblStyle w:val="45"/>
        <w:tblW w:w="8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1912"/>
        <w:gridCol w:w="2"/>
        <w:gridCol w:w="1341"/>
        <w:gridCol w:w="1332"/>
        <w:gridCol w:w="3567"/>
      </w:tblGrid>
      <w:tr w14:paraId="78F4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tblHeader/>
          <w:jc w:val="center"/>
        </w:trPr>
        <w:tc>
          <w:tcPr>
            <w:tcW w:w="768" w:type="dxa"/>
            <w:vAlign w:val="center"/>
          </w:tcPr>
          <w:p w14:paraId="033F5663">
            <w:pPr>
              <w:pStyle w:val="6"/>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912" w:type="dxa"/>
            <w:vAlign w:val="center"/>
          </w:tcPr>
          <w:p w14:paraId="20E6E005">
            <w:pPr>
              <w:pStyle w:val="6"/>
              <w:keepNext w:val="0"/>
              <w:keepLines w:val="0"/>
              <w:suppressLineNumbers w:val="0"/>
              <w:spacing w:before="0" w:beforeAutospacing="0" w:after="0" w:afterAutospacing="0"/>
              <w:ind w:left="0" w:right="0" w:firstLine="630" w:firstLineChars="3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内容</w:t>
            </w:r>
          </w:p>
        </w:tc>
        <w:tc>
          <w:tcPr>
            <w:tcW w:w="1343" w:type="dxa"/>
            <w:gridSpan w:val="2"/>
            <w:vAlign w:val="center"/>
          </w:tcPr>
          <w:p w14:paraId="7B523632">
            <w:pPr>
              <w:pStyle w:val="6"/>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暂定计费额（万元）</w:t>
            </w:r>
          </w:p>
        </w:tc>
        <w:tc>
          <w:tcPr>
            <w:tcW w:w="1332" w:type="dxa"/>
            <w:vAlign w:val="center"/>
          </w:tcPr>
          <w:p w14:paraId="2977E176">
            <w:pPr>
              <w:pStyle w:val="6"/>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金额（万元）</w:t>
            </w:r>
          </w:p>
        </w:tc>
        <w:tc>
          <w:tcPr>
            <w:tcW w:w="3567" w:type="dxa"/>
            <w:vAlign w:val="center"/>
          </w:tcPr>
          <w:p w14:paraId="0E90FA35">
            <w:pPr>
              <w:pStyle w:val="6"/>
              <w:keepNext w:val="0"/>
              <w:keepLines w:val="0"/>
              <w:suppressLineNumbers w:val="0"/>
              <w:spacing w:before="0" w:beforeAutospacing="0" w:after="0" w:afterAutospacing="0"/>
              <w:ind w:left="0" w:right="0" w:firstLine="1680" w:firstLineChars="8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备注</w:t>
            </w:r>
          </w:p>
        </w:tc>
      </w:tr>
      <w:tr w14:paraId="1244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768" w:type="dxa"/>
            <w:vAlign w:val="center"/>
          </w:tcPr>
          <w:p w14:paraId="5AEED7A3">
            <w:pPr>
              <w:pStyle w:val="6"/>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1912" w:type="dxa"/>
            <w:vAlign w:val="center"/>
          </w:tcPr>
          <w:p w14:paraId="21A92F98">
            <w:pPr>
              <w:pStyle w:val="6"/>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一期</w:t>
            </w:r>
            <w:r>
              <w:rPr>
                <w:rFonts w:hint="eastAsia" w:ascii="宋体" w:hAnsi="宋体" w:eastAsia="宋体" w:cs="宋体"/>
                <w:bCs/>
                <w:color w:val="auto"/>
                <w:szCs w:val="21"/>
                <w:highlight w:val="none"/>
              </w:rPr>
              <w:t>工程设计费</w:t>
            </w:r>
          </w:p>
        </w:tc>
        <w:tc>
          <w:tcPr>
            <w:tcW w:w="1343" w:type="dxa"/>
            <w:gridSpan w:val="2"/>
            <w:vAlign w:val="center"/>
          </w:tcPr>
          <w:p w14:paraId="67001221">
            <w:pPr>
              <w:pStyle w:val="6"/>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szCs w:val="21"/>
                <w:highlight w:val="none"/>
              </w:rPr>
            </w:pPr>
          </w:p>
        </w:tc>
        <w:tc>
          <w:tcPr>
            <w:tcW w:w="1332" w:type="dxa"/>
            <w:vAlign w:val="center"/>
          </w:tcPr>
          <w:p w14:paraId="320AEDE5">
            <w:pPr>
              <w:pStyle w:val="6"/>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3567" w:type="dxa"/>
            <w:vAlign w:val="center"/>
          </w:tcPr>
          <w:p w14:paraId="0196553A">
            <w:pPr>
              <w:pStyle w:val="6"/>
              <w:keepNext w:val="0"/>
              <w:keepLines w:val="0"/>
              <w:suppressLineNumbers w:val="0"/>
              <w:spacing w:before="0" w:beforeAutospacing="0" w:after="0" w:afterAutospacing="0"/>
              <w:ind w:left="0" w:right="0" w:firstLine="0" w:firstLineChars="0"/>
              <w:rPr>
                <w:rFonts w:hint="eastAsia" w:ascii="宋体" w:hAnsi="宋体" w:eastAsia="宋体" w:cs="宋体"/>
                <w:bCs/>
                <w:color w:val="auto"/>
                <w:szCs w:val="21"/>
                <w:highlight w:val="none"/>
              </w:rPr>
            </w:pPr>
          </w:p>
        </w:tc>
      </w:tr>
      <w:tr w14:paraId="3FC3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768" w:type="dxa"/>
            <w:vAlign w:val="center"/>
          </w:tcPr>
          <w:p w14:paraId="501BD149">
            <w:pPr>
              <w:pStyle w:val="6"/>
              <w:keepNext w:val="0"/>
              <w:keepLines w:val="0"/>
              <w:suppressLineNumbers w:val="0"/>
              <w:spacing w:before="0" w:beforeAutospacing="0" w:after="0" w:afterAutospacing="0"/>
              <w:ind w:left="0" w:right="0" w:firstLine="843" w:firstLineChars="4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22</w:t>
            </w:r>
          </w:p>
        </w:tc>
        <w:tc>
          <w:tcPr>
            <w:tcW w:w="1914" w:type="dxa"/>
            <w:gridSpan w:val="2"/>
            <w:vAlign w:val="center"/>
          </w:tcPr>
          <w:p w14:paraId="4F2DB1D9">
            <w:pPr>
              <w:pStyle w:val="6"/>
              <w:keepNext w:val="0"/>
              <w:keepLines w:val="0"/>
              <w:suppressLineNumbers w:val="0"/>
              <w:spacing w:before="0" w:beforeAutospacing="0" w:after="0" w:afterAutospacing="0"/>
              <w:ind w:left="0" w:right="0" w:firstLine="0" w:firstLineChars="0"/>
              <w:jc w:val="center"/>
              <w:rPr>
                <w:rFonts w:hint="eastAsia" w:ascii="宋体" w:hAnsi="宋体" w:eastAsia="宋体" w:cs="宋体"/>
                <w:b/>
                <w:color w:val="auto"/>
                <w:szCs w:val="21"/>
                <w:highlight w:val="none"/>
              </w:rPr>
            </w:pPr>
            <w:r>
              <w:rPr>
                <w:rFonts w:hint="eastAsia" w:ascii="宋体" w:hAnsi="宋体" w:eastAsia="宋体" w:cs="宋体"/>
                <w:bCs/>
                <w:color w:val="auto"/>
                <w:szCs w:val="21"/>
                <w:highlight w:val="none"/>
                <w:lang w:val="en-US" w:eastAsia="zh-CN"/>
              </w:rPr>
              <w:t>二期</w:t>
            </w:r>
            <w:r>
              <w:rPr>
                <w:rFonts w:hint="eastAsia" w:ascii="宋体" w:hAnsi="宋体" w:eastAsia="宋体" w:cs="宋体"/>
                <w:bCs/>
                <w:color w:val="auto"/>
                <w:szCs w:val="21"/>
                <w:highlight w:val="none"/>
              </w:rPr>
              <w:t>工程设计费</w:t>
            </w:r>
          </w:p>
        </w:tc>
        <w:tc>
          <w:tcPr>
            <w:tcW w:w="1341" w:type="dxa"/>
            <w:vAlign w:val="center"/>
          </w:tcPr>
          <w:p w14:paraId="5B4009AC">
            <w:pPr>
              <w:pStyle w:val="6"/>
              <w:keepNext w:val="0"/>
              <w:keepLines w:val="0"/>
              <w:suppressLineNumbers w:val="0"/>
              <w:spacing w:before="0" w:beforeAutospacing="0" w:after="0" w:afterAutospacing="0"/>
              <w:ind w:left="0" w:right="0" w:firstLine="843" w:firstLineChars="400"/>
              <w:rPr>
                <w:rFonts w:hint="eastAsia" w:ascii="宋体" w:hAnsi="宋体" w:eastAsia="宋体" w:cs="宋体"/>
                <w:b/>
                <w:color w:val="auto"/>
                <w:szCs w:val="21"/>
                <w:highlight w:val="none"/>
              </w:rPr>
            </w:pPr>
          </w:p>
        </w:tc>
        <w:tc>
          <w:tcPr>
            <w:tcW w:w="1332" w:type="dxa"/>
            <w:vAlign w:val="center"/>
          </w:tcPr>
          <w:p w14:paraId="5ACE6B59">
            <w:pPr>
              <w:pStyle w:val="6"/>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3567" w:type="dxa"/>
            <w:vAlign w:val="center"/>
          </w:tcPr>
          <w:p w14:paraId="015DFA21">
            <w:pPr>
              <w:pStyle w:val="6"/>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r>
      <w:tr w14:paraId="1B99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768" w:type="dxa"/>
            <w:vAlign w:val="center"/>
          </w:tcPr>
          <w:p w14:paraId="44314BCB">
            <w:pPr>
              <w:pStyle w:val="6"/>
              <w:keepNext w:val="0"/>
              <w:keepLines w:val="0"/>
              <w:suppressLineNumbers w:val="0"/>
              <w:tabs>
                <w:tab w:val="center" w:pos="379"/>
              </w:tabs>
              <w:spacing w:before="0" w:beforeAutospacing="0" w:after="0" w:afterAutospacing="0"/>
              <w:ind w:left="0" w:right="0" w:firstLine="843" w:firstLineChars="40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33</w:t>
            </w:r>
          </w:p>
        </w:tc>
        <w:tc>
          <w:tcPr>
            <w:tcW w:w="1914" w:type="dxa"/>
            <w:gridSpan w:val="2"/>
            <w:vAlign w:val="center"/>
          </w:tcPr>
          <w:p w14:paraId="49FE242E">
            <w:pPr>
              <w:pStyle w:val="6"/>
              <w:keepNext w:val="0"/>
              <w:keepLines w:val="0"/>
              <w:suppressLineNumbers w:val="0"/>
              <w:spacing w:before="0" w:beforeAutospacing="0" w:after="0" w:afterAutospacing="0"/>
              <w:ind w:left="0" w:right="0" w:firstLine="0" w:firstLineChars="0"/>
              <w:jc w:val="center"/>
              <w:rPr>
                <w:rFonts w:hint="eastAsia" w:ascii="宋体" w:hAnsi="宋体" w:eastAsia="宋体" w:cs="宋体"/>
                <w:b/>
                <w:color w:val="auto"/>
                <w:szCs w:val="21"/>
                <w:highlight w:val="none"/>
              </w:rPr>
            </w:pPr>
            <w:r>
              <w:rPr>
                <w:rFonts w:hint="eastAsia" w:ascii="宋体" w:hAnsi="宋体" w:eastAsia="宋体" w:cs="宋体"/>
                <w:bCs/>
                <w:color w:val="auto"/>
                <w:szCs w:val="21"/>
                <w:highlight w:val="none"/>
                <w:lang w:val="en-US" w:eastAsia="zh-CN"/>
              </w:rPr>
              <w:t>三期</w:t>
            </w:r>
            <w:r>
              <w:rPr>
                <w:rFonts w:hint="eastAsia" w:ascii="宋体" w:hAnsi="宋体" w:eastAsia="宋体" w:cs="宋体"/>
                <w:bCs/>
                <w:color w:val="auto"/>
                <w:szCs w:val="21"/>
                <w:highlight w:val="none"/>
              </w:rPr>
              <w:t>工程设计费</w:t>
            </w:r>
          </w:p>
        </w:tc>
        <w:tc>
          <w:tcPr>
            <w:tcW w:w="1341" w:type="dxa"/>
            <w:vAlign w:val="center"/>
          </w:tcPr>
          <w:p w14:paraId="51F16226">
            <w:pPr>
              <w:pStyle w:val="6"/>
              <w:keepNext w:val="0"/>
              <w:keepLines w:val="0"/>
              <w:suppressLineNumbers w:val="0"/>
              <w:spacing w:before="0" w:beforeAutospacing="0" w:after="0" w:afterAutospacing="0"/>
              <w:ind w:left="0" w:right="0" w:firstLine="843" w:firstLineChars="400"/>
              <w:rPr>
                <w:rFonts w:hint="eastAsia" w:ascii="宋体" w:hAnsi="宋体" w:eastAsia="宋体" w:cs="宋体"/>
                <w:b/>
                <w:color w:val="auto"/>
                <w:szCs w:val="21"/>
                <w:highlight w:val="none"/>
              </w:rPr>
            </w:pPr>
          </w:p>
        </w:tc>
        <w:tc>
          <w:tcPr>
            <w:tcW w:w="1332" w:type="dxa"/>
            <w:vAlign w:val="center"/>
          </w:tcPr>
          <w:p w14:paraId="628D339C">
            <w:pPr>
              <w:pStyle w:val="6"/>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3567" w:type="dxa"/>
            <w:vAlign w:val="center"/>
          </w:tcPr>
          <w:p w14:paraId="6454A73E">
            <w:pPr>
              <w:pStyle w:val="6"/>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r>
      <w:tr w14:paraId="68884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023" w:type="dxa"/>
            <w:gridSpan w:val="4"/>
            <w:vAlign w:val="center"/>
          </w:tcPr>
          <w:p w14:paraId="31B3AE24">
            <w:pPr>
              <w:pStyle w:val="6"/>
              <w:keepNext w:val="0"/>
              <w:keepLines w:val="0"/>
              <w:suppressLineNumbers w:val="0"/>
              <w:spacing w:before="0" w:beforeAutospacing="0" w:after="0" w:afterAutospacing="0"/>
              <w:ind w:left="0" w:right="0" w:firstLine="843" w:firstLineChars="4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工程设计费合计</w:t>
            </w:r>
          </w:p>
        </w:tc>
        <w:tc>
          <w:tcPr>
            <w:tcW w:w="1332" w:type="dxa"/>
            <w:vAlign w:val="center"/>
          </w:tcPr>
          <w:p w14:paraId="2C9840D9">
            <w:pPr>
              <w:pStyle w:val="6"/>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3567" w:type="dxa"/>
            <w:vAlign w:val="center"/>
          </w:tcPr>
          <w:p w14:paraId="532A4B48">
            <w:pPr>
              <w:pStyle w:val="6"/>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r>
    </w:tbl>
    <w:p w14:paraId="6C18C4EE">
      <w:pPr>
        <w:pStyle w:val="6"/>
        <w:rPr>
          <w:rFonts w:hint="eastAsia" w:ascii="宋体" w:hAnsi="宋体" w:eastAsia="宋体" w:cs="宋体"/>
          <w:color w:val="auto"/>
          <w:highlight w:val="none"/>
        </w:rPr>
      </w:pPr>
    </w:p>
    <w:p w14:paraId="6B179E20">
      <w:pPr>
        <w:pStyle w:val="40"/>
        <w:spacing w:before="0" w:beforeAutospacing="0" w:after="0" w:afterAutospacing="0" w:line="360" w:lineRule="auto"/>
        <w:ind w:firstLine="480" w:firstLineChars="200"/>
        <w:jc w:val="both"/>
        <w:rPr>
          <w:rFonts w:hint="eastAsia" w:eastAsia="宋体" w:cs="宋体"/>
          <w:color w:val="auto"/>
          <w:highlight w:val="none"/>
        </w:rPr>
      </w:pPr>
      <w:r>
        <w:rPr>
          <w:rFonts w:hint="eastAsia" w:eastAsia="宋体" w:cs="宋体"/>
          <w:color w:val="auto"/>
          <w:highlight w:val="none"/>
        </w:rPr>
        <w:t>7.2工程设计费已包括各设计阶段评审及征询意见所发生的费用，包括税金、咨询费、评审费、专家费、专家交通费、施工阶段技术人员驻场费以及变更设计等费用。其中乙方应支付的专家费包括初步设计评审和基坑支护设计技术论证、施工图专家评审、不良地质处理论证等评审或论证会需支付的专家费。</w:t>
      </w:r>
    </w:p>
    <w:p w14:paraId="46CA394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7.3设计费结算</w:t>
      </w:r>
    </w:p>
    <w:p w14:paraId="10CC731B">
      <w:pPr>
        <w:spacing w:line="360" w:lineRule="auto"/>
        <w:ind w:firstLine="630"/>
        <w:rPr>
          <w:rFonts w:hint="eastAsia" w:ascii="宋体" w:hAnsi="宋体" w:eastAsia="宋体" w:cs="宋体"/>
          <w:color w:val="auto"/>
          <w:sz w:val="24"/>
          <w:highlight w:val="none"/>
        </w:rPr>
      </w:pPr>
      <w:r>
        <w:rPr>
          <w:rFonts w:hint="eastAsia" w:ascii="宋体" w:hAnsi="宋体" w:eastAsia="宋体" w:cs="宋体"/>
          <w:color w:val="auto"/>
          <w:sz w:val="24"/>
          <w:highlight w:val="none"/>
        </w:rPr>
        <w:t>本工程中标设计费仅作为签约暂定合同价。设计费结算以经甲方最终确定的施工图预算为计费基数，按《工程勘察设计收费标准》（2002年修订本）规定计算的设计收费基价并结合各调整系数（工程复杂程度调整系数为1.0、专业调整系数为1.</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、附加调整系数为1.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）乘以</w:t>
      </w:r>
      <w:r>
        <w:rPr>
          <w:rFonts w:hint="eastAsia" w:ascii="宋体" w:hAnsi="宋体" w:eastAsia="宋体" w:cs="宋体"/>
          <w:color w:val="auto"/>
          <w:sz w:val="24"/>
          <w:highlight w:val="none"/>
          <w:lang w:val="zh-CN"/>
        </w:rPr>
        <w:t>（1</w:t>
      </w:r>
      <w:r>
        <w:rPr>
          <w:rFonts w:hint="eastAsia" w:ascii="宋体" w:hAnsi="宋体" w:eastAsia="宋体" w:cs="宋体"/>
          <w:color w:val="auto"/>
          <w:sz w:val="24"/>
          <w:highlight w:val="none"/>
        </w:rPr>
        <w:t>-设计</w:t>
      </w:r>
      <w:r>
        <w:rPr>
          <w:rFonts w:hint="eastAsia" w:ascii="宋体" w:hAnsi="宋体" w:eastAsia="宋体" w:cs="宋体"/>
          <w:color w:val="auto"/>
          <w:sz w:val="24"/>
          <w:highlight w:val="none"/>
          <w:lang w:val="zh-CN"/>
        </w:rPr>
        <w:t>费</w:t>
      </w:r>
      <w:r>
        <w:rPr>
          <w:rFonts w:hint="eastAsia" w:ascii="宋体" w:hAnsi="宋体" w:eastAsia="宋体" w:cs="宋体"/>
          <w:color w:val="auto"/>
          <w:sz w:val="24"/>
          <w:highlight w:val="none"/>
        </w:rPr>
        <w:t>中标</w:t>
      </w:r>
      <w:r>
        <w:rPr>
          <w:rFonts w:hint="eastAsia" w:ascii="宋体" w:hAnsi="宋体" w:eastAsia="宋体" w:cs="宋体"/>
          <w:color w:val="auto"/>
          <w:sz w:val="24"/>
          <w:highlight w:val="none"/>
          <w:lang w:val="zh-CN"/>
        </w:rPr>
        <w:t>下浮率）</w:t>
      </w:r>
      <w:r>
        <w:rPr>
          <w:rFonts w:hint="eastAsia" w:ascii="宋体" w:hAnsi="宋体" w:eastAsia="宋体" w:cs="宋体"/>
          <w:color w:val="auto"/>
          <w:sz w:val="24"/>
          <w:highlight w:val="none"/>
          <w:lang w:val="en-US" w:eastAsia="zh-CN"/>
        </w:rPr>
        <w:t>-概念性设计方案费96万元</w:t>
      </w:r>
      <w:r>
        <w:rPr>
          <w:rFonts w:hint="eastAsia" w:ascii="宋体" w:hAnsi="宋体" w:eastAsia="宋体" w:cs="宋体"/>
          <w:color w:val="auto"/>
          <w:sz w:val="24"/>
          <w:highlight w:val="none"/>
        </w:rPr>
        <w:t>计算。</w:t>
      </w:r>
    </w:p>
    <w:p w14:paraId="13AFE2E2">
      <w:pPr>
        <w:spacing w:line="360" w:lineRule="auto"/>
        <w:ind w:firstLine="630"/>
        <w:rPr>
          <w:rFonts w:hint="eastAsia" w:ascii="宋体" w:hAnsi="宋体" w:eastAsia="宋体" w:cs="宋体"/>
          <w:color w:val="auto"/>
          <w:sz w:val="24"/>
          <w:highlight w:val="none"/>
        </w:rPr>
      </w:pPr>
      <w:r>
        <w:rPr>
          <w:rFonts w:hint="eastAsia" w:ascii="宋体" w:hAnsi="宋体" w:eastAsia="宋体" w:cs="宋体"/>
          <w:color w:val="auto"/>
          <w:sz w:val="24"/>
          <w:highlight w:val="none"/>
        </w:rPr>
        <w:t>设计费结算价不得超过设计费</w:t>
      </w:r>
      <w:r>
        <w:rPr>
          <w:rFonts w:hint="eastAsia" w:ascii="宋体" w:hAnsi="宋体" w:eastAsia="宋体" w:cs="宋体"/>
          <w:color w:val="auto"/>
          <w:sz w:val="24"/>
          <w:highlight w:val="none"/>
          <w:lang w:eastAsia="zh-CN"/>
        </w:rPr>
        <w:t>该期</w:t>
      </w:r>
      <w:r>
        <w:rPr>
          <w:rFonts w:hint="eastAsia" w:ascii="宋体" w:hAnsi="宋体" w:eastAsia="宋体" w:cs="宋体"/>
          <w:color w:val="auto"/>
          <w:sz w:val="24"/>
          <w:highlight w:val="none"/>
        </w:rPr>
        <w:t>中标价，如超过中标价，则按</w:t>
      </w:r>
      <w:r>
        <w:rPr>
          <w:rFonts w:hint="eastAsia" w:ascii="宋体" w:hAnsi="宋体" w:eastAsia="宋体" w:cs="宋体"/>
          <w:color w:val="auto"/>
          <w:sz w:val="24"/>
          <w:highlight w:val="none"/>
          <w:lang w:eastAsia="zh-CN"/>
        </w:rPr>
        <w:t>该期</w:t>
      </w:r>
      <w:r>
        <w:rPr>
          <w:rFonts w:hint="eastAsia" w:ascii="宋体" w:hAnsi="宋体" w:eastAsia="宋体" w:cs="宋体"/>
          <w:color w:val="auto"/>
          <w:sz w:val="24"/>
          <w:highlight w:val="none"/>
        </w:rPr>
        <w:t>设计费中标价结算，最终结算价以甲方审核意见为准。</w:t>
      </w:r>
    </w:p>
    <w:p w14:paraId="5D3C06CB">
      <w:pPr>
        <w:spacing w:line="360" w:lineRule="auto"/>
        <w:ind w:firstLine="63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乙方根据甲方要求指派的设计代表驻施工现场，费用包含在设计费中。</w:t>
      </w:r>
    </w:p>
    <w:p w14:paraId="29F72BC7">
      <w:pPr>
        <w:spacing w:line="360" w:lineRule="auto"/>
        <w:ind w:firstLine="63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第八条　支付方式</w:t>
      </w:r>
    </w:p>
    <w:p w14:paraId="313ABF8E">
      <w:pPr>
        <w:pStyle w:val="40"/>
        <w:spacing w:before="0" w:beforeAutospacing="0" w:after="0" w:afterAutospacing="0" w:line="360" w:lineRule="auto"/>
        <w:ind w:firstLine="480" w:firstLineChars="200"/>
        <w:rPr>
          <w:rFonts w:hint="eastAsia" w:eastAsia="宋体" w:cs="宋体"/>
          <w:color w:val="auto"/>
          <w:kern w:val="2"/>
          <w:highlight w:val="none"/>
        </w:rPr>
      </w:pPr>
      <w:r>
        <w:rPr>
          <w:rFonts w:hint="eastAsia" w:eastAsia="宋体" w:cs="宋体"/>
          <w:color w:val="auto"/>
          <w:kern w:val="2"/>
          <w:highlight w:val="none"/>
        </w:rPr>
        <w:t>8.1</w:t>
      </w:r>
      <w:r>
        <w:rPr>
          <w:rFonts w:hint="eastAsia" w:eastAsia="宋体" w:cs="宋体"/>
          <w:color w:val="auto"/>
          <w:kern w:val="2"/>
          <w:highlight w:val="none"/>
          <w:lang w:val="en-US" w:eastAsia="zh-CN"/>
        </w:rPr>
        <w:t>一期</w:t>
      </w:r>
      <w:r>
        <w:rPr>
          <w:rFonts w:hint="eastAsia" w:eastAsia="宋体" w:cs="宋体"/>
          <w:color w:val="auto"/>
          <w:kern w:val="2"/>
          <w:highlight w:val="none"/>
        </w:rPr>
        <w:t>支付进度</w:t>
      </w:r>
    </w:p>
    <w:p w14:paraId="2BD38209">
      <w:pPr>
        <w:spacing w:line="360" w:lineRule="auto"/>
        <w:ind w:firstLine="630"/>
        <w:rPr>
          <w:rFonts w:hint="eastAsia" w:ascii="宋体" w:hAnsi="宋体" w:eastAsia="宋体" w:cs="宋体"/>
          <w:color w:val="auto"/>
          <w:sz w:val="24"/>
          <w:highlight w:val="none"/>
        </w:rPr>
      </w:pPr>
      <w:r>
        <w:rPr>
          <w:rFonts w:hint="eastAsia" w:ascii="宋体" w:hAnsi="宋体" w:eastAsia="宋体" w:cs="宋体"/>
          <w:color w:val="auto"/>
          <w:sz w:val="24"/>
          <w:highlight w:val="none"/>
        </w:rPr>
        <w:t>8.1.1合同生效，乙方提交请款手续后</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个工作日内，甲方</w:t>
      </w:r>
      <w:r>
        <w:rPr>
          <w:rFonts w:hint="eastAsia" w:ascii="宋体" w:hAnsi="宋体" w:eastAsia="宋体" w:cs="宋体"/>
          <w:color w:val="auto"/>
          <w:sz w:val="24"/>
          <w:highlight w:val="none"/>
          <w:lang w:eastAsia="zh-CN"/>
        </w:rPr>
        <w:t>项目</w:t>
      </w:r>
      <w:r>
        <w:rPr>
          <w:rFonts w:hint="eastAsia" w:ascii="宋体" w:hAnsi="宋体" w:eastAsia="宋体" w:cs="宋体"/>
          <w:color w:val="auto"/>
          <w:sz w:val="24"/>
          <w:highlight w:val="none"/>
          <w:lang w:val="en-US" w:eastAsia="zh-CN"/>
        </w:rPr>
        <w:t>一期</w:t>
      </w:r>
      <w:r>
        <w:rPr>
          <w:rFonts w:hint="eastAsia" w:ascii="宋体" w:hAnsi="宋体" w:eastAsia="宋体" w:cs="宋体"/>
          <w:color w:val="auto"/>
          <w:sz w:val="24"/>
          <w:highlight w:val="none"/>
        </w:rPr>
        <w:t>支付设计费暂定合同价20%。</w:t>
      </w:r>
    </w:p>
    <w:p w14:paraId="2A057852">
      <w:pPr>
        <w:spacing w:line="360" w:lineRule="auto"/>
        <w:ind w:firstLine="630"/>
        <w:rPr>
          <w:rFonts w:hint="eastAsia" w:ascii="宋体" w:hAnsi="宋体" w:eastAsia="宋体" w:cs="宋体"/>
          <w:color w:val="auto"/>
          <w:sz w:val="24"/>
          <w:highlight w:val="none"/>
        </w:rPr>
      </w:pPr>
      <w:r>
        <w:rPr>
          <w:rFonts w:hint="eastAsia" w:ascii="宋体" w:hAnsi="宋体" w:eastAsia="宋体" w:cs="宋体"/>
          <w:color w:val="auto"/>
          <w:sz w:val="24"/>
          <w:highlight w:val="none"/>
        </w:rPr>
        <w:t>8.1.2取得建设工程规划许可证后，乙方</w:t>
      </w:r>
      <w:r>
        <w:rPr>
          <w:rFonts w:hint="eastAsia" w:ascii="宋体" w:hAnsi="宋体" w:eastAsia="宋体" w:cs="宋体"/>
          <w:color w:val="auto"/>
          <w:sz w:val="24"/>
          <w:highlight w:val="none"/>
          <w:lang w:val="en-US" w:eastAsia="zh-CN"/>
        </w:rPr>
        <w:t>向甲方</w:t>
      </w:r>
      <w:r>
        <w:rPr>
          <w:rFonts w:hint="eastAsia" w:ascii="宋体" w:hAnsi="宋体" w:eastAsia="宋体" w:cs="宋体"/>
          <w:color w:val="auto"/>
          <w:sz w:val="24"/>
          <w:highlight w:val="none"/>
        </w:rPr>
        <w:t>提交完整支付申请资料后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lang w:val="en-US" w:eastAsia="zh-CN"/>
        </w:rPr>
        <w:t>在4</w:t>
      </w:r>
      <w:r>
        <w:rPr>
          <w:rFonts w:hint="eastAsia" w:ascii="宋体" w:hAnsi="宋体" w:eastAsia="宋体" w:cs="宋体"/>
          <w:color w:val="auto"/>
          <w:sz w:val="24"/>
          <w:highlight w:val="none"/>
        </w:rPr>
        <w:t>5个工作日内，</w:t>
      </w:r>
      <w:r>
        <w:rPr>
          <w:rFonts w:hint="eastAsia" w:ascii="宋体" w:hAnsi="宋体" w:eastAsia="宋体" w:cs="宋体"/>
          <w:color w:val="auto"/>
          <w:sz w:val="24"/>
          <w:highlight w:val="none"/>
          <w:lang w:val="en-US" w:eastAsia="zh-CN"/>
        </w:rPr>
        <w:t>按甲方累计支付至该期设计费暂定合同价的40%。</w:t>
      </w:r>
    </w:p>
    <w:p w14:paraId="60A4D17D">
      <w:pPr>
        <w:spacing w:line="360" w:lineRule="auto"/>
        <w:ind w:firstLine="630"/>
        <w:rPr>
          <w:rFonts w:hint="eastAsia" w:ascii="宋体" w:hAnsi="宋体" w:eastAsia="宋体" w:cs="宋体"/>
          <w:color w:val="auto"/>
          <w:sz w:val="24"/>
          <w:highlight w:val="none"/>
        </w:rPr>
      </w:pPr>
      <w:r>
        <w:rPr>
          <w:rFonts w:hint="eastAsia" w:ascii="宋体" w:hAnsi="宋体" w:eastAsia="宋体" w:cs="宋体"/>
          <w:color w:val="auto"/>
          <w:sz w:val="24"/>
          <w:highlight w:val="none"/>
        </w:rPr>
        <w:t>8.1.3</w:t>
      </w:r>
      <w:r>
        <w:rPr>
          <w:rFonts w:hint="eastAsia" w:ascii="宋体" w:hAnsi="宋体" w:eastAsia="宋体" w:cs="宋体"/>
          <w:color w:val="auto"/>
          <w:sz w:val="24"/>
          <w:highlight w:val="none"/>
          <w:lang w:val="en-US" w:eastAsia="zh-CN"/>
        </w:rPr>
        <w:t>监理工程师</w:t>
      </w:r>
      <w:r>
        <w:rPr>
          <w:rFonts w:hint="eastAsia" w:ascii="宋体" w:hAnsi="宋体" w:eastAsia="宋体" w:cs="宋体"/>
          <w:color w:val="auto"/>
          <w:sz w:val="24"/>
          <w:highlight w:val="none"/>
        </w:rPr>
        <w:t>发出开工令后，乙方</w:t>
      </w:r>
      <w:r>
        <w:rPr>
          <w:rFonts w:hint="eastAsia" w:ascii="宋体" w:hAnsi="宋体" w:eastAsia="宋体" w:cs="宋体"/>
          <w:color w:val="auto"/>
          <w:sz w:val="24"/>
          <w:highlight w:val="none"/>
          <w:lang w:val="en-US" w:eastAsia="zh-CN"/>
        </w:rPr>
        <w:t>按向甲方</w:t>
      </w:r>
      <w:r>
        <w:rPr>
          <w:rFonts w:hint="eastAsia" w:ascii="宋体" w:hAnsi="宋体" w:eastAsia="宋体" w:cs="宋体"/>
          <w:color w:val="auto"/>
          <w:sz w:val="24"/>
          <w:highlight w:val="none"/>
        </w:rPr>
        <w:t>提交完整支付申请资料后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lang w:val="en-US" w:eastAsia="zh-CN"/>
        </w:rPr>
        <w:t>在20</w:t>
      </w:r>
      <w:r>
        <w:rPr>
          <w:rFonts w:hint="eastAsia" w:ascii="宋体" w:hAnsi="宋体" w:eastAsia="宋体" w:cs="宋体"/>
          <w:color w:val="auto"/>
          <w:sz w:val="24"/>
          <w:highlight w:val="none"/>
        </w:rPr>
        <w:t>个工作日内，</w:t>
      </w:r>
      <w:r>
        <w:rPr>
          <w:rFonts w:hint="eastAsia" w:ascii="宋体" w:hAnsi="宋体" w:eastAsia="宋体" w:cs="宋体"/>
          <w:color w:val="auto"/>
          <w:sz w:val="24"/>
          <w:highlight w:val="none"/>
          <w:lang w:val="en-US" w:eastAsia="zh-CN"/>
        </w:rPr>
        <w:t>按甲方累计支付至该期设计费暂定合同价的50%。</w:t>
      </w:r>
    </w:p>
    <w:p w14:paraId="72B618CB">
      <w:pPr>
        <w:spacing w:line="360" w:lineRule="auto"/>
        <w:ind w:firstLine="630"/>
        <w:rPr>
          <w:rFonts w:hint="eastAsia" w:ascii="宋体" w:hAnsi="宋体" w:eastAsia="宋体" w:cs="宋体"/>
          <w:color w:val="auto"/>
          <w:sz w:val="24"/>
          <w:highlight w:val="none"/>
        </w:rPr>
      </w:pPr>
      <w:r>
        <w:rPr>
          <w:rFonts w:hint="eastAsia" w:ascii="宋体" w:hAnsi="宋体" w:eastAsia="宋体" w:cs="宋体"/>
          <w:color w:val="auto"/>
          <w:sz w:val="24"/>
          <w:highlight w:val="none"/>
        </w:rPr>
        <w:t>8.1.4</w:t>
      </w:r>
      <w:r>
        <w:rPr>
          <w:rFonts w:hint="eastAsia" w:ascii="宋体" w:hAnsi="宋体" w:eastAsia="宋体" w:cs="宋体"/>
          <w:color w:val="auto"/>
          <w:sz w:val="24"/>
          <w:highlight w:val="none"/>
          <w:lang w:val="en-US" w:eastAsia="zh-CN"/>
        </w:rPr>
        <w:t>当期图纸完成审图并移交给甲方后</w:t>
      </w: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lang w:val="en-US" w:eastAsia="zh-CN"/>
        </w:rPr>
        <w:t>向甲方</w:t>
      </w:r>
      <w:r>
        <w:rPr>
          <w:rFonts w:hint="eastAsia" w:ascii="宋体" w:hAnsi="宋体" w:eastAsia="宋体" w:cs="宋体"/>
          <w:color w:val="auto"/>
          <w:sz w:val="24"/>
          <w:highlight w:val="none"/>
        </w:rPr>
        <w:t>提交完整支付申请资料后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lang w:val="en-US" w:eastAsia="zh-CN"/>
        </w:rPr>
        <w:t>在20</w:t>
      </w:r>
      <w:r>
        <w:rPr>
          <w:rFonts w:hint="eastAsia" w:ascii="宋体" w:hAnsi="宋体" w:eastAsia="宋体" w:cs="宋体"/>
          <w:color w:val="auto"/>
          <w:sz w:val="24"/>
          <w:highlight w:val="none"/>
        </w:rPr>
        <w:t>个工作日内，甲方累计支付至</w:t>
      </w:r>
      <w:r>
        <w:rPr>
          <w:rFonts w:hint="eastAsia" w:ascii="宋体" w:hAnsi="宋体" w:eastAsia="宋体" w:cs="宋体"/>
          <w:color w:val="auto"/>
          <w:sz w:val="24"/>
          <w:highlight w:val="none"/>
          <w:lang w:val="en-US" w:eastAsia="zh-CN"/>
        </w:rPr>
        <w:t>该期</w:t>
      </w:r>
      <w:r>
        <w:rPr>
          <w:rFonts w:hint="eastAsia" w:ascii="宋体" w:hAnsi="宋体" w:eastAsia="宋体" w:cs="宋体"/>
          <w:color w:val="auto"/>
          <w:sz w:val="24"/>
          <w:highlight w:val="none"/>
        </w:rPr>
        <w:t>设计费暂定合同价的</w:t>
      </w:r>
      <w:r>
        <w:rPr>
          <w:rFonts w:hint="eastAsia" w:ascii="宋体" w:hAnsi="宋体" w:eastAsia="宋体" w:cs="宋体"/>
          <w:color w:val="auto"/>
          <w:sz w:val="24"/>
          <w:highlight w:val="none"/>
          <w:lang w:val="en-US" w:eastAsia="zh-CN"/>
        </w:rPr>
        <w:t>85</w:t>
      </w:r>
      <w:r>
        <w:rPr>
          <w:rFonts w:hint="eastAsia" w:ascii="宋体" w:hAnsi="宋体" w:eastAsia="宋体" w:cs="宋体"/>
          <w:color w:val="auto"/>
          <w:sz w:val="24"/>
          <w:highlight w:val="none"/>
        </w:rPr>
        <w:t>%。</w:t>
      </w:r>
    </w:p>
    <w:p w14:paraId="56078B4F">
      <w:pPr>
        <w:spacing w:line="360" w:lineRule="auto"/>
        <w:ind w:firstLine="63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8.1.5 主体结构封顶后，乙方向甲方提交完整支付申请资料后，甲方在20个工作日内，甲方累计支付至该期设计费暂定合同价的95%。</w:t>
      </w:r>
    </w:p>
    <w:p w14:paraId="25F279C4">
      <w:pPr>
        <w:spacing w:line="360" w:lineRule="auto"/>
        <w:ind w:firstLine="630"/>
        <w:rPr>
          <w:rFonts w:hint="eastAsia" w:ascii="宋体" w:hAnsi="宋体" w:eastAsia="宋体" w:cs="宋体"/>
          <w:color w:val="auto"/>
          <w:sz w:val="24"/>
          <w:highlight w:val="none"/>
        </w:rPr>
      </w:pPr>
      <w:r>
        <w:rPr>
          <w:rFonts w:hint="eastAsia" w:ascii="宋体" w:hAnsi="宋体" w:eastAsia="宋体" w:cs="宋体"/>
          <w:color w:val="auto"/>
          <w:sz w:val="24"/>
          <w:highlight w:val="none"/>
        </w:rPr>
        <w:t>8.1.</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项目竣工且联合验收合格</w:t>
      </w:r>
      <w:r>
        <w:rPr>
          <w:rFonts w:hint="eastAsia" w:ascii="宋体" w:hAnsi="宋体" w:eastAsia="宋体" w:cs="宋体"/>
          <w:color w:val="auto"/>
          <w:sz w:val="24"/>
          <w:highlight w:val="none"/>
          <w:lang w:val="en-US" w:eastAsia="zh-CN"/>
        </w:rPr>
        <w:t>并</w:t>
      </w:r>
      <w:r>
        <w:rPr>
          <w:rFonts w:hint="eastAsia" w:ascii="宋体" w:hAnsi="宋体" w:eastAsia="宋体" w:cs="宋体"/>
          <w:color w:val="auto"/>
          <w:sz w:val="24"/>
          <w:highlight w:val="none"/>
        </w:rPr>
        <w:t>委托的第三方单位评审通过</w:t>
      </w:r>
      <w:r>
        <w:rPr>
          <w:rFonts w:hint="eastAsia" w:ascii="宋体" w:hAnsi="宋体" w:eastAsia="宋体" w:cs="宋体"/>
          <w:color w:val="auto"/>
          <w:sz w:val="24"/>
          <w:highlight w:val="none"/>
          <w:lang w:val="en-US" w:eastAsia="zh-CN"/>
        </w:rPr>
        <w:t>后</w:t>
      </w: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lang w:val="en-US" w:eastAsia="zh-CN"/>
        </w:rPr>
        <w:t>向甲方</w:t>
      </w:r>
      <w:r>
        <w:rPr>
          <w:rFonts w:hint="eastAsia" w:ascii="宋体" w:hAnsi="宋体" w:eastAsia="宋体" w:cs="宋体"/>
          <w:color w:val="auto"/>
          <w:sz w:val="24"/>
          <w:highlight w:val="none"/>
        </w:rPr>
        <w:t>提交完整支付申请资料后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lang w:val="en-US" w:eastAsia="zh-CN"/>
        </w:rPr>
        <w:t>在</w:t>
      </w:r>
      <w:r>
        <w:rPr>
          <w:rFonts w:hint="eastAsia" w:ascii="宋体" w:hAnsi="宋体" w:eastAsia="宋体" w:cs="宋体"/>
          <w:color w:val="auto"/>
          <w:sz w:val="24"/>
          <w:highlight w:val="none"/>
        </w:rPr>
        <w:t>15个工作日内，甲方累计支付至</w:t>
      </w:r>
      <w:r>
        <w:rPr>
          <w:rFonts w:hint="eastAsia" w:ascii="宋体" w:hAnsi="宋体" w:eastAsia="宋体" w:cs="宋体"/>
          <w:color w:val="auto"/>
          <w:sz w:val="24"/>
          <w:highlight w:val="none"/>
          <w:lang w:val="en-US" w:eastAsia="zh-CN"/>
        </w:rPr>
        <w:t>该期</w:t>
      </w:r>
      <w:r>
        <w:rPr>
          <w:rFonts w:hint="eastAsia" w:ascii="宋体" w:hAnsi="宋体" w:eastAsia="宋体" w:cs="宋体"/>
          <w:color w:val="auto"/>
          <w:sz w:val="24"/>
          <w:highlight w:val="none"/>
        </w:rPr>
        <w:t>设计费最终结算价的100%。</w:t>
      </w:r>
    </w:p>
    <w:p w14:paraId="297DEC99">
      <w:pPr>
        <w:pStyle w:val="17"/>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8.2二期支付进度</w:t>
      </w:r>
    </w:p>
    <w:p w14:paraId="3A920186">
      <w:pPr>
        <w:spacing w:line="360" w:lineRule="auto"/>
        <w:ind w:firstLine="63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甲方发出二期开工通知后且</w:t>
      </w:r>
      <w:r>
        <w:rPr>
          <w:rFonts w:hint="eastAsia" w:ascii="宋体" w:hAnsi="宋体" w:eastAsia="宋体" w:cs="宋体"/>
          <w:color w:val="auto"/>
          <w:sz w:val="24"/>
          <w:highlight w:val="none"/>
        </w:rPr>
        <w:t>乙方提交请款手续后</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个工作日内，甲方支付设计费暂定合同价20%。</w:t>
      </w:r>
    </w:p>
    <w:p w14:paraId="00A922E7">
      <w:pPr>
        <w:spacing w:line="360" w:lineRule="auto"/>
        <w:ind w:firstLine="630"/>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.2取得建设工程规划许可证后，乙方</w:t>
      </w:r>
      <w:r>
        <w:rPr>
          <w:rFonts w:hint="eastAsia" w:ascii="宋体" w:hAnsi="宋体" w:eastAsia="宋体" w:cs="宋体"/>
          <w:color w:val="auto"/>
          <w:sz w:val="24"/>
          <w:highlight w:val="none"/>
          <w:lang w:val="en-US" w:eastAsia="zh-CN"/>
        </w:rPr>
        <w:t>向甲方</w:t>
      </w:r>
      <w:r>
        <w:rPr>
          <w:rFonts w:hint="eastAsia" w:ascii="宋体" w:hAnsi="宋体" w:eastAsia="宋体" w:cs="宋体"/>
          <w:color w:val="auto"/>
          <w:sz w:val="24"/>
          <w:highlight w:val="none"/>
        </w:rPr>
        <w:t>提交完整支付申请资料后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lang w:val="en-US" w:eastAsia="zh-CN"/>
        </w:rPr>
        <w:t>在45</w:t>
      </w:r>
      <w:r>
        <w:rPr>
          <w:rFonts w:hint="eastAsia" w:ascii="宋体" w:hAnsi="宋体" w:eastAsia="宋体" w:cs="宋体"/>
          <w:color w:val="auto"/>
          <w:sz w:val="24"/>
          <w:highlight w:val="none"/>
        </w:rPr>
        <w:t>个工作日内，</w:t>
      </w:r>
      <w:r>
        <w:rPr>
          <w:rFonts w:hint="eastAsia" w:ascii="宋体" w:hAnsi="宋体" w:eastAsia="宋体" w:cs="宋体"/>
          <w:color w:val="auto"/>
          <w:sz w:val="24"/>
          <w:highlight w:val="none"/>
          <w:lang w:val="en-US" w:eastAsia="zh-CN"/>
        </w:rPr>
        <w:t>甲方累计支付至该期设计费暂定合同价的40%。</w:t>
      </w:r>
    </w:p>
    <w:p w14:paraId="67DF3652">
      <w:pPr>
        <w:spacing w:line="360" w:lineRule="auto"/>
        <w:ind w:firstLine="630"/>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监理工程师</w:t>
      </w:r>
      <w:r>
        <w:rPr>
          <w:rFonts w:hint="eastAsia" w:ascii="宋体" w:hAnsi="宋体" w:eastAsia="宋体" w:cs="宋体"/>
          <w:color w:val="auto"/>
          <w:sz w:val="24"/>
          <w:highlight w:val="none"/>
        </w:rPr>
        <w:t>发出开工令后，乙方</w:t>
      </w:r>
      <w:r>
        <w:rPr>
          <w:rFonts w:hint="eastAsia" w:ascii="宋体" w:hAnsi="宋体" w:eastAsia="宋体" w:cs="宋体"/>
          <w:color w:val="auto"/>
          <w:sz w:val="24"/>
          <w:highlight w:val="none"/>
          <w:lang w:val="en-US" w:eastAsia="zh-CN"/>
        </w:rPr>
        <w:t>向甲方</w:t>
      </w:r>
      <w:r>
        <w:rPr>
          <w:rFonts w:hint="eastAsia" w:ascii="宋体" w:hAnsi="宋体" w:eastAsia="宋体" w:cs="宋体"/>
          <w:color w:val="auto"/>
          <w:sz w:val="24"/>
          <w:highlight w:val="none"/>
        </w:rPr>
        <w:t>提交完整支付申请资料后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lang w:val="en-US" w:eastAsia="zh-CN"/>
        </w:rPr>
        <w:t>在20</w:t>
      </w:r>
      <w:r>
        <w:rPr>
          <w:rFonts w:hint="eastAsia" w:ascii="宋体" w:hAnsi="宋体" w:eastAsia="宋体" w:cs="宋体"/>
          <w:color w:val="auto"/>
          <w:sz w:val="24"/>
          <w:highlight w:val="none"/>
        </w:rPr>
        <w:t>个工作日内，</w:t>
      </w:r>
      <w:r>
        <w:rPr>
          <w:rFonts w:hint="eastAsia" w:ascii="宋体" w:hAnsi="宋体" w:eastAsia="宋体" w:cs="宋体"/>
          <w:color w:val="auto"/>
          <w:sz w:val="24"/>
          <w:highlight w:val="none"/>
          <w:lang w:val="en-US" w:eastAsia="zh-CN"/>
        </w:rPr>
        <w:t>甲方累计支付至该期设计费暂定合同价的50%。</w:t>
      </w:r>
    </w:p>
    <w:p w14:paraId="25B1CB58">
      <w:pPr>
        <w:spacing w:line="360" w:lineRule="auto"/>
        <w:ind w:firstLine="630"/>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当期图纸完成审图并移交给甲方后</w:t>
      </w: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lang w:val="en-US" w:eastAsia="zh-CN"/>
        </w:rPr>
        <w:t>向甲方</w:t>
      </w:r>
      <w:r>
        <w:rPr>
          <w:rFonts w:hint="eastAsia" w:ascii="宋体" w:hAnsi="宋体" w:eastAsia="宋体" w:cs="宋体"/>
          <w:color w:val="auto"/>
          <w:sz w:val="24"/>
          <w:highlight w:val="none"/>
        </w:rPr>
        <w:t>提交完整支付申请资料后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lang w:val="en-US" w:eastAsia="zh-CN"/>
        </w:rPr>
        <w:t>在20</w:t>
      </w:r>
      <w:r>
        <w:rPr>
          <w:rFonts w:hint="eastAsia" w:ascii="宋体" w:hAnsi="宋体" w:eastAsia="宋体" w:cs="宋体"/>
          <w:color w:val="auto"/>
          <w:sz w:val="24"/>
          <w:highlight w:val="none"/>
        </w:rPr>
        <w:t>个工作日内，甲方累计支付至</w:t>
      </w:r>
      <w:r>
        <w:rPr>
          <w:rFonts w:hint="eastAsia" w:ascii="宋体" w:hAnsi="宋体" w:eastAsia="宋体" w:cs="宋体"/>
          <w:color w:val="auto"/>
          <w:sz w:val="24"/>
          <w:highlight w:val="none"/>
          <w:lang w:val="en-US" w:eastAsia="zh-CN"/>
        </w:rPr>
        <w:t>该期</w:t>
      </w:r>
      <w:r>
        <w:rPr>
          <w:rFonts w:hint="eastAsia" w:ascii="宋体" w:hAnsi="宋体" w:eastAsia="宋体" w:cs="宋体"/>
          <w:color w:val="auto"/>
          <w:sz w:val="24"/>
          <w:highlight w:val="none"/>
        </w:rPr>
        <w:t>设计费暂定合同价的</w:t>
      </w:r>
      <w:r>
        <w:rPr>
          <w:rFonts w:hint="eastAsia" w:ascii="宋体" w:hAnsi="宋体" w:eastAsia="宋体" w:cs="宋体"/>
          <w:color w:val="auto"/>
          <w:sz w:val="24"/>
          <w:highlight w:val="none"/>
          <w:lang w:val="en-US" w:eastAsia="zh-CN"/>
        </w:rPr>
        <w:t>85</w:t>
      </w:r>
      <w:r>
        <w:rPr>
          <w:rFonts w:hint="eastAsia" w:ascii="宋体" w:hAnsi="宋体" w:eastAsia="宋体" w:cs="宋体"/>
          <w:color w:val="auto"/>
          <w:sz w:val="24"/>
          <w:highlight w:val="none"/>
        </w:rPr>
        <w:t>%。</w:t>
      </w:r>
    </w:p>
    <w:p w14:paraId="4B24B367">
      <w:pPr>
        <w:spacing w:line="360" w:lineRule="auto"/>
        <w:ind w:firstLine="63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8.2.5</w:t>
      </w:r>
      <w:r>
        <w:rPr>
          <w:rFonts w:hint="eastAsia" w:ascii="宋体" w:hAnsi="宋体" w:eastAsia="宋体" w:cs="宋体"/>
          <w:color w:val="auto"/>
          <w:sz w:val="24"/>
          <w:highlight w:val="none"/>
        </w:rPr>
        <w:t>当期图纸完成审图并移交给甲方后，乙方向甲方提交完整支付申请资料后，甲方在</w:t>
      </w: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个工作日内，甲方累计支付至该期设计费暂定合同价的</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5%。</w:t>
      </w:r>
    </w:p>
    <w:p w14:paraId="2CBF100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项目竣工且联合验收合格</w:t>
      </w:r>
      <w:r>
        <w:rPr>
          <w:rFonts w:hint="eastAsia" w:ascii="宋体" w:hAnsi="宋体" w:eastAsia="宋体" w:cs="宋体"/>
          <w:color w:val="auto"/>
          <w:sz w:val="24"/>
          <w:highlight w:val="none"/>
          <w:lang w:val="en-US" w:eastAsia="zh-CN"/>
        </w:rPr>
        <w:t>并</w:t>
      </w:r>
      <w:r>
        <w:rPr>
          <w:rFonts w:hint="eastAsia" w:ascii="宋体" w:hAnsi="宋体" w:eastAsia="宋体" w:cs="宋体"/>
          <w:color w:val="auto"/>
          <w:sz w:val="24"/>
          <w:highlight w:val="none"/>
        </w:rPr>
        <w:t>委托的第三方单位评审通过</w:t>
      </w:r>
      <w:r>
        <w:rPr>
          <w:rFonts w:hint="eastAsia" w:ascii="宋体" w:hAnsi="宋体" w:eastAsia="宋体" w:cs="宋体"/>
          <w:color w:val="auto"/>
          <w:sz w:val="24"/>
          <w:highlight w:val="none"/>
          <w:lang w:val="en-US" w:eastAsia="zh-CN"/>
        </w:rPr>
        <w:t>后</w:t>
      </w: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lang w:val="en-US" w:eastAsia="zh-CN"/>
        </w:rPr>
        <w:t>向甲方</w:t>
      </w:r>
      <w:r>
        <w:rPr>
          <w:rFonts w:hint="eastAsia" w:ascii="宋体" w:hAnsi="宋体" w:eastAsia="宋体" w:cs="宋体"/>
          <w:color w:val="auto"/>
          <w:sz w:val="24"/>
          <w:highlight w:val="none"/>
        </w:rPr>
        <w:t>提交完整支付申请资料后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lang w:val="en-US" w:eastAsia="zh-CN"/>
        </w:rPr>
        <w:t>在20</w:t>
      </w:r>
      <w:r>
        <w:rPr>
          <w:rFonts w:hint="eastAsia" w:ascii="宋体" w:hAnsi="宋体" w:eastAsia="宋体" w:cs="宋体"/>
          <w:color w:val="auto"/>
          <w:sz w:val="24"/>
          <w:highlight w:val="none"/>
        </w:rPr>
        <w:t>个工作日内，甲方累计支付至</w:t>
      </w:r>
      <w:r>
        <w:rPr>
          <w:rFonts w:hint="eastAsia" w:ascii="宋体" w:hAnsi="宋体" w:eastAsia="宋体" w:cs="宋体"/>
          <w:color w:val="auto"/>
          <w:sz w:val="24"/>
          <w:highlight w:val="none"/>
          <w:lang w:val="en-US" w:eastAsia="zh-CN"/>
        </w:rPr>
        <w:t>该期</w:t>
      </w:r>
      <w:r>
        <w:rPr>
          <w:rFonts w:hint="eastAsia" w:ascii="宋体" w:hAnsi="宋体" w:eastAsia="宋体" w:cs="宋体"/>
          <w:color w:val="auto"/>
          <w:sz w:val="24"/>
          <w:highlight w:val="none"/>
        </w:rPr>
        <w:t>设计费最终结算价的100%。</w:t>
      </w:r>
    </w:p>
    <w:p w14:paraId="45FC7D3A">
      <w:pPr>
        <w:pStyle w:val="17"/>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8.3三期支付进度</w:t>
      </w:r>
    </w:p>
    <w:p w14:paraId="5D04C3C3">
      <w:pPr>
        <w:spacing w:line="360" w:lineRule="auto"/>
        <w:ind w:firstLine="630"/>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甲方发出三期开工通知后且</w:t>
      </w:r>
      <w:r>
        <w:rPr>
          <w:rFonts w:hint="eastAsia" w:ascii="宋体" w:hAnsi="宋体" w:eastAsia="宋体" w:cs="宋体"/>
          <w:color w:val="auto"/>
          <w:sz w:val="24"/>
          <w:highlight w:val="none"/>
        </w:rPr>
        <w:t>乙方提交请款手续后</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个工作日内，甲方支付设计费暂定合同价20%。</w:t>
      </w:r>
    </w:p>
    <w:p w14:paraId="01CE9B6D">
      <w:pPr>
        <w:spacing w:line="360" w:lineRule="auto"/>
        <w:ind w:firstLine="630"/>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.2取得建设工程规划许可证后，乙方</w:t>
      </w:r>
      <w:r>
        <w:rPr>
          <w:rFonts w:hint="eastAsia" w:ascii="宋体" w:hAnsi="宋体" w:eastAsia="宋体" w:cs="宋体"/>
          <w:color w:val="auto"/>
          <w:sz w:val="24"/>
          <w:highlight w:val="none"/>
          <w:lang w:val="en-US" w:eastAsia="zh-CN"/>
        </w:rPr>
        <w:t>向甲方</w:t>
      </w:r>
      <w:r>
        <w:rPr>
          <w:rFonts w:hint="eastAsia" w:ascii="宋体" w:hAnsi="宋体" w:eastAsia="宋体" w:cs="宋体"/>
          <w:color w:val="auto"/>
          <w:sz w:val="24"/>
          <w:highlight w:val="none"/>
        </w:rPr>
        <w:t>提交完整支付申请资料后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lang w:val="en-US" w:eastAsia="zh-CN"/>
        </w:rPr>
        <w:t>在20</w:t>
      </w:r>
      <w:r>
        <w:rPr>
          <w:rFonts w:hint="eastAsia" w:ascii="宋体" w:hAnsi="宋体" w:eastAsia="宋体" w:cs="宋体"/>
          <w:color w:val="auto"/>
          <w:sz w:val="24"/>
          <w:highlight w:val="none"/>
        </w:rPr>
        <w:t>个工作日内，</w:t>
      </w:r>
      <w:r>
        <w:rPr>
          <w:rFonts w:hint="eastAsia" w:ascii="宋体" w:hAnsi="宋体" w:eastAsia="宋体" w:cs="宋体"/>
          <w:color w:val="auto"/>
          <w:sz w:val="24"/>
          <w:highlight w:val="none"/>
          <w:lang w:val="en-US" w:eastAsia="zh-CN"/>
        </w:rPr>
        <w:t>甲方累计支付至该期设计费暂定合同价的40%。</w:t>
      </w:r>
    </w:p>
    <w:p w14:paraId="1D4C6AA5">
      <w:pPr>
        <w:spacing w:line="360" w:lineRule="auto"/>
        <w:ind w:firstLine="630"/>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监理工程师</w:t>
      </w:r>
      <w:r>
        <w:rPr>
          <w:rFonts w:hint="eastAsia" w:ascii="宋体" w:hAnsi="宋体" w:eastAsia="宋体" w:cs="宋体"/>
          <w:color w:val="auto"/>
          <w:sz w:val="24"/>
          <w:highlight w:val="none"/>
        </w:rPr>
        <w:t>发出开工令后，乙方</w:t>
      </w:r>
      <w:r>
        <w:rPr>
          <w:rFonts w:hint="eastAsia" w:ascii="宋体" w:hAnsi="宋体" w:eastAsia="宋体" w:cs="宋体"/>
          <w:color w:val="auto"/>
          <w:sz w:val="24"/>
          <w:highlight w:val="none"/>
          <w:lang w:val="en-US" w:eastAsia="zh-CN"/>
        </w:rPr>
        <w:t>向甲方</w:t>
      </w:r>
      <w:r>
        <w:rPr>
          <w:rFonts w:hint="eastAsia" w:ascii="宋体" w:hAnsi="宋体" w:eastAsia="宋体" w:cs="宋体"/>
          <w:color w:val="auto"/>
          <w:sz w:val="24"/>
          <w:highlight w:val="none"/>
        </w:rPr>
        <w:t>提交完整支付申请资料后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lang w:val="en-US" w:eastAsia="zh-CN"/>
        </w:rPr>
        <w:t>在20</w:t>
      </w:r>
      <w:r>
        <w:rPr>
          <w:rFonts w:hint="eastAsia" w:ascii="宋体" w:hAnsi="宋体" w:eastAsia="宋体" w:cs="宋体"/>
          <w:color w:val="auto"/>
          <w:sz w:val="24"/>
          <w:highlight w:val="none"/>
        </w:rPr>
        <w:t>个工作日内，</w:t>
      </w:r>
      <w:r>
        <w:rPr>
          <w:rFonts w:hint="eastAsia" w:ascii="宋体" w:hAnsi="宋体" w:eastAsia="宋体" w:cs="宋体"/>
          <w:color w:val="auto"/>
          <w:sz w:val="24"/>
          <w:highlight w:val="none"/>
          <w:lang w:val="en-US" w:eastAsia="zh-CN"/>
        </w:rPr>
        <w:t>甲方累计支付至该期设计费暂定合同价的50%。</w:t>
      </w:r>
    </w:p>
    <w:p w14:paraId="4B9EBF61">
      <w:pPr>
        <w:spacing w:line="360" w:lineRule="auto"/>
        <w:ind w:firstLine="630"/>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当期图纸完成审图并移交给甲方后</w:t>
      </w: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lang w:val="en-US" w:eastAsia="zh-CN"/>
        </w:rPr>
        <w:t>向甲方</w:t>
      </w:r>
      <w:r>
        <w:rPr>
          <w:rFonts w:hint="eastAsia" w:ascii="宋体" w:hAnsi="宋体" w:eastAsia="宋体" w:cs="宋体"/>
          <w:color w:val="auto"/>
          <w:sz w:val="24"/>
          <w:highlight w:val="none"/>
        </w:rPr>
        <w:t>提交完整支付申请资料后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lang w:val="en-US" w:eastAsia="zh-CN"/>
        </w:rPr>
        <w:t>在20</w:t>
      </w:r>
      <w:r>
        <w:rPr>
          <w:rFonts w:hint="eastAsia" w:ascii="宋体" w:hAnsi="宋体" w:eastAsia="宋体" w:cs="宋体"/>
          <w:color w:val="auto"/>
          <w:sz w:val="24"/>
          <w:highlight w:val="none"/>
        </w:rPr>
        <w:t>个工作日内，甲方累计支付至</w:t>
      </w:r>
      <w:r>
        <w:rPr>
          <w:rFonts w:hint="eastAsia" w:ascii="宋体" w:hAnsi="宋体" w:eastAsia="宋体" w:cs="宋体"/>
          <w:color w:val="auto"/>
          <w:sz w:val="24"/>
          <w:highlight w:val="none"/>
          <w:lang w:val="en-US" w:eastAsia="zh-CN"/>
        </w:rPr>
        <w:t>该期</w:t>
      </w:r>
      <w:r>
        <w:rPr>
          <w:rFonts w:hint="eastAsia" w:ascii="宋体" w:hAnsi="宋体" w:eastAsia="宋体" w:cs="宋体"/>
          <w:color w:val="auto"/>
          <w:sz w:val="24"/>
          <w:highlight w:val="none"/>
        </w:rPr>
        <w:t>设计费暂定合同价的</w:t>
      </w:r>
      <w:r>
        <w:rPr>
          <w:rFonts w:hint="eastAsia" w:ascii="宋体" w:hAnsi="宋体" w:eastAsia="宋体" w:cs="宋体"/>
          <w:color w:val="auto"/>
          <w:sz w:val="24"/>
          <w:highlight w:val="none"/>
          <w:lang w:val="en-US" w:eastAsia="zh-CN"/>
        </w:rPr>
        <w:t>85</w:t>
      </w:r>
      <w:r>
        <w:rPr>
          <w:rFonts w:hint="eastAsia" w:ascii="宋体" w:hAnsi="宋体" w:eastAsia="宋体" w:cs="宋体"/>
          <w:color w:val="auto"/>
          <w:sz w:val="24"/>
          <w:highlight w:val="none"/>
        </w:rPr>
        <w:t>%。</w:t>
      </w:r>
    </w:p>
    <w:p w14:paraId="6649AE71">
      <w:pPr>
        <w:spacing w:line="360" w:lineRule="auto"/>
        <w:ind w:firstLine="63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8.3.5 </w:t>
      </w:r>
      <w:r>
        <w:rPr>
          <w:rFonts w:hint="eastAsia" w:ascii="宋体" w:hAnsi="宋体" w:eastAsia="宋体" w:cs="宋体"/>
          <w:color w:val="auto"/>
          <w:sz w:val="24"/>
          <w:highlight w:val="none"/>
        </w:rPr>
        <w:t>当期图纸完成审图并移交给甲方后，乙方向甲方提交完整支付申请资料后，甲方在</w:t>
      </w: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个工作日内，甲方累计支付至该期设计费暂定合同价的</w:t>
      </w:r>
      <w:r>
        <w:rPr>
          <w:rFonts w:hint="eastAsia" w:ascii="宋体" w:hAnsi="宋体" w:eastAsia="宋体" w:cs="宋体"/>
          <w:color w:val="auto"/>
          <w:sz w:val="24"/>
          <w:highlight w:val="none"/>
          <w:lang w:eastAsia="zh-CN"/>
        </w:rPr>
        <w:t>9</w:t>
      </w:r>
      <w:r>
        <w:rPr>
          <w:rFonts w:hint="eastAsia" w:ascii="宋体" w:hAnsi="宋体" w:eastAsia="宋体" w:cs="宋体"/>
          <w:color w:val="auto"/>
          <w:sz w:val="24"/>
          <w:highlight w:val="none"/>
        </w:rPr>
        <w:t>5%。</w:t>
      </w:r>
    </w:p>
    <w:p w14:paraId="101CF99B">
      <w:pPr>
        <w:spacing w:line="360" w:lineRule="auto"/>
        <w:ind w:firstLine="630"/>
        <w:rPr>
          <w:rFonts w:hint="default" w:eastAsia="宋体"/>
          <w:color w:val="auto"/>
          <w:highlight w:val="none"/>
          <w:lang w:val="en-US" w:eastAsia="zh-CN"/>
        </w:rPr>
      </w:pP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项目竣工且联合验收合格</w:t>
      </w:r>
      <w:r>
        <w:rPr>
          <w:rFonts w:hint="eastAsia" w:ascii="宋体" w:hAnsi="宋体" w:eastAsia="宋体" w:cs="宋体"/>
          <w:color w:val="auto"/>
          <w:sz w:val="24"/>
          <w:highlight w:val="none"/>
          <w:lang w:val="en-US" w:eastAsia="zh-CN"/>
        </w:rPr>
        <w:t>并</w:t>
      </w:r>
      <w:r>
        <w:rPr>
          <w:rFonts w:hint="eastAsia" w:ascii="宋体" w:hAnsi="宋体" w:eastAsia="宋体" w:cs="宋体"/>
          <w:color w:val="auto"/>
          <w:sz w:val="24"/>
          <w:highlight w:val="none"/>
        </w:rPr>
        <w:t>委托的第三方单位评审通过</w:t>
      </w:r>
      <w:r>
        <w:rPr>
          <w:rFonts w:hint="eastAsia" w:ascii="宋体" w:hAnsi="宋体" w:eastAsia="宋体" w:cs="宋体"/>
          <w:color w:val="auto"/>
          <w:sz w:val="24"/>
          <w:highlight w:val="none"/>
          <w:lang w:val="en-US" w:eastAsia="zh-CN"/>
        </w:rPr>
        <w:t>后</w:t>
      </w: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lang w:val="en-US" w:eastAsia="zh-CN"/>
        </w:rPr>
        <w:t>向甲方</w:t>
      </w:r>
      <w:r>
        <w:rPr>
          <w:rFonts w:hint="eastAsia" w:ascii="宋体" w:hAnsi="宋体" w:eastAsia="宋体" w:cs="宋体"/>
          <w:color w:val="auto"/>
          <w:sz w:val="24"/>
          <w:highlight w:val="none"/>
        </w:rPr>
        <w:t>提交完整支付申请资料后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lang w:val="en-US" w:eastAsia="zh-CN"/>
        </w:rPr>
        <w:t>在20</w:t>
      </w:r>
      <w:r>
        <w:rPr>
          <w:rFonts w:hint="eastAsia" w:ascii="宋体" w:hAnsi="宋体" w:eastAsia="宋体" w:cs="宋体"/>
          <w:color w:val="auto"/>
          <w:sz w:val="24"/>
          <w:highlight w:val="none"/>
        </w:rPr>
        <w:t>个工作日内，甲方累计支付至</w:t>
      </w:r>
      <w:r>
        <w:rPr>
          <w:rFonts w:hint="eastAsia" w:ascii="宋体" w:hAnsi="宋体" w:eastAsia="宋体" w:cs="宋体"/>
          <w:color w:val="auto"/>
          <w:sz w:val="24"/>
          <w:highlight w:val="none"/>
          <w:lang w:val="en-US" w:eastAsia="zh-CN"/>
        </w:rPr>
        <w:t>该期</w:t>
      </w:r>
      <w:r>
        <w:rPr>
          <w:rFonts w:hint="eastAsia" w:ascii="宋体" w:hAnsi="宋体" w:eastAsia="宋体" w:cs="宋体"/>
          <w:color w:val="auto"/>
          <w:sz w:val="24"/>
          <w:highlight w:val="none"/>
        </w:rPr>
        <w:t>设计费最终结算价的100%。</w:t>
      </w:r>
    </w:p>
    <w:p w14:paraId="4C153FB6">
      <w:pPr>
        <w:pStyle w:val="40"/>
        <w:spacing w:before="0" w:beforeAutospacing="0" w:after="0" w:afterAutospacing="0" w:line="360" w:lineRule="auto"/>
        <w:ind w:firstLine="480" w:firstLineChars="200"/>
        <w:jc w:val="both"/>
        <w:rPr>
          <w:rFonts w:hint="eastAsia" w:eastAsia="宋体" w:cs="宋体"/>
          <w:color w:val="auto"/>
          <w:kern w:val="2"/>
          <w:highlight w:val="none"/>
        </w:rPr>
      </w:pPr>
      <w:r>
        <w:rPr>
          <w:rFonts w:hint="eastAsia" w:eastAsia="宋体" w:cs="宋体"/>
          <w:color w:val="auto"/>
          <w:kern w:val="2"/>
          <w:highlight w:val="none"/>
        </w:rPr>
        <w:t>8.</w:t>
      </w:r>
      <w:r>
        <w:rPr>
          <w:rFonts w:hint="eastAsia" w:eastAsia="宋体" w:cs="宋体"/>
          <w:color w:val="auto"/>
          <w:kern w:val="2"/>
          <w:highlight w:val="none"/>
          <w:lang w:val="en-US" w:eastAsia="zh-CN"/>
        </w:rPr>
        <w:t>4</w:t>
      </w:r>
      <w:r>
        <w:rPr>
          <w:rFonts w:hint="eastAsia" w:eastAsia="宋体" w:cs="宋体"/>
          <w:color w:val="auto"/>
          <w:kern w:val="2"/>
          <w:highlight w:val="none"/>
        </w:rPr>
        <w:t>每次款项支付前，乙方应先提供与待支付金额一致的正规发票</w:t>
      </w:r>
      <w:r>
        <w:rPr>
          <w:rFonts w:hint="eastAsia" w:eastAsia="宋体" w:cs="宋体"/>
          <w:color w:val="auto"/>
          <w:kern w:val="2"/>
          <w:highlight w:val="none"/>
          <w:lang w:eastAsia="zh-CN"/>
        </w:rPr>
        <w:t>以及付款审批流程所需要的资料完成提供</w:t>
      </w:r>
      <w:r>
        <w:rPr>
          <w:rFonts w:hint="eastAsia" w:eastAsia="宋体" w:cs="宋体"/>
          <w:color w:val="auto"/>
          <w:kern w:val="2"/>
          <w:highlight w:val="none"/>
        </w:rPr>
        <w:t>给业主单位，否则业主单位有权延期支付。未因甲方原因导致延期支付的，不视为甲方违约，乙方不得延误设计工作，并不得向甲方索要任何赔偿或追究违约责任。</w:t>
      </w:r>
    </w:p>
    <w:p w14:paraId="2E53CAA9">
      <w:pPr>
        <w:pStyle w:val="40"/>
        <w:spacing w:before="0" w:beforeAutospacing="0" w:after="0" w:afterAutospacing="0" w:line="360" w:lineRule="auto"/>
        <w:ind w:firstLine="480" w:firstLineChars="200"/>
        <w:jc w:val="both"/>
        <w:rPr>
          <w:rFonts w:hint="eastAsia" w:ascii="宋体" w:hAnsi="宋体" w:eastAsia="宋体" w:cs="宋体"/>
          <w:b w:val="0"/>
          <w:bCs w:val="0"/>
          <w:color w:val="auto"/>
          <w:sz w:val="24"/>
          <w:highlight w:val="none"/>
          <w:u w:val="none"/>
          <w:lang w:bidi="ar"/>
        </w:rPr>
      </w:pPr>
      <w:r>
        <w:rPr>
          <w:rFonts w:hint="eastAsia" w:eastAsia="宋体" w:cs="宋体"/>
          <w:color w:val="auto"/>
          <w:kern w:val="2"/>
          <w:highlight w:val="none"/>
          <w:lang w:val="en-US" w:eastAsia="zh-CN"/>
        </w:rPr>
        <w:t>8.5</w:t>
      </w:r>
      <w:r>
        <w:rPr>
          <w:rFonts w:hint="eastAsia" w:ascii="宋体" w:hAnsi="宋体" w:eastAsia="宋体" w:cs="宋体"/>
          <w:b w:val="0"/>
          <w:bCs w:val="0"/>
          <w:color w:val="auto"/>
          <w:sz w:val="24"/>
          <w:highlight w:val="none"/>
          <w:u w:val="none"/>
          <w:lang w:bidi="ar"/>
        </w:rPr>
        <w:t>本工程资金来源属于农村集体经济组织贷款，</w:t>
      </w:r>
      <w:r>
        <w:rPr>
          <w:rFonts w:hint="eastAsia" w:ascii="宋体" w:hAnsi="宋体" w:eastAsia="宋体" w:cs="宋体"/>
          <w:b w:val="0"/>
          <w:bCs w:val="0"/>
          <w:color w:val="auto"/>
          <w:sz w:val="24"/>
          <w:highlight w:val="none"/>
          <w:u w:val="none"/>
          <w:lang w:val="en-US" w:eastAsia="zh-CN" w:bidi="ar"/>
        </w:rPr>
        <w:t>设计费</w:t>
      </w:r>
      <w:r>
        <w:rPr>
          <w:rFonts w:hint="eastAsia" w:ascii="宋体" w:hAnsi="宋体" w:eastAsia="宋体" w:cs="宋体"/>
          <w:b w:val="0"/>
          <w:bCs w:val="0"/>
          <w:color w:val="auto"/>
          <w:sz w:val="24"/>
          <w:highlight w:val="none"/>
          <w:u w:val="none"/>
          <w:lang w:bidi="ar"/>
        </w:rPr>
        <w:t>的支付须遵守相关银行贷款制度</w:t>
      </w:r>
      <w:r>
        <w:rPr>
          <w:rFonts w:hint="eastAsia" w:ascii="宋体" w:hAnsi="宋体" w:eastAsia="宋体" w:cs="宋体"/>
          <w:b w:val="0"/>
          <w:bCs w:val="0"/>
          <w:color w:val="auto"/>
          <w:sz w:val="24"/>
          <w:highlight w:val="none"/>
          <w:u w:val="none"/>
          <w:lang w:eastAsia="zh-CN" w:bidi="ar"/>
        </w:rPr>
        <w:t>、</w:t>
      </w:r>
      <w:r>
        <w:rPr>
          <w:rFonts w:hint="eastAsia" w:ascii="宋体" w:hAnsi="宋体" w:eastAsia="宋体" w:cs="宋体"/>
          <w:b w:val="0"/>
          <w:bCs w:val="0"/>
          <w:color w:val="auto"/>
          <w:sz w:val="24"/>
          <w:highlight w:val="none"/>
          <w:u w:val="none"/>
          <w:lang w:val="en-US" w:eastAsia="zh-CN" w:bidi="ar"/>
        </w:rPr>
        <w:t>农村资金支付制度</w:t>
      </w:r>
      <w:r>
        <w:rPr>
          <w:rFonts w:hint="eastAsia" w:ascii="宋体" w:hAnsi="宋体" w:eastAsia="宋体" w:cs="宋体"/>
          <w:b w:val="0"/>
          <w:bCs w:val="0"/>
          <w:color w:val="auto"/>
          <w:sz w:val="24"/>
          <w:highlight w:val="none"/>
          <w:u w:val="none"/>
          <w:lang w:bidi="ar"/>
        </w:rPr>
        <w:t>，</w:t>
      </w:r>
      <w:r>
        <w:rPr>
          <w:rFonts w:hint="eastAsia" w:ascii="宋体" w:hAnsi="宋体" w:eastAsia="宋体" w:cs="宋体"/>
          <w:b w:val="0"/>
          <w:bCs w:val="0"/>
          <w:color w:val="auto"/>
          <w:sz w:val="24"/>
          <w:highlight w:val="none"/>
          <w:u w:val="none"/>
          <w:lang w:val="en-US" w:eastAsia="zh-CN" w:bidi="ar"/>
        </w:rPr>
        <w:t>服务费的</w:t>
      </w:r>
      <w:r>
        <w:rPr>
          <w:rFonts w:hint="eastAsia" w:ascii="宋体" w:hAnsi="宋体" w:eastAsia="宋体" w:cs="宋体"/>
          <w:b w:val="0"/>
          <w:bCs w:val="0"/>
          <w:color w:val="auto"/>
          <w:sz w:val="24"/>
          <w:highlight w:val="none"/>
          <w:u w:val="none"/>
          <w:lang w:bidi="ar"/>
        </w:rPr>
        <w:t>支付在银行放款</w:t>
      </w:r>
      <w:r>
        <w:rPr>
          <w:rFonts w:hint="eastAsia" w:ascii="宋体" w:hAnsi="宋体" w:eastAsia="宋体" w:cs="宋体"/>
          <w:b w:val="0"/>
          <w:bCs w:val="0"/>
          <w:color w:val="auto"/>
          <w:sz w:val="24"/>
          <w:highlight w:val="none"/>
          <w:u w:val="none"/>
          <w:lang w:val="en-US" w:eastAsia="zh-CN" w:bidi="ar"/>
        </w:rPr>
        <w:t>及农村资金支付审核完成次</w:t>
      </w:r>
      <w:r>
        <w:rPr>
          <w:rFonts w:hint="eastAsia" w:ascii="宋体" w:hAnsi="宋体" w:eastAsia="宋体" w:cs="宋体"/>
          <w:b w:val="0"/>
          <w:bCs w:val="0"/>
          <w:color w:val="auto"/>
          <w:sz w:val="24"/>
          <w:highlight w:val="none"/>
          <w:u w:val="none"/>
          <w:lang w:bidi="ar"/>
        </w:rPr>
        <w:t>日执行</w:t>
      </w:r>
      <w:r>
        <w:rPr>
          <w:rFonts w:hint="eastAsia" w:ascii="宋体" w:hAnsi="宋体" w:eastAsia="宋体" w:cs="宋体"/>
          <w:b w:val="0"/>
          <w:bCs w:val="0"/>
          <w:color w:val="auto"/>
          <w:sz w:val="24"/>
          <w:highlight w:val="none"/>
          <w:u w:val="none"/>
          <w:lang w:val="en-US" w:bidi="ar"/>
        </w:rPr>
        <w:t>,</w:t>
      </w:r>
      <w:r>
        <w:rPr>
          <w:rFonts w:hint="eastAsia" w:ascii="宋体" w:hAnsi="宋体" w:eastAsia="宋体" w:cs="宋体"/>
          <w:b w:val="0"/>
          <w:bCs w:val="0"/>
          <w:color w:val="auto"/>
          <w:sz w:val="24"/>
          <w:highlight w:val="none"/>
          <w:u w:val="none"/>
          <w:lang w:bidi="ar"/>
        </w:rPr>
        <w:t>若银行延迟放款</w:t>
      </w:r>
      <w:r>
        <w:rPr>
          <w:rFonts w:hint="eastAsia" w:ascii="宋体" w:hAnsi="宋体" w:eastAsia="宋体" w:cs="宋体"/>
          <w:b w:val="0"/>
          <w:bCs w:val="0"/>
          <w:color w:val="auto"/>
          <w:sz w:val="24"/>
          <w:highlight w:val="none"/>
          <w:u w:val="none"/>
          <w:lang w:val="en-US" w:eastAsia="zh-CN" w:bidi="ar"/>
        </w:rPr>
        <w:t>或农村资金支付审核延期</w:t>
      </w:r>
      <w:r>
        <w:rPr>
          <w:rFonts w:hint="eastAsia" w:ascii="宋体" w:hAnsi="宋体" w:eastAsia="宋体" w:cs="宋体"/>
          <w:b w:val="0"/>
          <w:bCs w:val="0"/>
          <w:color w:val="auto"/>
          <w:sz w:val="24"/>
          <w:highlight w:val="none"/>
          <w:u w:val="none"/>
          <w:lang w:bidi="ar"/>
        </w:rPr>
        <w:t>，支付期限相应顺延”。</w:t>
      </w:r>
    </w:p>
    <w:p w14:paraId="49C5A19A">
      <w:pPr>
        <w:pStyle w:val="6"/>
        <w:spacing w:line="360" w:lineRule="auto"/>
        <w:ind w:firstLine="480"/>
        <w:rPr>
          <w:rFonts w:hint="eastAsia" w:ascii="宋体" w:hAnsi="宋体" w:eastAsia="宋体" w:cs="宋体"/>
          <w:color w:val="auto"/>
          <w:sz w:val="24"/>
          <w:highlight w:val="none"/>
          <w:lang w:val="en-US" w:eastAsia="zh-CN"/>
        </w:rPr>
      </w:pPr>
      <w:r>
        <w:rPr>
          <w:rFonts w:hint="eastAsia" w:eastAsia="宋体" w:cs="宋体"/>
          <w:b w:val="0"/>
          <w:bCs w:val="0"/>
          <w:color w:val="auto"/>
          <w:sz w:val="24"/>
          <w:highlight w:val="none"/>
          <w:u w:val="none"/>
          <w:lang w:val="en-US" w:eastAsia="zh-CN" w:bidi="ar"/>
        </w:rPr>
        <w:t>8.6</w:t>
      </w:r>
      <w:r>
        <w:rPr>
          <w:rFonts w:hint="eastAsia" w:ascii="宋体" w:hAnsi="宋体" w:eastAsia="宋体" w:cs="宋体"/>
          <w:color w:val="auto"/>
          <w:sz w:val="24"/>
          <w:highlight w:val="none"/>
          <w:lang w:val="en-US" w:eastAsia="zh-CN"/>
        </w:rPr>
        <w:t>乙方提供履约担保的约定：</w:t>
      </w:r>
    </w:p>
    <w:p w14:paraId="0B607648">
      <w:pPr>
        <w:pStyle w:val="6"/>
        <w:spacing w:line="360" w:lineRule="auto"/>
        <w:ind w:firstLine="480"/>
        <w:rPr>
          <w:rFonts w:hint="eastAsia" w:ascii="宋体" w:hAnsi="宋体" w:eastAsia="宋体" w:cs="宋体"/>
          <w:color w:val="auto"/>
          <w:kern w:val="2"/>
          <w:sz w:val="24"/>
          <w:highlight w:val="none"/>
        </w:rPr>
      </w:pPr>
      <w:r>
        <w:rPr>
          <w:rFonts w:hint="eastAsia" w:ascii="宋体" w:hAnsi="宋体" w:eastAsia="宋体" w:cs="宋体"/>
          <w:color w:val="auto"/>
          <w:sz w:val="24"/>
          <w:highlight w:val="none"/>
          <w:lang w:val="en-US" w:eastAsia="zh-CN"/>
        </w:rPr>
        <w:t>8.6.1</w:t>
      </w:r>
      <w:r>
        <w:rPr>
          <w:rFonts w:hint="eastAsia" w:ascii="宋体" w:hAnsi="宋体" w:eastAsia="宋体" w:cs="宋体"/>
          <w:color w:val="auto"/>
          <w:kern w:val="2"/>
          <w:sz w:val="24"/>
          <w:highlight w:val="none"/>
        </w:rPr>
        <w:t>履约担保的金额</w:t>
      </w:r>
      <w:r>
        <w:rPr>
          <w:rFonts w:hint="eastAsia" w:ascii="宋体" w:hAnsi="宋体" w:eastAsia="宋体" w:cs="宋体"/>
          <w:color w:val="auto"/>
          <w:spacing w:val="0"/>
          <w:kern w:val="2"/>
          <w:sz w:val="24"/>
          <w:highlight w:val="none"/>
        </w:rPr>
        <w:t>：</w:t>
      </w:r>
      <w:r>
        <w:rPr>
          <w:rFonts w:hint="eastAsia" w:ascii="宋体" w:hAnsi="宋体" w:eastAsia="宋体" w:cs="宋体"/>
          <w:color w:val="auto"/>
          <w:sz w:val="24"/>
          <w:highlight w:val="none"/>
          <w:u w:val="none"/>
        </w:rPr>
        <w:t>按</w:t>
      </w:r>
      <w:r>
        <w:rPr>
          <w:rFonts w:hint="eastAsia" w:ascii="宋体" w:hAnsi="宋体" w:eastAsia="宋体" w:cs="宋体"/>
          <w:color w:val="auto"/>
          <w:sz w:val="24"/>
          <w:highlight w:val="none"/>
          <w:u w:val="none"/>
          <w:lang w:val="en-US" w:eastAsia="zh-CN"/>
        </w:rPr>
        <w:t>每期</w:t>
      </w:r>
      <w:r>
        <w:rPr>
          <w:rFonts w:hint="eastAsia" w:ascii="宋体" w:hAnsi="宋体" w:eastAsia="宋体" w:cs="宋体"/>
          <w:color w:val="auto"/>
          <w:kern w:val="2"/>
          <w:sz w:val="24"/>
          <w:highlight w:val="none"/>
          <w:u w:val="none"/>
        </w:rPr>
        <w:t>中标金额（</w:t>
      </w:r>
      <w:r>
        <w:rPr>
          <w:rFonts w:hint="eastAsia" w:ascii="宋体" w:hAnsi="宋体" w:eastAsia="宋体" w:cs="宋体"/>
          <w:color w:val="auto"/>
          <w:kern w:val="2"/>
          <w:sz w:val="24"/>
          <w:highlight w:val="none"/>
          <w:u w:val="none"/>
          <w:lang w:val="en-US" w:eastAsia="zh-CN"/>
        </w:rPr>
        <w:t>设计费</w:t>
      </w:r>
      <w:r>
        <w:rPr>
          <w:rFonts w:hint="eastAsia" w:ascii="宋体" w:hAnsi="宋体" w:eastAsia="宋体" w:cs="宋体"/>
          <w:color w:val="auto"/>
          <w:kern w:val="2"/>
          <w:sz w:val="24"/>
          <w:highlight w:val="none"/>
          <w:u w:val="none"/>
        </w:rPr>
        <w:t>）</w:t>
      </w:r>
      <w:r>
        <w:rPr>
          <w:rFonts w:hint="eastAsia" w:ascii="宋体" w:hAnsi="宋体" w:eastAsia="宋体" w:cs="宋体"/>
          <w:color w:val="auto"/>
          <w:sz w:val="24"/>
          <w:highlight w:val="none"/>
          <w:u w:val="none"/>
        </w:rPr>
        <w:t>的</w:t>
      </w:r>
      <w:r>
        <w:rPr>
          <w:rFonts w:hint="eastAsia" w:ascii="宋体" w:hAnsi="宋体" w:eastAsia="宋体" w:cs="宋体"/>
          <w:color w:val="auto"/>
          <w:sz w:val="24"/>
          <w:highlight w:val="none"/>
          <w:u w:val="none"/>
          <w:lang w:val="en-US" w:eastAsia="zh-CN"/>
        </w:rPr>
        <w:t>10</w:t>
      </w:r>
      <w:r>
        <w:rPr>
          <w:rFonts w:hint="eastAsia" w:ascii="宋体" w:hAnsi="宋体" w:eastAsia="宋体" w:cs="宋体"/>
          <w:color w:val="auto"/>
          <w:sz w:val="24"/>
          <w:highlight w:val="none"/>
          <w:u w:val="none"/>
        </w:rPr>
        <w:t>%向业主单位提供项目履约保证金。</w:t>
      </w:r>
      <w:r>
        <w:rPr>
          <w:rFonts w:hint="eastAsia" w:ascii="宋体" w:hAnsi="宋体" w:eastAsia="宋体" w:cs="宋体"/>
          <w:color w:val="auto"/>
          <w:kern w:val="2"/>
          <w:sz w:val="24"/>
          <w:highlight w:val="none"/>
        </w:rPr>
        <w:t>若为联合体投标，由承担</w:t>
      </w:r>
      <w:r>
        <w:rPr>
          <w:rFonts w:hint="eastAsia" w:ascii="宋体" w:hAnsi="宋体" w:eastAsia="宋体" w:cs="宋体"/>
          <w:color w:val="auto"/>
          <w:kern w:val="0"/>
          <w:sz w:val="24"/>
          <w:highlight w:val="none"/>
          <w:lang w:val="en-US" w:eastAsia="zh-CN"/>
        </w:rPr>
        <w:t>设计</w:t>
      </w:r>
      <w:r>
        <w:rPr>
          <w:rFonts w:hint="eastAsia" w:ascii="宋体" w:hAnsi="宋体" w:eastAsia="宋体" w:cs="宋体"/>
          <w:color w:val="auto"/>
          <w:kern w:val="2"/>
          <w:sz w:val="24"/>
          <w:highlight w:val="none"/>
        </w:rPr>
        <w:t>任务的单位提供。</w:t>
      </w:r>
    </w:p>
    <w:p w14:paraId="003A24D3">
      <w:pPr>
        <w:pStyle w:val="6"/>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8.6.2</w:t>
      </w:r>
      <w:r>
        <w:rPr>
          <w:rFonts w:hint="eastAsia" w:ascii="宋体" w:hAnsi="宋体" w:eastAsia="宋体" w:cs="宋体"/>
          <w:color w:val="auto"/>
          <w:kern w:val="0"/>
          <w:sz w:val="24"/>
          <w:highlight w:val="none"/>
        </w:rPr>
        <w:t>提供履约担保的时间：签订合同后</w:t>
      </w:r>
      <w:r>
        <w:rPr>
          <w:rFonts w:hint="eastAsia" w:ascii="宋体" w:hAnsi="宋体" w:eastAsia="宋体" w:cs="宋体"/>
          <w:color w:val="auto"/>
          <w:kern w:val="0"/>
          <w:sz w:val="24"/>
          <w:highlight w:val="none"/>
          <w:lang w:val="en-US" w:eastAsia="zh-CN"/>
        </w:rPr>
        <w:t>30</w:t>
      </w:r>
      <w:r>
        <w:rPr>
          <w:rFonts w:hint="eastAsia" w:ascii="宋体" w:hAnsi="宋体" w:eastAsia="宋体" w:cs="宋体"/>
          <w:color w:val="auto"/>
          <w:kern w:val="0"/>
          <w:sz w:val="24"/>
          <w:highlight w:val="none"/>
        </w:rPr>
        <w:t>个日历天内，乙方（若承包人为联合体单位的，由联合体单位</w:t>
      </w:r>
      <w:r>
        <w:rPr>
          <w:rFonts w:hint="eastAsia" w:ascii="宋体" w:hAnsi="宋体" w:eastAsia="宋体" w:cs="宋体"/>
          <w:color w:val="auto"/>
          <w:kern w:val="2"/>
          <w:sz w:val="24"/>
          <w:highlight w:val="none"/>
        </w:rPr>
        <w:t>承担</w:t>
      </w:r>
      <w:r>
        <w:rPr>
          <w:rFonts w:hint="eastAsia" w:ascii="宋体" w:hAnsi="宋体" w:eastAsia="宋体" w:cs="宋体"/>
          <w:color w:val="auto"/>
          <w:kern w:val="0"/>
          <w:sz w:val="24"/>
          <w:highlight w:val="none"/>
          <w:lang w:val="en-US" w:eastAsia="zh-CN"/>
        </w:rPr>
        <w:t>设计</w:t>
      </w:r>
      <w:r>
        <w:rPr>
          <w:rFonts w:hint="eastAsia" w:ascii="宋体" w:hAnsi="宋体" w:eastAsia="宋体" w:cs="宋体"/>
          <w:color w:val="auto"/>
          <w:kern w:val="2"/>
          <w:sz w:val="24"/>
          <w:highlight w:val="none"/>
        </w:rPr>
        <w:t>任务的单位</w:t>
      </w:r>
      <w:r>
        <w:rPr>
          <w:rFonts w:hint="eastAsia" w:ascii="宋体" w:hAnsi="宋体" w:eastAsia="宋体" w:cs="宋体"/>
          <w:color w:val="auto"/>
          <w:kern w:val="0"/>
          <w:sz w:val="24"/>
          <w:highlight w:val="none"/>
        </w:rPr>
        <w:t>提供）以履约保函方式向业主单位提供</w:t>
      </w:r>
      <w:r>
        <w:rPr>
          <w:rFonts w:hint="eastAsia" w:ascii="宋体" w:hAnsi="宋体" w:eastAsia="宋体" w:cs="宋体"/>
          <w:color w:val="auto"/>
          <w:kern w:val="0"/>
          <w:sz w:val="24"/>
          <w:highlight w:val="none"/>
          <w:lang w:val="en-US" w:eastAsia="zh-CN"/>
        </w:rPr>
        <w:t>一期</w:t>
      </w:r>
      <w:r>
        <w:rPr>
          <w:rFonts w:hint="eastAsia" w:ascii="宋体" w:hAnsi="宋体" w:eastAsia="宋体" w:cs="宋体"/>
          <w:color w:val="auto"/>
          <w:kern w:val="0"/>
          <w:sz w:val="24"/>
          <w:highlight w:val="none"/>
        </w:rPr>
        <w:t>中标金额（</w:t>
      </w:r>
      <w:r>
        <w:rPr>
          <w:rFonts w:hint="eastAsia" w:ascii="宋体" w:hAnsi="宋体" w:eastAsia="宋体" w:cs="宋体"/>
          <w:color w:val="auto"/>
          <w:kern w:val="0"/>
          <w:sz w:val="24"/>
          <w:highlight w:val="none"/>
          <w:lang w:val="en-US" w:eastAsia="zh-CN"/>
        </w:rPr>
        <w:t>设计费</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lang w:val="en-US" w:eastAsia="zh-CN"/>
        </w:rPr>
        <w:t>10</w:t>
      </w:r>
      <w:r>
        <w:rPr>
          <w:rFonts w:hint="eastAsia" w:ascii="宋体" w:hAnsi="宋体" w:eastAsia="宋体" w:cs="宋体"/>
          <w:color w:val="auto"/>
          <w:kern w:val="0"/>
          <w:sz w:val="24"/>
          <w:highlight w:val="none"/>
        </w:rPr>
        <w:t>％的履约保证金。</w:t>
      </w:r>
      <w:r>
        <w:rPr>
          <w:rFonts w:hint="eastAsia" w:ascii="宋体" w:hAnsi="宋体" w:eastAsia="宋体" w:cs="宋体"/>
          <w:color w:val="auto"/>
          <w:kern w:val="0"/>
          <w:sz w:val="24"/>
          <w:highlight w:val="none"/>
          <w:lang w:val="en-US" w:eastAsia="zh-CN"/>
        </w:rPr>
        <w:t>二期、三期以甲方向乙方发出设计该期开工通知后15个日历天内，</w:t>
      </w:r>
      <w:r>
        <w:rPr>
          <w:rFonts w:hint="eastAsia" w:ascii="宋体" w:hAnsi="宋体" w:eastAsia="宋体" w:cs="宋体"/>
          <w:color w:val="auto"/>
          <w:kern w:val="0"/>
          <w:sz w:val="24"/>
          <w:highlight w:val="none"/>
        </w:rPr>
        <w:t>乙方（若承包人为联合体单位的，由联合体单位</w:t>
      </w:r>
      <w:r>
        <w:rPr>
          <w:rFonts w:hint="eastAsia" w:ascii="宋体" w:hAnsi="宋体" w:eastAsia="宋体" w:cs="宋体"/>
          <w:color w:val="auto"/>
          <w:kern w:val="2"/>
          <w:sz w:val="24"/>
          <w:highlight w:val="none"/>
        </w:rPr>
        <w:t>承担</w:t>
      </w:r>
      <w:r>
        <w:rPr>
          <w:rFonts w:hint="eastAsia" w:ascii="宋体" w:hAnsi="宋体" w:eastAsia="宋体" w:cs="宋体"/>
          <w:color w:val="auto"/>
          <w:kern w:val="0"/>
          <w:sz w:val="24"/>
          <w:highlight w:val="none"/>
          <w:lang w:val="en-US" w:eastAsia="zh-CN"/>
        </w:rPr>
        <w:t>设计</w:t>
      </w:r>
      <w:r>
        <w:rPr>
          <w:rFonts w:hint="eastAsia" w:ascii="宋体" w:hAnsi="宋体" w:eastAsia="宋体" w:cs="宋体"/>
          <w:color w:val="auto"/>
          <w:kern w:val="2"/>
          <w:sz w:val="24"/>
          <w:highlight w:val="none"/>
        </w:rPr>
        <w:t>任务的单位</w:t>
      </w:r>
      <w:r>
        <w:rPr>
          <w:rFonts w:hint="eastAsia" w:ascii="宋体" w:hAnsi="宋体" w:eastAsia="宋体" w:cs="宋体"/>
          <w:color w:val="auto"/>
          <w:kern w:val="0"/>
          <w:sz w:val="24"/>
          <w:highlight w:val="none"/>
        </w:rPr>
        <w:t>提供）以履约保函方式向业主单位提供</w:t>
      </w:r>
      <w:r>
        <w:rPr>
          <w:rFonts w:hint="eastAsia" w:ascii="宋体" w:hAnsi="宋体" w:eastAsia="宋体" w:cs="宋体"/>
          <w:color w:val="auto"/>
          <w:kern w:val="0"/>
          <w:sz w:val="24"/>
          <w:highlight w:val="none"/>
          <w:lang w:val="en-US" w:eastAsia="zh-CN"/>
        </w:rPr>
        <w:t>该期</w:t>
      </w:r>
      <w:r>
        <w:rPr>
          <w:rFonts w:hint="eastAsia" w:ascii="宋体" w:hAnsi="宋体" w:eastAsia="宋体" w:cs="宋体"/>
          <w:color w:val="auto"/>
          <w:kern w:val="0"/>
          <w:sz w:val="24"/>
          <w:highlight w:val="none"/>
        </w:rPr>
        <w:t>中标金额（</w:t>
      </w:r>
      <w:r>
        <w:rPr>
          <w:rFonts w:hint="eastAsia" w:ascii="宋体" w:hAnsi="宋体" w:eastAsia="宋体" w:cs="宋体"/>
          <w:color w:val="auto"/>
          <w:kern w:val="0"/>
          <w:sz w:val="24"/>
          <w:highlight w:val="none"/>
          <w:lang w:val="en-US" w:eastAsia="zh-CN"/>
        </w:rPr>
        <w:t>设计费</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lang w:val="en-US" w:eastAsia="zh-CN"/>
        </w:rPr>
        <w:t>10</w:t>
      </w:r>
      <w:r>
        <w:rPr>
          <w:rFonts w:hint="eastAsia" w:ascii="宋体" w:hAnsi="宋体" w:eastAsia="宋体" w:cs="宋体"/>
          <w:color w:val="auto"/>
          <w:kern w:val="0"/>
          <w:sz w:val="24"/>
          <w:highlight w:val="none"/>
        </w:rPr>
        <w:t>％</w:t>
      </w:r>
      <w:r>
        <w:rPr>
          <w:rFonts w:hint="eastAsia"/>
          <w:color w:val="auto"/>
          <w:highlight w:val="none"/>
          <w:lang w:val="en-US" w:eastAsia="zh-CN"/>
        </w:rPr>
        <w:t xml:space="preserve"> </w:t>
      </w:r>
      <w:r>
        <w:rPr>
          <w:rFonts w:hint="eastAsia" w:ascii="宋体" w:hAnsi="宋体" w:eastAsia="宋体" w:cs="宋体"/>
          <w:color w:val="auto"/>
          <w:kern w:val="0"/>
          <w:sz w:val="24"/>
          <w:highlight w:val="none"/>
        </w:rPr>
        <w:t>的履约保证金。</w:t>
      </w:r>
    </w:p>
    <w:p w14:paraId="18C40113">
      <w:pPr>
        <w:pStyle w:val="6"/>
        <w:spacing w:line="360" w:lineRule="auto"/>
        <w:ind w:firstLine="480"/>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lang w:val="en-US" w:eastAsia="zh-CN"/>
        </w:rPr>
        <w:t>8.6.3</w:t>
      </w:r>
      <w:r>
        <w:rPr>
          <w:rFonts w:hint="eastAsia" w:ascii="宋体" w:hAnsi="宋体" w:eastAsia="宋体" w:cs="宋体"/>
          <w:color w:val="auto"/>
          <w:kern w:val="0"/>
          <w:sz w:val="24"/>
          <w:highlight w:val="none"/>
        </w:rPr>
        <w:t>出具履约保函的担保人：</w:t>
      </w:r>
      <w:r>
        <w:rPr>
          <w:rFonts w:hint="eastAsia" w:ascii="宋体" w:hAnsi="宋体" w:eastAsia="宋体" w:cs="宋体"/>
          <w:color w:val="auto"/>
          <w:kern w:val="0"/>
          <w:sz w:val="24"/>
          <w:highlight w:val="none"/>
          <w:u w:val="none"/>
        </w:rPr>
        <w:t>原则要求在中国注册且营业地点在广州行政辖区内的银行或甲方认可的担保机构开具，且是不可撤销、见索即付的银行保函。</w:t>
      </w:r>
    </w:p>
    <w:p w14:paraId="392CD87E">
      <w:pPr>
        <w:spacing w:line="360" w:lineRule="auto"/>
        <w:ind w:firstLine="480" w:firstLineChars="200"/>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8.6.4</w:t>
      </w:r>
      <w:r>
        <w:rPr>
          <w:rFonts w:hint="eastAsia" w:ascii="宋体" w:hAnsi="宋体" w:eastAsia="宋体" w:cs="宋体"/>
          <w:color w:val="auto"/>
          <w:kern w:val="0"/>
          <w:sz w:val="24"/>
          <w:highlight w:val="none"/>
        </w:rPr>
        <w:t>履约保证金退还时间</w:t>
      </w:r>
      <w:r>
        <w:rPr>
          <w:rFonts w:hint="eastAsia" w:ascii="宋体" w:hAnsi="宋体" w:eastAsia="宋体" w:cs="宋体"/>
          <w:color w:val="auto"/>
          <w:kern w:val="0"/>
          <w:sz w:val="24"/>
          <w:highlight w:val="none"/>
          <w:lang w:val="en-US" w:eastAsia="zh-CN"/>
        </w:rPr>
        <w:t>/保函退回</w:t>
      </w:r>
      <w:r>
        <w:rPr>
          <w:rFonts w:hint="eastAsia" w:ascii="宋体" w:hAnsi="宋体" w:eastAsia="宋体" w:cs="宋体"/>
          <w:color w:val="auto"/>
          <w:kern w:val="0"/>
          <w:sz w:val="24"/>
          <w:highlight w:val="none"/>
        </w:rPr>
        <w:t>：银行保函的有效期至少应至</w:t>
      </w:r>
      <w:r>
        <w:rPr>
          <w:rFonts w:hint="eastAsia" w:ascii="宋体" w:hAnsi="宋体" w:eastAsia="宋体" w:cs="宋体"/>
          <w:color w:val="auto"/>
          <w:kern w:val="0"/>
          <w:sz w:val="24"/>
          <w:highlight w:val="none"/>
          <w:lang w:val="en-US" w:eastAsia="zh-CN"/>
        </w:rPr>
        <w:t>每期工程竣工且联合验收合格后</w:t>
      </w:r>
      <w:r>
        <w:rPr>
          <w:rFonts w:hint="eastAsia" w:ascii="宋体" w:hAnsi="宋体" w:eastAsia="宋体" w:cs="宋体"/>
          <w:color w:val="auto"/>
          <w:kern w:val="0"/>
          <w:sz w:val="24"/>
          <w:highlight w:val="none"/>
        </w:rPr>
        <w:t>，保函内容应由甲方确认，提供履约担保所发生的费用由乙方承担。在提交结算资料后28天内，由乙方提出申请，经监理人和甲方同意，退回履约担保。</w:t>
      </w:r>
      <w:r>
        <w:rPr>
          <w:rFonts w:hint="eastAsia" w:ascii="宋体" w:hAnsi="宋体" w:eastAsia="宋体" w:cs="宋体"/>
          <w:color w:val="auto"/>
          <w:kern w:val="0"/>
          <w:sz w:val="24"/>
          <w:highlight w:val="none"/>
          <w:lang w:val="en-US" w:eastAsia="zh-CN"/>
        </w:rPr>
        <w:t>如乙方现金方式支付履约保证金，则甲方无息退还履约保证金。</w:t>
      </w:r>
    </w:p>
    <w:p w14:paraId="63F4D130">
      <w:pPr>
        <w:pStyle w:val="40"/>
        <w:spacing w:before="0" w:beforeAutospacing="0" w:after="0" w:afterAutospacing="0" w:line="360" w:lineRule="auto"/>
        <w:ind w:firstLine="482" w:firstLineChars="200"/>
        <w:jc w:val="both"/>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第九条　甲方和乙方责任</w:t>
      </w:r>
    </w:p>
    <w:p w14:paraId="5FD1A57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9.1甲方责任：</w:t>
      </w:r>
    </w:p>
    <w:p w14:paraId="62B15F0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9.1.1甲方按本合同第五条规定的内容，在规定的时问内向乙方提交基础资料及文件，并对其完整性、正确性及时限负责，甲方不得要求乙方违反国家有关标准进行设计。</w:t>
      </w:r>
    </w:p>
    <w:p w14:paraId="1F3576B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9.1.2非乙方原因，变更委托设计项目、规模、条件，或提交的资料错误，或对所提交资料作较大修改，以致造成乙方设计返工时，双方另行协商签订补充协议、重新明确有关条款外，甲方应按经双方确认的乙方实际所耗工作量向乙方支付返工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即使存在返工费，最终结算价也不得超过合同中标价</w:t>
      </w:r>
      <w:r>
        <w:rPr>
          <w:rFonts w:hint="eastAsia" w:ascii="宋体" w:hAnsi="宋体" w:eastAsia="宋体" w:cs="宋体"/>
          <w:color w:val="auto"/>
          <w:sz w:val="24"/>
          <w:highlight w:val="none"/>
        </w:rPr>
        <w:t>。</w:t>
      </w:r>
    </w:p>
    <w:p w14:paraId="18FF8E9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9.1.3在合同履行期间，甲方要求解除合同，已开始设计工作的，甲方应根据乙方已工作的实际工作量支付设计费。</w:t>
      </w:r>
    </w:p>
    <w:p w14:paraId="718A9D6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9.1.4甲方要求乙方比合同规定时间提前交付设计资料及文件时，须征得乙方同意，不得严重背离合理设计周期。</w:t>
      </w:r>
    </w:p>
    <w:p w14:paraId="5F89C10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9.1.5非乙方原因，本合同项目停建或缓建的，甲方按乙方实际已完成工作量按比例支付对应的设计费。</w:t>
      </w:r>
    </w:p>
    <w:p w14:paraId="013F1A9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9.1.6甲方为乙方派驻现场的工作人员提供必要的协助，费用由乙方负责。</w:t>
      </w:r>
    </w:p>
    <w:p w14:paraId="5700BFF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9.1.7按本合同约定向乙方提供因设计工作需要的资料。</w:t>
      </w:r>
    </w:p>
    <w:p w14:paraId="62CBAC31">
      <w:pPr>
        <w:pStyle w:val="6"/>
        <w:ind w:firstLine="0" w:firstLineChars="0"/>
        <w:rPr>
          <w:rFonts w:hint="eastAsia" w:ascii="宋体" w:hAnsi="宋体" w:eastAsia="宋体" w:cs="宋体"/>
          <w:color w:val="auto"/>
          <w:highlight w:val="none"/>
        </w:rPr>
      </w:pPr>
    </w:p>
    <w:p w14:paraId="64AFAA7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 乙方责任：</w:t>
      </w:r>
    </w:p>
    <w:p w14:paraId="70BFD2B2">
      <w:pPr>
        <w:spacing w:line="360" w:lineRule="auto"/>
        <w:ind w:firstLine="480" w:firstLineChars="200"/>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9.2.1 乙方应按国家技术规范、标准、甲方设计要求及中标通知书和该项目审查审批部门的批准文件开展设计工作。</w:t>
      </w:r>
    </w:p>
    <w:p w14:paraId="11319BD3">
      <w:pPr>
        <w:spacing w:line="360" w:lineRule="auto"/>
        <w:ind w:firstLine="480" w:firstLineChars="200"/>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9.2.2按本合同第六条规定的内容、时间及份数向甲方交付设计文件，</w:t>
      </w:r>
      <w:r>
        <w:rPr>
          <w:rFonts w:hint="eastAsia" w:ascii="宋体" w:hAnsi="宋体" w:eastAsia="宋体" w:cs="宋体"/>
          <w:color w:val="auto"/>
          <w:sz w:val="24"/>
          <w:highlight w:val="none"/>
          <w:lang w:eastAsia="zh-CN"/>
        </w:rPr>
        <w:t>乙方在设计过程中应当尽谨慎、认真义务，设计成果符合行业质量标准，</w:t>
      </w:r>
      <w:r>
        <w:rPr>
          <w:rFonts w:hint="eastAsia" w:ascii="宋体" w:hAnsi="宋体" w:eastAsia="宋体" w:cs="宋体"/>
          <w:color w:val="auto"/>
          <w:sz w:val="24"/>
          <w:highlight w:val="none"/>
        </w:rPr>
        <w:t>并对其质量负责，保证能取得设计审批部门（包括但不限于规划、建设等行政部门的审批）的批准或审核许可</w:t>
      </w:r>
      <w:r>
        <w:rPr>
          <w:rFonts w:hint="eastAsia" w:ascii="宋体" w:hAnsi="宋体" w:eastAsia="宋体" w:cs="宋体"/>
          <w:color w:val="auto"/>
          <w:sz w:val="24"/>
          <w:highlight w:val="none"/>
          <w:lang w:eastAsia="zh-CN"/>
        </w:rPr>
        <w:t>，不存在设计内容与工程实际不符或者瑕疵、漏洞等情形</w:t>
      </w:r>
      <w:r>
        <w:rPr>
          <w:rFonts w:hint="eastAsia" w:ascii="宋体" w:hAnsi="宋体" w:eastAsia="宋体" w:cs="宋体"/>
          <w:color w:val="auto"/>
          <w:sz w:val="24"/>
          <w:highlight w:val="none"/>
        </w:rPr>
        <w:t>。</w:t>
      </w:r>
    </w:p>
    <w:p w14:paraId="353FC0CC">
      <w:pPr>
        <w:spacing w:line="360" w:lineRule="auto"/>
        <w:ind w:firstLine="480" w:firstLineChars="200"/>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9.2.3设计文件确保满足设计任务书提出的有关要求。否则，乙方应当返工重做，造成设计文件迟延交付的，按本条第9.2.7款处理。</w:t>
      </w:r>
    </w:p>
    <w:p w14:paraId="599CEC6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9.2.4设计文件中选用的国家标准图、部标准图及地方标准图由乙方按本合同第六条要求的份数随同交付甲方。</w:t>
      </w:r>
    </w:p>
    <w:p w14:paraId="495535F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9.2.5设计合理使用年限按国家规定执行。</w:t>
      </w:r>
    </w:p>
    <w:p w14:paraId="7448F6D6">
      <w:pPr>
        <w:spacing w:line="360" w:lineRule="auto"/>
        <w:ind w:firstLine="480" w:firstLineChars="200"/>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9.2.6乙方按甲方要求，对设计文件进行调整并对遗漏或错误负责修改或补充。由于设计原因造成工程质量事故或工期延误，乙方应采取补救措施，免收该部分及采取补救措施的设计费，并向甲方支付受损部分设计费100％的违约金，造成第三方损失的，依法承担相应责任。</w:t>
      </w:r>
    </w:p>
    <w:p w14:paraId="666E4AD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9.2.7乙方应按照约定的时间交付设计文件（包括设计变更文件）。由于乙方原因延期交付设计文件，每延误一天的违约金为设计费暂定合同价的1‰，违约金的最高限额为暂定合同价的30%，在设计费请款中直接扣除，不足部分由乙方另行支付。</w:t>
      </w:r>
    </w:p>
    <w:p w14:paraId="1F4FC18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9.2.8合同生效后，乙方要求终止或解除合同，乙方应双倍返还甲方已支付的款项，并赔偿所有损失。</w:t>
      </w:r>
    </w:p>
    <w:p w14:paraId="3335DD7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9.2.9</w:t>
      </w:r>
      <w:r>
        <w:rPr>
          <w:rFonts w:hint="eastAsia" w:ascii="宋体" w:hAnsi="宋体" w:eastAsia="宋体" w:cs="宋体"/>
          <w:color w:val="auto"/>
          <w:kern w:val="0"/>
          <w:sz w:val="24"/>
          <w:highlight w:val="none"/>
        </w:rPr>
        <w:t>各阶段设计文件经评审或审查，应达到国家、省、市规定的工程设计标准和深度要求，并应是最优化的设计（按通过设计审查、咨询单位及政府行政主管部门或其授权单位组织的专家审核确认为标准）。否则，乙方应无条件进行修正，其费用甲方不再另行支付。如该修正影响程度达到第9.2.7条所述，则按该条处理。</w:t>
      </w:r>
    </w:p>
    <w:p w14:paraId="00375A39">
      <w:pPr>
        <w:pStyle w:val="22"/>
        <w:spacing w:line="360" w:lineRule="auto"/>
        <w:ind w:firstLine="480" w:firstLineChars="200"/>
        <w:rPr>
          <w:rFonts w:hint="eastAsia" w:hAnsi="宋体" w:eastAsia="宋体" w:cs="宋体"/>
          <w:color w:val="auto"/>
          <w:sz w:val="24"/>
          <w:szCs w:val="24"/>
          <w:highlight w:val="none"/>
        </w:rPr>
      </w:pPr>
      <w:r>
        <w:rPr>
          <w:rFonts w:hint="eastAsia" w:hAnsi="宋体" w:eastAsia="宋体" w:cs="宋体"/>
          <w:color w:val="auto"/>
          <w:sz w:val="24"/>
          <w:szCs w:val="24"/>
          <w:highlight w:val="none"/>
        </w:rPr>
        <w:t>9.2.10乙方交付合格设计文件后应参加设计审查，并根据审查结论修改。乙方负责施工图设计交底、处理有关设计问题，在施工阶段按甲方通知的时间完成须修改的设计文件，按要求参加工程的检查验收。</w:t>
      </w:r>
    </w:p>
    <w:p w14:paraId="4C1F9DB0">
      <w:pPr>
        <w:pStyle w:val="22"/>
        <w:spacing w:line="360" w:lineRule="auto"/>
        <w:ind w:firstLine="480" w:firstLineChars="200"/>
        <w:rPr>
          <w:rFonts w:hint="eastAsia" w:hAnsi="宋体" w:eastAsia="宋体" w:cs="宋体"/>
          <w:color w:val="auto"/>
          <w:sz w:val="24"/>
          <w:szCs w:val="24"/>
          <w:highlight w:val="none"/>
        </w:rPr>
      </w:pPr>
      <w:r>
        <w:rPr>
          <w:rFonts w:hint="eastAsia" w:hAnsi="宋体" w:eastAsia="宋体" w:cs="宋体"/>
          <w:color w:val="auto"/>
          <w:sz w:val="24"/>
          <w:szCs w:val="24"/>
          <w:highlight w:val="none"/>
        </w:rPr>
        <w:t>9.2.11乙方在本项目中应保证按规划及项目功能要求、配套设施要求等，完成项目的全部专业设计。专项设计限于资质原因的，经甲方书面同意后应依法分包，分包设计费由乙方承担。专项分包设计文件及专业深化设计文件等，乙方应校核确认，加盖图纸审核专用章或技术专用章。</w:t>
      </w:r>
    </w:p>
    <w:p w14:paraId="0C9A8F49">
      <w:pPr>
        <w:pStyle w:val="22"/>
        <w:spacing w:line="360" w:lineRule="auto"/>
        <w:ind w:firstLine="480" w:firstLineChars="200"/>
        <w:rPr>
          <w:rFonts w:hint="eastAsia" w:hAnsi="宋体" w:eastAsia="宋体" w:cs="宋体"/>
          <w:color w:val="auto"/>
          <w:sz w:val="24"/>
          <w:szCs w:val="24"/>
          <w:highlight w:val="none"/>
        </w:rPr>
      </w:pPr>
      <w:r>
        <w:rPr>
          <w:rFonts w:hint="eastAsia" w:hAnsi="宋体" w:eastAsia="宋体" w:cs="宋体"/>
          <w:color w:val="auto"/>
          <w:sz w:val="24"/>
          <w:szCs w:val="24"/>
          <w:highlight w:val="none"/>
        </w:rPr>
        <w:t>9.2.12乙方所承担的本合同项目下的专业性较强的工程设计（如水利、管线迁改、人防、消防、临水、临电、外电、外水、燃气等），应按有关部门要求，在约定时间内完成相关评审和报建。经</w:t>
      </w:r>
      <w:r>
        <w:rPr>
          <w:rFonts w:hint="eastAsia" w:hAnsi="宋体" w:eastAsia="宋体" w:cs="宋体"/>
          <w:color w:val="auto"/>
          <w:sz w:val="24"/>
          <w:highlight w:val="none"/>
        </w:rPr>
        <w:t>甲方</w:t>
      </w:r>
      <w:r>
        <w:rPr>
          <w:rFonts w:hint="eastAsia" w:hAnsi="宋体" w:eastAsia="宋体" w:cs="宋体"/>
          <w:color w:val="auto"/>
          <w:sz w:val="24"/>
          <w:szCs w:val="24"/>
          <w:highlight w:val="none"/>
        </w:rPr>
        <w:t>书面同意，乙方可将此部分工作内容分包给具有相应资质的设计单位，乙方承担连带责任，相关设计费用已包含在本合同价内（包括分包产生的税费）。甲方因特殊专业指定的设计分包，乙方须全力配合。</w:t>
      </w:r>
    </w:p>
    <w:p w14:paraId="57490DF2">
      <w:pPr>
        <w:pStyle w:val="22"/>
        <w:spacing w:line="360" w:lineRule="auto"/>
        <w:ind w:firstLine="480" w:firstLineChars="200"/>
        <w:rPr>
          <w:rFonts w:hint="eastAsia" w:hAnsi="宋体" w:eastAsia="宋体" w:cs="宋体"/>
          <w:color w:val="auto"/>
          <w:sz w:val="24"/>
          <w:szCs w:val="24"/>
          <w:highlight w:val="none"/>
        </w:rPr>
      </w:pPr>
      <w:r>
        <w:rPr>
          <w:rFonts w:hint="eastAsia" w:hAnsi="宋体" w:eastAsia="宋体" w:cs="宋体"/>
          <w:color w:val="auto"/>
          <w:sz w:val="24"/>
          <w:szCs w:val="24"/>
          <w:highlight w:val="none"/>
        </w:rPr>
        <w:t>9.2.13乙方未经</w:t>
      </w:r>
      <w:r>
        <w:rPr>
          <w:rFonts w:hint="eastAsia" w:hAnsi="宋体" w:eastAsia="宋体" w:cs="宋体"/>
          <w:color w:val="auto"/>
          <w:sz w:val="24"/>
          <w:highlight w:val="none"/>
        </w:rPr>
        <w:t>甲方</w:t>
      </w:r>
      <w:r>
        <w:rPr>
          <w:rFonts w:hint="eastAsia" w:hAnsi="宋体" w:eastAsia="宋体" w:cs="宋体"/>
          <w:color w:val="auto"/>
          <w:sz w:val="24"/>
          <w:szCs w:val="24"/>
          <w:highlight w:val="none"/>
        </w:rPr>
        <w:t>书面同意分包设计任务，视为违约，除扣该分包部分的全额设计费用，并承担由此造成的工期、技术及其它一切损失；同时，</w:t>
      </w:r>
      <w:r>
        <w:rPr>
          <w:rFonts w:hint="eastAsia" w:hAnsi="宋体" w:eastAsia="宋体" w:cs="宋体"/>
          <w:color w:val="auto"/>
          <w:sz w:val="24"/>
          <w:highlight w:val="none"/>
        </w:rPr>
        <w:t>甲方</w:t>
      </w:r>
      <w:r>
        <w:rPr>
          <w:rFonts w:hint="eastAsia" w:hAnsi="宋体" w:eastAsia="宋体" w:cs="宋体"/>
          <w:color w:val="auto"/>
          <w:sz w:val="24"/>
          <w:szCs w:val="24"/>
          <w:highlight w:val="none"/>
        </w:rPr>
        <w:t>有权解除合同。</w:t>
      </w:r>
    </w:p>
    <w:p w14:paraId="418B67F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9.2.14乙方不得指定本项目建筑材料、设备的生产厂或供货商。乙方应配合甲方的建筑材料、设备的加工订货和看样定版工作，所需配合费用由乙方承担。</w:t>
      </w:r>
    </w:p>
    <w:p w14:paraId="0B780EE4">
      <w:pPr>
        <w:pStyle w:val="22"/>
        <w:spacing w:line="360" w:lineRule="auto"/>
        <w:ind w:firstLine="480" w:firstLineChars="200"/>
        <w:rPr>
          <w:rFonts w:hint="eastAsia" w:hAnsi="宋体" w:eastAsia="宋体" w:cs="宋体"/>
          <w:color w:val="auto"/>
          <w:kern w:val="0"/>
          <w:sz w:val="24"/>
          <w:szCs w:val="24"/>
          <w:highlight w:val="none"/>
        </w:rPr>
      </w:pPr>
      <w:r>
        <w:rPr>
          <w:rFonts w:hint="eastAsia" w:hAnsi="宋体" w:eastAsia="宋体" w:cs="宋体"/>
          <w:color w:val="auto"/>
          <w:kern w:val="0"/>
          <w:sz w:val="24"/>
          <w:szCs w:val="24"/>
          <w:highlight w:val="none"/>
        </w:rPr>
        <w:t>9.2.15乙方为完成本合同项下的设计内容，发生的咨询、对外洽谈、国内外技术考察及各类科研课题研究等，费用已包含在本项目设计费中，</w:t>
      </w:r>
      <w:r>
        <w:rPr>
          <w:rFonts w:hint="eastAsia" w:hAnsi="宋体" w:eastAsia="宋体" w:cs="宋体"/>
          <w:color w:val="auto"/>
          <w:sz w:val="24"/>
          <w:highlight w:val="none"/>
        </w:rPr>
        <w:t>甲方</w:t>
      </w:r>
      <w:r>
        <w:rPr>
          <w:rFonts w:hint="eastAsia" w:hAnsi="宋体" w:eastAsia="宋体" w:cs="宋体"/>
          <w:color w:val="auto"/>
          <w:kern w:val="0"/>
          <w:sz w:val="24"/>
          <w:szCs w:val="24"/>
          <w:highlight w:val="none"/>
        </w:rPr>
        <w:t>不再支付，由乙方承担。</w:t>
      </w:r>
    </w:p>
    <w:p w14:paraId="5B8B4A62">
      <w:pPr>
        <w:pStyle w:val="22"/>
        <w:spacing w:line="360" w:lineRule="auto"/>
        <w:ind w:firstLine="480" w:firstLineChars="200"/>
        <w:rPr>
          <w:rFonts w:hint="eastAsia" w:hAnsi="宋体" w:eastAsia="宋体" w:cs="宋体"/>
          <w:color w:val="auto"/>
          <w:kern w:val="0"/>
          <w:sz w:val="24"/>
          <w:szCs w:val="24"/>
          <w:highlight w:val="none"/>
        </w:rPr>
      </w:pPr>
      <w:r>
        <w:rPr>
          <w:rFonts w:hint="eastAsia" w:hAnsi="宋体" w:eastAsia="宋体" w:cs="宋体"/>
          <w:color w:val="auto"/>
          <w:kern w:val="0"/>
          <w:sz w:val="24"/>
          <w:szCs w:val="24"/>
          <w:highlight w:val="none"/>
        </w:rPr>
        <w:t>9.2.16如乙方未履行本合同所要求的工作，</w:t>
      </w:r>
      <w:r>
        <w:rPr>
          <w:rFonts w:hint="eastAsia" w:hAnsi="宋体" w:eastAsia="宋体" w:cs="宋体"/>
          <w:color w:val="auto"/>
          <w:sz w:val="24"/>
          <w:highlight w:val="none"/>
        </w:rPr>
        <w:t>甲方</w:t>
      </w:r>
      <w:r>
        <w:rPr>
          <w:rFonts w:hint="eastAsia" w:hAnsi="宋体" w:eastAsia="宋体" w:cs="宋体"/>
          <w:color w:val="auto"/>
          <w:kern w:val="0"/>
          <w:sz w:val="24"/>
          <w:szCs w:val="24"/>
          <w:highlight w:val="none"/>
        </w:rPr>
        <w:t>可根据实际情况推迟拨付或拒付设计费，按乙方违约处理，并扣除违约金5万元/次。</w:t>
      </w:r>
    </w:p>
    <w:p w14:paraId="3A28AECE">
      <w:pPr>
        <w:pStyle w:val="22"/>
        <w:spacing w:line="360" w:lineRule="auto"/>
        <w:ind w:firstLine="480" w:firstLineChars="200"/>
        <w:rPr>
          <w:rFonts w:hint="eastAsia" w:hAnsi="宋体" w:eastAsia="宋体" w:cs="宋体"/>
          <w:color w:val="auto"/>
          <w:kern w:val="0"/>
          <w:sz w:val="24"/>
          <w:szCs w:val="24"/>
          <w:highlight w:val="none"/>
        </w:rPr>
      </w:pPr>
      <w:r>
        <w:rPr>
          <w:rFonts w:hint="eastAsia" w:hAnsi="宋体" w:eastAsia="宋体" w:cs="宋体"/>
          <w:color w:val="auto"/>
          <w:kern w:val="0"/>
          <w:sz w:val="24"/>
          <w:szCs w:val="24"/>
          <w:highlight w:val="none"/>
        </w:rPr>
        <w:t>9.2.17乙方的设计必须以保证质量、节约投资为原则开展工作，设计文件经</w:t>
      </w:r>
      <w:r>
        <w:rPr>
          <w:rFonts w:hint="eastAsia" w:hAnsi="宋体" w:eastAsia="宋体" w:cs="宋体"/>
          <w:color w:val="auto"/>
          <w:sz w:val="24"/>
          <w:highlight w:val="none"/>
        </w:rPr>
        <w:t>甲方</w:t>
      </w:r>
      <w:r>
        <w:rPr>
          <w:rFonts w:hint="eastAsia" w:hAnsi="宋体" w:eastAsia="宋体" w:cs="宋体"/>
          <w:color w:val="auto"/>
          <w:kern w:val="0"/>
          <w:sz w:val="24"/>
          <w:szCs w:val="24"/>
          <w:highlight w:val="none"/>
        </w:rPr>
        <w:t>审查后，乙方不得单方更改。</w:t>
      </w:r>
      <w:r>
        <w:rPr>
          <w:rFonts w:hint="eastAsia" w:hAnsi="宋体" w:eastAsia="宋体"/>
          <w:color w:val="auto"/>
          <w:kern w:val="0"/>
          <w:sz w:val="24"/>
          <w:szCs w:val="24"/>
          <w:highlight w:val="none"/>
        </w:rPr>
        <w:t>如乙方擅自提高设计标准，</w:t>
      </w:r>
      <w:r>
        <w:rPr>
          <w:rFonts w:hint="eastAsia" w:hAnsi="宋体" w:eastAsia="宋体" w:cs="宋体"/>
          <w:color w:val="auto"/>
          <w:sz w:val="24"/>
          <w:highlight w:val="none"/>
        </w:rPr>
        <w:t>甲</w:t>
      </w:r>
      <w:r>
        <w:rPr>
          <w:rFonts w:hint="eastAsia" w:hAnsi="宋体" w:eastAsia="宋体"/>
          <w:color w:val="auto"/>
          <w:kern w:val="0"/>
          <w:sz w:val="24"/>
          <w:szCs w:val="24"/>
          <w:highlight w:val="none"/>
        </w:rPr>
        <w:t>方可扣除本合同</w:t>
      </w:r>
      <w:r>
        <w:rPr>
          <w:rFonts w:hint="eastAsia" w:hAnsi="宋体" w:eastAsia="宋体"/>
          <w:color w:val="auto"/>
          <w:kern w:val="0"/>
          <w:sz w:val="24"/>
          <w:highlight w:val="none"/>
        </w:rPr>
        <w:t>设计费暂定合同价</w:t>
      </w:r>
      <w:r>
        <w:rPr>
          <w:rFonts w:hint="eastAsia" w:hAnsi="宋体" w:eastAsia="宋体"/>
          <w:color w:val="auto"/>
          <w:kern w:val="0"/>
          <w:sz w:val="24"/>
          <w:szCs w:val="24"/>
          <w:highlight w:val="none"/>
        </w:rPr>
        <w:t>20%的违约金</w:t>
      </w:r>
      <w:r>
        <w:rPr>
          <w:rFonts w:hint="eastAsia" w:hAnsi="宋体" w:eastAsia="宋体" w:cs="宋体"/>
          <w:color w:val="auto"/>
          <w:kern w:val="0"/>
          <w:sz w:val="24"/>
          <w:szCs w:val="24"/>
          <w:highlight w:val="none"/>
        </w:rPr>
        <w:t>。</w:t>
      </w:r>
    </w:p>
    <w:p w14:paraId="0BD6BAFB">
      <w:pPr>
        <w:pStyle w:val="22"/>
        <w:spacing w:line="360" w:lineRule="auto"/>
        <w:ind w:firstLine="480" w:firstLineChars="200"/>
        <w:rPr>
          <w:rFonts w:hint="eastAsia" w:hAnsi="宋体" w:eastAsia="宋体" w:cs="宋体"/>
          <w:color w:val="auto"/>
          <w:kern w:val="0"/>
          <w:sz w:val="24"/>
          <w:szCs w:val="24"/>
          <w:highlight w:val="none"/>
        </w:rPr>
      </w:pPr>
      <w:r>
        <w:rPr>
          <w:rFonts w:hint="eastAsia" w:hAnsi="宋体" w:eastAsia="宋体" w:cs="宋体"/>
          <w:color w:val="auto"/>
          <w:sz w:val="24"/>
          <w:szCs w:val="24"/>
          <w:highlight w:val="none"/>
        </w:rPr>
        <w:t>9.2.18因设计文件出现设计漏项延误了设计文件交付时间，按本条第9.2.7款约定处理。</w:t>
      </w:r>
    </w:p>
    <w:p w14:paraId="114C2376">
      <w:pPr>
        <w:pStyle w:val="22"/>
        <w:spacing w:line="360" w:lineRule="auto"/>
        <w:ind w:firstLine="480" w:firstLineChars="200"/>
        <w:rPr>
          <w:rFonts w:hint="eastAsia" w:hAnsi="宋体" w:eastAsia="宋体" w:cs="宋体"/>
          <w:color w:val="auto"/>
          <w:kern w:val="0"/>
          <w:sz w:val="24"/>
          <w:szCs w:val="24"/>
          <w:highlight w:val="none"/>
        </w:rPr>
      </w:pPr>
      <w:r>
        <w:rPr>
          <w:rFonts w:hint="eastAsia" w:hAnsi="宋体" w:eastAsia="宋体" w:cs="宋体"/>
          <w:color w:val="auto"/>
          <w:sz w:val="24"/>
          <w:szCs w:val="24"/>
          <w:highlight w:val="none"/>
        </w:rPr>
        <w:t>9.2.19乙方设计文件漏项或错误的罚金如下，并在设计费请款扣除。涉及单项工程费用5～10万元（以监理审核为准），扣减设计费5000元/项；涉及单项工程费用10～20万元，扣减设计费10000元/项；涉及单项工程费用20万元以上，按工程造价的4.5%扣除设计费。</w:t>
      </w:r>
    </w:p>
    <w:p w14:paraId="43727299">
      <w:pPr>
        <w:pStyle w:val="22"/>
        <w:spacing w:line="360" w:lineRule="auto"/>
        <w:ind w:firstLine="480" w:firstLineChars="200"/>
        <w:rPr>
          <w:rFonts w:hint="eastAsia" w:hAnsi="宋体" w:eastAsia="宋体" w:cs="宋体"/>
          <w:color w:val="auto"/>
          <w:kern w:val="0"/>
          <w:sz w:val="24"/>
          <w:szCs w:val="24"/>
          <w:highlight w:val="none"/>
        </w:rPr>
      </w:pPr>
      <w:r>
        <w:rPr>
          <w:rFonts w:hint="eastAsia" w:hAnsi="宋体" w:eastAsia="宋体" w:cs="宋体"/>
          <w:color w:val="auto"/>
          <w:sz w:val="24"/>
          <w:szCs w:val="24"/>
          <w:highlight w:val="none"/>
        </w:rPr>
        <w:t>9.2.20对于深基坑开挖和支护设计，</w:t>
      </w:r>
      <w:r>
        <w:rPr>
          <w:rFonts w:hint="eastAsia" w:hAnsi="宋体" w:eastAsia="宋体" w:cs="宋体"/>
          <w:color w:val="auto"/>
          <w:sz w:val="24"/>
          <w:highlight w:val="none"/>
        </w:rPr>
        <w:t>甲方</w:t>
      </w:r>
      <w:r>
        <w:rPr>
          <w:rFonts w:hint="eastAsia" w:hAnsi="宋体" w:eastAsia="宋体" w:cs="宋体"/>
          <w:color w:val="auto"/>
          <w:sz w:val="24"/>
          <w:szCs w:val="24"/>
          <w:highlight w:val="none"/>
        </w:rPr>
        <w:t>需配合</w:t>
      </w:r>
      <w:r>
        <w:rPr>
          <w:rFonts w:hint="eastAsia" w:hAnsi="宋体" w:eastAsia="宋体" w:cs="宋体"/>
          <w:color w:val="auto"/>
          <w:sz w:val="24"/>
          <w:highlight w:val="none"/>
        </w:rPr>
        <w:t>乙方</w:t>
      </w:r>
      <w:r>
        <w:rPr>
          <w:rFonts w:hint="eastAsia" w:hAnsi="宋体" w:eastAsia="宋体" w:cs="宋体"/>
          <w:color w:val="auto"/>
          <w:sz w:val="24"/>
          <w:szCs w:val="24"/>
          <w:highlight w:val="none"/>
        </w:rPr>
        <w:t>完成设计审查。对于建筑物保护，乙方应提供完整的保护实施方案。</w:t>
      </w:r>
    </w:p>
    <w:p w14:paraId="0C331585">
      <w:pPr>
        <w:pStyle w:val="22"/>
        <w:spacing w:line="360" w:lineRule="auto"/>
        <w:ind w:firstLine="480" w:firstLineChars="200"/>
        <w:rPr>
          <w:rFonts w:hint="eastAsia" w:hAnsi="宋体" w:eastAsia="宋体" w:cs="宋体"/>
          <w:color w:val="auto"/>
          <w:sz w:val="24"/>
          <w:szCs w:val="24"/>
          <w:highlight w:val="none"/>
        </w:rPr>
      </w:pPr>
      <w:r>
        <w:rPr>
          <w:rFonts w:hint="eastAsia" w:hAnsi="宋体" w:eastAsia="宋体" w:cs="宋体"/>
          <w:color w:val="auto"/>
          <w:sz w:val="24"/>
          <w:szCs w:val="24"/>
          <w:highlight w:val="none"/>
        </w:rPr>
        <w:t>9.2.21乙方注册地址在外地的，应在广州市内设立项目部，项目负责人及有关人员须长驻本项目部。不论乙方总部是否在广州市辖区域，需要用章的相关文件乙方应按</w:t>
      </w:r>
      <w:r>
        <w:rPr>
          <w:rFonts w:hint="eastAsia" w:hAnsi="宋体" w:eastAsia="宋体" w:cs="宋体"/>
          <w:color w:val="auto"/>
          <w:sz w:val="24"/>
          <w:highlight w:val="none"/>
        </w:rPr>
        <w:t>甲方</w:t>
      </w:r>
      <w:r>
        <w:rPr>
          <w:rFonts w:hint="eastAsia" w:hAnsi="宋体" w:eastAsia="宋体" w:cs="宋体"/>
          <w:color w:val="auto"/>
          <w:sz w:val="24"/>
          <w:szCs w:val="24"/>
          <w:highlight w:val="none"/>
        </w:rPr>
        <w:t>要求的期限内完成用章手续，未按要求办理的，罚款3000元/次，在设计费请款中扣除。</w:t>
      </w:r>
    </w:p>
    <w:p w14:paraId="4E9DE547">
      <w:pPr>
        <w:pStyle w:val="22"/>
        <w:spacing w:line="360" w:lineRule="auto"/>
        <w:ind w:firstLine="480" w:firstLineChars="200"/>
        <w:rPr>
          <w:rFonts w:hint="eastAsia" w:hAnsi="宋体" w:eastAsia="宋体" w:cs="宋体"/>
          <w:color w:val="auto"/>
          <w:sz w:val="24"/>
          <w:szCs w:val="24"/>
          <w:highlight w:val="none"/>
        </w:rPr>
      </w:pPr>
      <w:r>
        <w:rPr>
          <w:rFonts w:hint="eastAsia" w:hAnsi="宋体" w:eastAsia="宋体" w:cs="宋体"/>
          <w:color w:val="auto"/>
          <w:sz w:val="24"/>
          <w:szCs w:val="24"/>
          <w:highlight w:val="none"/>
        </w:rPr>
        <w:t>9.2.22乙方应当准时参加项目建设相关协调会议。乙方未按甲方要求出席会议（提前24小时通知；以书面会议通知或短信或微信方式通知）。必须向甲方支付违约金5000元/次。</w:t>
      </w:r>
    </w:p>
    <w:p w14:paraId="2013DA5F">
      <w:pPr>
        <w:pStyle w:val="22"/>
        <w:spacing w:line="360" w:lineRule="auto"/>
        <w:ind w:firstLine="480" w:firstLineChars="200"/>
        <w:rPr>
          <w:rFonts w:hint="eastAsia" w:hAnsi="宋体" w:eastAsia="宋体" w:cs="宋体"/>
          <w:color w:val="auto"/>
          <w:kern w:val="0"/>
          <w:sz w:val="24"/>
          <w:szCs w:val="24"/>
          <w:highlight w:val="none"/>
          <w:shd w:val="clear" w:color="auto" w:fill="FFFF00"/>
        </w:rPr>
      </w:pPr>
      <w:r>
        <w:rPr>
          <w:rFonts w:hint="eastAsia" w:hAnsi="宋体" w:eastAsia="宋体" w:cs="宋体"/>
          <w:color w:val="auto"/>
          <w:kern w:val="0"/>
          <w:sz w:val="24"/>
          <w:szCs w:val="24"/>
          <w:highlight w:val="none"/>
        </w:rPr>
        <w:t>9.2.23工程完工后，不能达到原设计功能要求的，乙方需配合核实原因，提出书面整改意见。属于乙方责任的，则扣除相应的设计费并按照该设计费的10%计算违约金。</w:t>
      </w:r>
    </w:p>
    <w:p w14:paraId="2B6DC097">
      <w:pPr>
        <w:spacing w:line="360" w:lineRule="auto"/>
        <w:ind w:firstLine="480" w:firstLineChars="200"/>
        <w:rPr>
          <w:rFonts w:hint="eastAsia" w:ascii="宋体" w:hAnsi="宋体" w:eastAsia="宋体" w:cs="宋体"/>
          <w:color w:val="auto"/>
          <w:sz w:val="24"/>
          <w:highlight w:val="none"/>
        </w:rPr>
      </w:pPr>
      <w:r>
        <w:rPr>
          <w:rFonts w:hint="eastAsia" w:hAnsi="宋体" w:eastAsia="宋体" w:cs="宋体"/>
          <w:color w:val="auto"/>
          <w:kern w:val="0"/>
          <w:sz w:val="24"/>
          <w:highlight w:val="none"/>
        </w:rPr>
        <w:t>9.2.24</w:t>
      </w:r>
      <w:r>
        <w:rPr>
          <w:rFonts w:hint="eastAsia" w:hAnsi="宋体" w:eastAsia="宋体" w:cs="宋体"/>
          <w:color w:val="auto"/>
          <w:sz w:val="24"/>
          <w:highlight w:val="none"/>
        </w:rPr>
        <w:t>乙方设计人员必须与本合同附件本项目人员架构表一致，更换人员或人员不到位</w:t>
      </w:r>
      <w:r>
        <w:rPr>
          <w:rFonts w:hint="eastAsia" w:ascii="宋体" w:hAnsi="宋体" w:eastAsia="宋体" w:cs="宋体"/>
          <w:color w:val="auto"/>
          <w:sz w:val="24"/>
          <w:highlight w:val="none"/>
        </w:rPr>
        <w:t>，未经甲方批准的，按每人2万元由甲方收取违约金，甲方在请款中直接扣除。甲方认为乙方不称职的人员，在乙方通知的次日乙方无条件更换。乙方在要求的期限内仍未将人员投入到位的，甲方有权另请他人接替其工作，另请他人的费用从应支付给乙方的设计费中扣减，乙方不得提出任何异议。</w:t>
      </w:r>
    </w:p>
    <w:p w14:paraId="47341743">
      <w:pPr>
        <w:pStyle w:val="22"/>
        <w:spacing w:line="360" w:lineRule="auto"/>
        <w:ind w:firstLine="480" w:firstLineChars="200"/>
        <w:rPr>
          <w:rFonts w:hint="eastAsia" w:hAnsi="宋体" w:eastAsia="宋体" w:cs="宋体"/>
          <w:color w:val="auto"/>
          <w:sz w:val="24"/>
          <w:szCs w:val="24"/>
          <w:highlight w:val="none"/>
        </w:rPr>
      </w:pPr>
      <w:r>
        <w:rPr>
          <w:rFonts w:hint="eastAsia" w:hAnsi="宋体" w:eastAsia="宋体" w:cs="宋体"/>
          <w:color w:val="auto"/>
          <w:sz w:val="24"/>
          <w:szCs w:val="24"/>
          <w:highlight w:val="none"/>
        </w:rPr>
        <w:t>9.2.2</w:t>
      </w:r>
      <w:r>
        <w:rPr>
          <w:rFonts w:hAnsi="宋体" w:eastAsia="宋体" w:cs="宋体"/>
          <w:color w:val="auto"/>
          <w:sz w:val="24"/>
          <w:szCs w:val="24"/>
          <w:highlight w:val="none"/>
        </w:rPr>
        <w:t>5</w:t>
      </w:r>
      <w:r>
        <w:rPr>
          <w:rFonts w:hint="eastAsia" w:hAnsi="宋体" w:eastAsia="宋体" w:cs="宋体"/>
          <w:color w:val="auto"/>
          <w:sz w:val="24"/>
          <w:szCs w:val="24"/>
          <w:highlight w:val="none"/>
        </w:rPr>
        <w:t>临时施工用水、永久供水、临时施工用电，永久供电，管线迁改、水利等的专业工程设计，乙方应自本合同签订生效之日起在甲方要求的时间内分别与专业设计分包单位签订设计分包合同。未在约定日期内签订分包合同的，按每一个专业工程每延期一天罚款5000元累加计算，在设计费请款和结算直接扣除。</w:t>
      </w:r>
    </w:p>
    <w:p w14:paraId="59DD20FD">
      <w:pPr>
        <w:pStyle w:val="22"/>
        <w:spacing w:line="360" w:lineRule="auto"/>
        <w:ind w:firstLine="480" w:firstLineChars="200"/>
        <w:rPr>
          <w:rFonts w:hint="eastAsia" w:hAnsi="宋体" w:eastAsia="宋体" w:cs="宋体"/>
          <w:color w:val="auto"/>
          <w:sz w:val="24"/>
          <w:szCs w:val="24"/>
          <w:highlight w:val="none"/>
        </w:rPr>
      </w:pPr>
      <w:r>
        <w:rPr>
          <w:rFonts w:hint="eastAsia" w:hAnsi="宋体" w:eastAsia="宋体" w:cs="宋体"/>
          <w:color w:val="auto"/>
          <w:sz w:val="24"/>
          <w:szCs w:val="24"/>
          <w:highlight w:val="none"/>
        </w:rPr>
        <w:t>9.2.2</w:t>
      </w:r>
      <w:r>
        <w:rPr>
          <w:rFonts w:hAnsi="宋体" w:eastAsia="宋体" w:cs="宋体"/>
          <w:color w:val="auto"/>
          <w:sz w:val="24"/>
          <w:szCs w:val="24"/>
          <w:highlight w:val="none"/>
        </w:rPr>
        <w:t>6</w:t>
      </w:r>
      <w:r>
        <w:rPr>
          <w:rFonts w:hint="eastAsia" w:hAnsi="宋体" w:eastAsia="宋体" w:cs="宋体"/>
          <w:color w:val="auto"/>
          <w:sz w:val="24"/>
          <w:szCs w:val="24"/>
          <w:highlight w:val="none"/>
        </w:rPr>
        <w:t>本合同有关条款约定乙方应承担的责任。</w:t>
      </w:r>
    </w:p>
    <w:p w14:paraId="0438194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9.2.2</w:t>
      </w:r>
      <w:r>
        <w:rPr>
          <w:rFonts w:ascii="宋体" w:hAnsi="宋体" w:eastAsia="宋体" w:cs="宋体"/>
          <w:color w:val="auto"/>
          <w:sz w:val="24"/>
          <w:highlight w:val="none"/>
        </w:rPr>
        <w:t>7</w:t>
      </w:r>
      <w:r>
        <w:rPr>
          <w:rFonts w:hint="eastAsia" w:ascii="宋体" w:hAnsi="宋体" w:eastAsia="宋体" w:cs="宋体"/>
          <w:color w:val="auto"/>
          <w:sz w:val="24"/>
          <w:highlight w:val="none"/>
        </w:rPr>
        <w:t>乙方违反上述9.2.6-9.2.26一款或多款，该款内没有约定违约责任的，甲方有权按对应条款扣减设计费的5%作为违约金。当期的累计违约金、乙方返还费用、赔偿在当期设计费请款中扣除，设计费结算款中全部扣除。多次违反的（超过三次的），甲方有权视情况发出警告直至解除本合同，按照合同金额的</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%支付违约金。</w:t>
      </w:r>
    </w:p>
    <w:p w14:paraId="3614967C">
      <w:pPr>
        <w:spacing w:line="360" w:lineRule="auto"/>
        <w:ind w:firstLine="359" w:firstLineChars="14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第十条　其它约定事项</w:t>
      </w:r>
    </w:p>
    <w:p w14:paraId="164D4C72">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10.1 乙方应派专人驻施工现场进行配合与解决有关问题。</w:t>
      </w:r>
    </w:p>
    <w:p w14:paraId="76F7044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10.2乙方为本合同项目的服务至缺陷通知期完成为止。</w:t>
      </w:r>
    </w:p>
    <w:p w14:paraId="107565C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10.3甲方委托乙方承担本合同内容以外的工作服务，另行签订协议并支付费用。</w:t>
      </w:r>
    </w:p>
    <w:p w14:paraId="5E3A21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10.4由于不可抗力因素致使合同无法履行时，双方应及时协商解决。</w:t>
      </w:r>
    </w:p>
    <w:p w14:paraId="45EEA37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10.5投资控制方面的违约责任</w:t>
      </w:r>
    </w:p>
    <w:p w14:paraId="36F860F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未经甲方同意突破合同约定的投资控制要求的，乙方应无偿负责修改设计，保证工程总投资控制在合同约定的投资控制要求内，交付设计文件时间不予顺延；如最终因此造成实际发生的建安工程费增加的，增加部分的建安工程费由乙方承担并按照以下方式计算违约金；违约金不足以弥补甲方损失的，乙方应继续赔偿。</w:t>
      </w:r>
    </w:p>
    <w:p w14:paraId="653F425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违约金 = A ×（B / C）× 2</w:t>
      </w:r>
    </w:p>
    <w:p w14:paraId="4831683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其中：A - 实际增加的建安工程费；</w:t>
      </w:r>
    </w:p>
    <w:p w14:paraId="33A9D02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B - 本合同设计收费（包括工程设计费及其它设计收费）总额；</w:t>
      </w:r>
    </w:p>
    <w:p w14:paraId="0C8457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C - 本合同工程审定工程设计概算建安工程费总额。</w:t>
      </w:r>
    </w:p>
    <w:p w14:paraId="25D5061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（2）乙方对乙方分包单位的投资控制方面的违约相应承担连带责任。</w:t>
      </w:r>
    </w:p>
    <w:p w14:paraId="281576D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如因乙方提供的初步设计成果文件深度不够等原因导致甲方另外发包的专项施工图设计无法满足投资控制的要求，乙方应及时完善、修改相关的设计成果文件；造成实际发生的建安工程费增加的，按照本款第（1）项下约定的计算方法确定违约金；给甲方造成损失的，乙方应赔偿甲方的全部损失。</w:t>
      </w:r>
    </w:p>
    <w:p w14:paraId="20A4FB2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（4）因乙方对设计变更随意进行合并、分拆导致本合同工程投资失控，造成实际发生的建安工程费增加的，按照本款第（1）项下约定的计算方法确定违约金；给甲方造成损失的，乙方应赔偿甲方的全部损失。</w:t>
      </w:r>
    </w:p>
    <w:p w14:paraId="40F3103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10.6本合同价已包含施工阶段一般性设计变更、修改、补充的设计费用以及配合甲方进行设计报建、工程招标、施工管理等工作的费用。施工中，乙方相关专业设计人员应按甲方通知到达施工现场。</w:t>
      </w:r>
    </w:p>
    <w:p w14:paraId="01F2E50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10.7进入施工阶段后，因设计方原因导致工期延误，自延误之日起每日按暂定设计费总额计收1‰的违约金，并赔偿损失。</w:t>
      </w:r>
    </w:p>
    <w:p w14:paraId="28E59A0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10.8乙方须配合完成竣工图编制及盖章工作，提供竣工图一式十六份。</w:t>
      </w:r>
    </w:p>
    <w:p w14:paraId="271AA6D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10.9本合同设计成果的发表权、展览权、使用权归甲方所有。</w:t>
      </w:r>
    </w:p>
    <w:p w14:paraId="63F430B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10.1</w:t>
      </w:r>
      <w:r>
        <w:rPr>
          <w:rFonts w:hint="eastAsia" w:ascii="宋体" w:hAnsi="宋体" w:eastAsia="宋体" w:cs="宋体"/>
          <w:color w:val="auto"/>
          <w:sz w:val="24"/>
          <w:highlight w:val="none"/>
          <w:lang w:val="en-US" w:eastAsia="zh-CN"/>
        </w:rPr>
        <w:t>0</w:t>
      </w:r>
      <w:r>
        <w:rPr>
          <w:rFonts w:hint="eastAsia" w:ascii="宋体" w:hAnsi="宋体" w:eastAsia="宋体" w:cs="宋体"/>
          <w:color w:val="auto"/>
          <w:kern w:val="0"/>
          <w:sz w:val="24"/>
          <w:highlight w:val="none"/>
        </w:rPr>
        <w:t>乙方提交的设计工作人员分工表，其设计参与人员必须具备设计资质，乙方不得无故更换投标文件内的设计参与人员，若要更换必须取得经</w:t>
      </w:r>
      <w:r>
        <w:rPr>
          <w:rFonts w:hint="eastAsia" w:ascii="宋体" w:hAnsi="宋体" w:eastAsia="宋体" w:cs="宋体"/>
          <w:color w:val="auto"/>
          <w:sz w:val="24"/>
          <w:highlight w:val="none"/>
        </w:rPr>
        <w:t>甲方</w:t>
      </w:r>
      <w:r>
        <w:rPr>
          <w:rFonts w:hint="eastAsia" w:ascii="宋体" w:hAnsi="宋体" w:eastAsia="宋体" w:cs="宋体"/>
          <w:color w:val="auto"/>
          <w:kern w:val="0"/>
          <w:sz w:val="24"/>
          <w:highlight w:val="none"/>
        </w:rPr>
        <w:t>书面同意</w:t>
      </w:r>
      <w:r>
        <w:rPr>
          <w:rFonts w:hint="eastAsia" w:ascii="宋体" w:hAnsi="宋体" w:eastAsia="宋体" w:cs="宋体"/>
          <w:color w:val="auto"/>
          <w:sz w:val="24"/>
          <w:highlight w:val="none"/>
        </w:rPr>
        <w:t>。</w:t>
      </w:r>
    </w:p>
    <w:p w14:paraId="6A6C4BD3">
      <w:pPr>
        <w:spacing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10.1</w:t>
      </w:r>
      <w:r>
        <w:rPr>
          <w:rFonts w:hint="eastAsia" w:ascii="宋体" w:hAnsi="宋体" w:eastAsia="宋体" w:cs="宋体"/>
          <w:color w:val="auto"/>
          <w:sz w:val="24"/>
          <w:highlight w:val="none"/>
          <w:lang w:val="en-US" w:eastAsia="zh-CN"/>
        </w:rPr>
        <w:t>1</w:t>
      </w:r>
      <w:r>
        <w:rPr>
          <w:rFonts w:ascii="宋体" w:hAnsi="宋体" w:eastAsia="宋体" w:cs="宋体"/>
          <w:color w:val="auto"/>
          <w:sz w:val="24"/>
          <w:highlight w:val="none"/>
        </w:rPr>
        <w:t xml:space="preserve"> 本设计合同部分自项目两年缺陷通知期届满且期间未出现任何缺陷问题时终止。</w:t>
      </w:r>
    </w:p>
    <w:p w14:paraId="1CFCBCD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第十一条  争议的解决</w:t>
      </w:r>
    </w:p>
    <w:p w14:paraId="6C76A4D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合同执行过程中双方如有争议，应友好协商解决，协商不成，双方同意选择以下第（ 2 ）项方式解决：</w:t>
      </w:r>
    </w:p>
    <w:p w14:paraId="5171088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1、提交中国广州仲裁委员会仲裁；</w:t>
      </w:r>
    </w:p>
    <w:p w14:paraId="2C05B35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2、向广州市番禺区人民法院提出诉讼。</w:t>
      </w:r>
    </w:p>
    <w:p w14:paraId="17C6DAC6">
      <w:pPr>
        <w:spacing w:line="360" w:lineRule="auto"/>
        <w:ind w:firstLine="480" w:firstLineChars="200"/>
        <w:rPr>
          <w:rFonts w:hint="eastAsia" w:ascii="宋体" w:hAnsi="宋体" w:eastAsia="宋体" w:cs="宋体"/>
          <w:color w:val="auto"/>
          <w:sz w:val="24"/>
          <w:highlight w:val="none"/>
        </w:rPr>
      </w:pPr>
    </w:p>
    <w:p w14:paraId="19EB448B">
      <w:pPr>
        <w:rPr>
          <w:rFonts w:hint="eastAsia"/>
          <w:color w:val="auto"/>
          <w:highlight w:val="none"/>
        </w:rPr>
      </w:pPr>
      <w:bookmarkStart w:id="14" w:name="_Toc287627924"/>
    </w:p>
    <w:p w14:paraId="47F25335">
      <w:pPr>
        <w:spacing w:line="360" w:lineRule="auto"/>
        <w:ind w:firstLine="420" w:firstLineChars="200"/>
        <w:rPr>
          <w:rFonts w:hint="eastAsia" w:ascii="宋体" w:hAnsi="宋体" w:eastAsia="宋体" w:cs="宋体"/>
          <w:color w:val="auto"/>
          <w:highlight w:val="none"/>
        </w:rPr>
        <w:sectPr>
          <w:pgSz w:w="11920" w:h="16840"/>
          <w:pgMar w:top="1580" w:right="880" w:bottom="280" w:left="920" w:header="720" w:footer="720" w:gutter="0"/>
          <w:pgNumType w:fmt="numberInDash"/>
          <w:cols w:space="720" w:num="1"/>
          <w:titlePg/>
          <w:docGrid w:linePitch="286" w:charSpace="0"/>
        </w:sectPr>
      </w:pPr>
    </w:p>
    <w:bookmarkEnd w:id="14"/>
    <w:p w14:paraId="79C1A354">
      <w:pPr>
        <w:pStyle w:val="81"/>
        <w:rPr>
          <w:rFonts w:hint="eastAsia" w:ascii="宋体" w:hAnsi="宋体" w:eastAsia="宋体" w:cs="宋体"/>
          <w:b/>
          <w:bCs w:val="0"/>
          <w:color w:val="auto"/>
          <w:highlight w:val="none"/>
          <w:lang w:eastAsia="zh-CN"/>
        </w:rPr>
      </w:pPr>
      <w:bookmarkStart w:id="15" w:name="_Toc287628028"/>
      <w:r>
        <w:rPr>
          <w:rFonts w:hint="eastAsia" w:ascii="宋体" w:hAnsi="宋体" w:eastAsia="宋体" w:cs="宋体"/>
          <w:b/>
          <w:bCs w:val="0"/>
          <w:color w:val="auto"/>
          <w:highlight w:val="none"/>
        </w:rPr>
        <w:t xml:space="preserve">第四篇  </w:t>
      </w:r>
      <w:r>
        <w:rPr>
          <w:rFonts w:hint="default" w:ascii="宋体" w:hAnsi="宋体" w:eastAsia="宋体" w:cs="宋体"/>
          <w:b/>
          <w:bCs w:val="0"/>
          <w:color w:val="auto"/>
          <w:highlight w:val="none"/>
          <w:lang w:val="en-US"/>
        </w:rPr>
        <w:t>工程施工总承包合同条款</w:t>
      </w:r>
    </w:p>
    <w:p w14:paraId="0DFFB24A">
      <w:pPr>
        <w:rPr>
          <w:rFonts w:hint="eastAsia"/>
          <w:color w:val="auto"/>
          <w:highlight w:val="none"/>
        </w:rPr>
      </w:pPr>
    </w:p>
    <w:p w14:paraId="297704F4">
      <w:pPr>
        <w:pStyle w:val="81"/>
        <w:rPr>
          <w:rFonts w:hint="eastAsia" w:ascii="宋体" w:hAnsi="宋体" w:eastAsia="宋体" w:cs="宋体"/>
          <w:color w:val="auto"/>
          <w:highlight w:val="none"/>
        </w:rPr>
      </w:pPr>
      <w:r>
        <w:rPr>
          <w:rFonts w:hint="eastAsia" w:ascii="宋体" w:hAnsi="宋体" w:eastAsia="宋体" w:cs="宋体"/>
          <w:color w:val="auto"/>
          <w:highlight w:val="none"/>
        </w:rPr>
        <w:t>第一章　通用条款</w:t>
      </w:r>
    </w:p>
    <w:p w14:paraId="765984CD">
      <w:pPr>
        <w:autoSpaceDE w:val="0"/>
        <w:autoSpaceDN w:val="0"/>
        <w:adjustRightInd w:val="0"/>
        <w:spacing w:line="600" w:lineRule="exact"/>
        <w:jc w:val="center"/>
        <w:rPr>
          <w:rFonts w:hint="eastAsia" w:ascii="宋体" w:hAnsi="宋体" w:eastAsia="宋体" w:cs="宋体"/>
          <w:b/>
          <w:bCs/>
          <w:color w:val="auto"/>
          <w:kern w:val="0"/>
          <w:sz w:val="32"/>
          <w:szCs w:val="32"/>
          <w:highlight w:val="none"/>
        </w:rPr>
      </w:pPr>
    </w:p>
    <w:p w14:paraId="62C49FBD">
      <w:pPr>
        <w:autoSpaceDE w:val="0"/>
        <w:autoSpaceDN w:val="0"/>
        <w:adjustRightInd w:val="0"/>
        <w:spacing w:line="600" w:lineRule="exact"/>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一、总  则</w:t>
      </w:r>
    </w:p>
    <w:p w14:paraId="6F1CF18B">
      <w:pPr>
        <w:pStyle w:val="22"/>
        <w:tabs>
          <w:tab w:val="left" w:pos="900"/>
          <w:tab w:val="left" w:pos="1080"/>
        </w:tabs>
        <w:spacing w:before="120" w:beforeLines="50" w:after="120" w:afterLines="50" w:line="300" w:lineRule="auto"/>
        <w:outlineLvl w:val="2"/>
        <w:rPr>
          <w:rFonts w:hint="eastAsia" w:hAnsi="宋体" w:eastAsia="宋体" w:cs="宋体"/>
          <w:b/>
          <w:bCs/>
          <w:color w:val="auto"/>
          <w:sz w:val="24"/>
          <w:szCs w:val="24"/>
          <w:highlight w:val="none"/>
        </w:rPr>
      </w:pPr>
      <w:bookmarkStart w:id="16" w:name="_Toc469383980"/>
      <w:bookmarkStart w:id="17" w:name="_Toc46860801"/>
      <w:r>
        <w:rPr>
          <w:rFonts w:hint="eastAsia" w:hAnsi="宋体" w:eastAsia="宋体" w:cs="宋体"/>
          <w:b/>
          <w:bCs/>
          <w:color w:val="auto"/>
          <w:sz w:val="24"/>
          <w:szCs w:val="24"/>
          <w:highlight w:val="none"/>
        </w:rPr>
        <w:t>1  定义</w:t>
      </w:r>
      <w:bookmarkEnd w:id="16"/>
      <w:bookmarkEnd w:id="17"/>
    </w:p>
    <w:p w14:paraId="2A160BF1">
      <w:pPr>
        <w:pStyle w:val="22"/>
        <w:tabs>
          <w:tab w:val="left" w:pos="900"/>
          <w:tab w:val="left" w:pos="1980"/>
        </w:tabs>
        <w:adjustRightInd w:val="0"/>
        <w:spacing w:line="300" w:lineRule="auto"/>
        <w:ind w:left="1446" w:hanging="1446" w:hangingChars="600"/>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 xml:space="preserve">           </w:t>
      </w:r>
      <w:r>
        <w:rPr>
          <w:rFonts w:hint="eastAsia" w:hAnsi="宋体" w:eastAsia="宋体" w:cs="宋体"/>
          <w:color w:val="auto"/>
          <w:sz w:val="24"/>
          <w:szCs w:val="24"/>
          <w:highlight w:val="none"/>
        </w:rPr>
        <w:t>下列词语或措辞，除非特别说明，在本合同中均具有以下赋予的含义：</w:t>
      </w:r>
    </w:p>
    <w:p w14:paraId="3F697D8F">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u w:val="dotted"/>
        </w:rPr>
      </w:pPr>
      <w:r>
        <w:rPr>
          <w:rFonts w:hint="eastAsia" w:hAnsi="宋体" w:eastAsia="宋体" w:cs="宋体"/>
          <w:b/>
          <w:bCs/>
          <w:color w:val="auto"/>
          <w:sz w:val="24"/>
          <w:szCs w:val="24"/>
          <w:highlight w:val="none"/>
        </w:rPr>
        <w:t>1.1  合同：</w:t>
      </w:r>
      <w:r>
        <w:rPr>
          <w:rFonts w:hint="eastAsia" w:hAnsi="宋体" w:eastAsia="宋体" w:cs="宋体"/>
          <w:color w:val="auto"/>
          <w:sz w:val="24"/>
          <w:szCs w:val="24"/>
          <w:highlight w:val="none"/>
        </w:rPr>
        <w:t>指合同双方当事人为实施、完成并保修合同工程所订立的合同文件。合同文件由第2.2款所列的文件组成。</w:t>
      </w:r>
    </w:p>
    <w:p w14:paraId="059445AE">
      <w:pPr>
        <w:pStyle w:val="22"/>
        <w:tabs>
          <w:tab w:val="left" w:pos="2160"/>
          <w:tab w:val="left" w:pos="2520"/>
        </w:tabs>
        <w:adjustRightInd w:val="0"/>
        <w:spacing w:before="192" w:beforeLines="80" w:line="300" w:lineRule="auto"/>
        <w:ind w:left="1469" w:leftChars="685" w:hanging="31" w:hangingChars="13"/>
        <w:rPr>
          <w:rFonts w:hint="eastAsia" w:hAnsi="宋体" w:eastAsia="宋体" w:cs="宋体"/>
          <w:color w:val="auto"/>
          <w:sz w:val="24"/>
          <w:szCs w:val="24"/>
          <w:highlight w:val="none"/>
          <w:u w:val="dotted"/>
        </w:rPr>
      </w:pPr>
      <w:r>
        <w:rPr>
          <w:rFonts w:hint="eastAsia" w:hAnsi="宋体" w:eastAsia="宋体" w:cs="宋体"/>
          <w:b/>
          <w:bCs/>
          <w:color w:val="auto"/>
          <w:sz w:val="24"/>
          <w:szCs w:val="24"/>
          <w:highlight w:val="none"/>
        </w:rPr>
        <w:t>1.2  协议书：</w:t>
      </w:r>
      <w:r>
        <w:rPr>
          <w:rFonts w:hint="eastAsia" w:hAnsi="宋体" w:eastAsia="宋体" w:cs="宋体"/>
          <w:color w:val="auto"/>
          <w:sz w:val="24"/>
          <w:szCs w:val="24"/>
          <w:highlight w:val="none"/>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30天内签订。</w:t>
      </w:r>
    </w:p>
    <w:p w14:paraId="124B8DDC">
      <w:pPr>
        <w:pStyle w:val="22"/>
        <w:tabs>
          <w:tab w:val="left" w:pos="2160"/>
        </w:tabs>
        <w:adjustRightInd w:val="0"/>
        <w:spacing w:before="192" w:beforeLines="80" w:line="300" w:lineRule="auto"/>
        <w:ind w:left="1468" w:leftChars="699"/>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1.3  通用条款：</w:t>
      </w:r>
      <w:r>
        <w:rPr>
          <w:rFonts w:hint="eastAsia" w:hAnsi="宋体" w:eastAsia="宋体" w:cs="宋体"/>
          <w:color w:val="auto"/>
          <w:sz w:val="24"/>
          <w:szCs w:val="24"/>
          <w:highlight w:val="none"/>
        </w:rPr>
        <w:t>指根据法律、法规和规章的规定以及建设工程施工的需要所订立的，通用于建设工程施工的条款。</w:t>
      </w:r>
    </w:p>
    <w:p w14:paraId="29130104">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u w:val="dotted"/>
        </w:rPr>
      </w:pPr>
      <w:r>
        <w:rPr>
          <w:rFonts w:hint="eastAsia" w:hAnsi="宋体" w:eastAsia="宋体" w:cs="宋体"/>
          <w:b/>
          <w:bCs/>
          <w:color w:val="auto"/>
          <w:sz w:val="24"/>
          <w:szCs w:val="24"/>
          <w:highlight w:val="none"/>
        </w:rPr>
        <w:t>1.4  专用条款：</w:t>
      </w:r>
      <w:r>
        <w:rPr>
          <w:rFonts w:hint="eastAsia" w:hAnsi="宋体" w:eastAsia="宋体" w:cs="宋体"/>
          <w:color w:val="auto"/>
          <w:sz w:val="24"/>
          <w:szCs w:val="24"/>
          <w:highlight w:val="none"/>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14:paraId="10E00C22">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u w:val="dotted"/>
        </w:rPr>
      </w:pPr>
      <w:r>
        <w:rPr>
          <w:rFonts w:hint="eastAsia" w:hAnsi="宋体" w:eastAsia="宋体" w:cs="宋体"/>
          <w:b/>
          <w:bCs/>
          <w:color w:val="auto"/>
          <w:sz w:val="24"/>
          <w:szCs w:val="24"/>
          <w:highlight w:val="none"/>
        </w:rPr>
        <w:t>1.5  中标通知书：</w:t>
      </w:r>
      <w:r>
        <w:rPr>
          <w:rFonts w:hint="eastAsia" w:hAnsi="宋体" w:eastAsia="宋体" w:cs="宋体"/>
          <w:color w:val="auto"/>
          <w:sz w:val="24"/>
          <w:szCs w:val="24"/>
          <w:highlight w:val="none"/>
        </w:rPr>
        <w:t>指发包人正式接受中标人投标文件的书面文件。</w:t>
      </w:r>
    </w:p>
    <w:p w14:paraId="11B5AD34">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1.6  承包人投标文件：</w:t>
      </w:r>
      <w:r>
        <w:rPr>
          <w:rFonts w:hint="eastAsia" w:hAnsi="宋体" w:eastAsia="宋体" w:cs="宋体"/>
          <w:color w:val="auto"/>
          <w:sz w:val="24"/>
          <w:szCs w:val="24"/>
          <w:highlight w:val="none"/>
        </w:rPr>
        <w:t>指构成合同文件组成部分的，由承包人根据招标文件编制完成、签字并被中标通知书所接受的，承包人为实施、完成并保修合同工程向发包人提交的技术、经济文件。</w:t>
      </w:r>
    </w:p>
    <w:p w14:paraId="5B77D797">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1.7  标准、规范及有关技术文件：</w:t>
      </w:r>
      <w:r>
        <w:rPr>
          <w:rFonts w:hint="eastAsia" w:hAnsi="宋体" w:eastAsia="宋体" w:cs="宋体"/>
          <w:color w:val="auto"/>
          <w:sz w:val="24"/>
          <w:szCs w:val="24"/>
          <w:highlight w:val="none"/>
        </w:rPr>
        <w:t>指构成合同文件组成部分的，本合同所指明的和合同工程依法应适用的标准与规范，以及监理工程师、造价工程师对有关技术方面问题做出的补充、修改和批准文件。</w:t>
      </w:r>
    </w:p>
    <w:p w14:paraId="0C1A2E49">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1.8  施工设计图纸：</w:t>
      </w:r>
      <w:r>
        <w:rPr>
          <w:rFonts w:hint="eastAsia" w:hAnsi="宋体" w:eastAsia="宋体" w:cs="宋体"/>
          <w:color w:val="auto"/>
          <w:sz w:val="24"/>
          <w:szCs w:val="24"/>
          <w:highlight w:val="none"/>
        </w:rPr>
        <w:t>指构成合同文件组成部分的，按规定审批的由发包人提供或经发包人批准由承包人提供，满足承包人施工需要的所有设计文件</w:t>
      </w:r>
      <w:r>
        <w:rPr>
          <w:rFonts w:hint="eastAsia" w:hAnsi="宋体" w:eastAsia="宋体" w:cs="宋体"/>
          <w:color w:val="auto"/>
          <w:kern w:val="0"/>
          <w:sz w:val="24"/>
          <w:szCs w:val="24"/>
          <w:highlight w:val="none"/>
        </w:rPr>
        <w:t>、</w:t>
      </w:r>
      <w:r>
        <w:rPr>
          <w:rFonts w:hint="eastAsia" w:hAnsi="宋体" w:eastAsia="宋体" w:cs="宋体"/>
          <w:color w:val="auto"/>
          <w:sz w:val="24"/>
          <w:szCs w:val="24"/>
          <w:highlight w:val="none"/>
        </w:rPr>
        <w:t>施工图纸、模型（包括任何补充和修改的施工图纸、配套说明和有关资料）。图纸应当按照法律规定审查合格。</w:t>
      </w:r>
    </w:p>
    <w:p w14:paraId="6B20612A">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1.9  工程量清单：</w:t>
      </w:r>
      <w:r>
        <w:rPr>
          <w:rFonts w:hint="eastAsia" w:hAnsi="宋体" w:eastAsia="宋体" w:cs="宋体"/>
          <w:color w:val="auto"/>
          <w:sz w:val="24"/>
          <w:szCs w:val="24"/>
          <w:highlight w:val="none"/>
        </w:rPr>
        <w:t>指构成合同文件组成部分的,由发包人在招标文件中提供的,合同工程分部分项工程项目、措施项目、其他项目、规费项目和税金项目的名称和相应数量等的明细清单。</w:t>
      </w:r>
    </w:p>
    <w:p w14:paraId="02385F0A">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1.10  发包人：</w:t>
      </w:r>
      <w:r>
        <w:rPr>
          <w:rFonts w:hint="eastAsia" w:hAnsi="宋体" w:eastAsia="宋体" w:cs="宋体"/>
          <w:color w:val="auto"/>
          <w:sz w:val="24"/>
          <w:szCs w:val="24"/>
          <w:highlight w:val="none"/>
        </w:rPr>
        <w:t>指在协议书中约定，具有工程发包主体资格和支付工程款能力的当事人，以及取得该当事人资格的合法继承人。</w:t>
      </w:r>
    </w:p>
    <w:p w14:paraId="2537F470">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1.11  承包人：</w:t>
      </w:r>
      <w:r>
        <w:rPr>
          <w:rFonts w:hint="eastAsia" w:hAnsi="宋体" w:eastAsia="宋体" w:cs="宋体"/>
          <w:color w:val="auto"/>
          <w:sz w:val="24"/>
          <w:szCs w:val="24"/>
          <w:highlight w:val="none"/>
        </w:rPr>
        <w:t>指在协议书中约定，被发包人接受且具有工程施工承包主体资格的当事人，以及取得该当事人资格的合法继承人。</w:t>
      </w:r>
    </w:p>
    <w:p w14:paraId="299C0FA5">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1.12  分包人：</w:t>
      </w:r>
      <w:r>
        <w:rPr>
          <w:rFonts w:hint="eastAsia" w:hAnsi="宋体" w:eastAsia="宋体" w:cs="宋体"/>
          <w:color w:val="auto"/>
          <w:sz w:val="24"/>
          <w:szCs w:val="24"/>
          <w:highlight w:val="none"/>
        </w:rPr>
        <w:t>指被发包人接受且具有相应资格，并与承包人签订了分包合同，依法分包合同工程某一部分的当事人，以及取得该当事人资格的合法继承人。</w:t>
      </w:r>
    </w:p>
    <w:p w14:paraId="7AC5E24F">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1.13  第三方：</w:t>
      </w:r>
      <w:r>
        <w:rPr>
          <w:rFonts w:hint="eastAsia" w:hAnsi="宋体" w:eastAsia="宋体" w:cs="宋体"/>
          <w:color w:val="auto"/>
          <w:sz w:val="24"/>
          <w:szCs w:val="24"/>
          <w:highlight w:val="none"/>
        </w:rPr>
        <w:t>除合同双方当事人(含双方雇员及代表其工作的人员)以外的任何他人或组织。</w:t>
      </w:r>
    </w:p>
    <w:p w14:paraId="4EB87D4C">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1.14  设计人：</w:t>
      </w:r>
      <w:r>
        <w:rPr>
          <w:rFonts w:hint="eastAsia" w:hAnsi="宋体" w:eastAsia="宋体" w:cs="宋体"/>
          <w:color w:val="auto"/>
          <w:sz w:val="24"/>
          <w:szCs w:val="24"/>
          <w:highlight w:val="none"/>
        </w:rPr>
        <w:t>指受发包人委托的，负责合同工程的工程设计专业技术且具有相应工程设计资质的当事人，以及取得该当事人资格的合法继承人。</w:t>
      </w:r>
    </w:p>
    <w:p w14:paraId="191B5143">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1.15  监理人：</w:t>
      </w:r>
      <w:r>
        <w:rPr>
          <w:rFonts w:hint="eastAsia" w:hAnsi="宋体" w:eastAsia="宋体" w:cs="宋体"/>
          <w:color w:val="auto"/>
          <w:sz w:val="24"/>
          <w:szCs w:val="24"/>
          <w:highlight w:val="none"/>
        </w:rPr>
        <w:t>指受发包人委托的，负责合同工程的工程监理专业技术且具有相应工程监理资质的当事人，以及取得该当事人资格的合法继承人。</w:t>
      </w:r>
    </w:p>
    <w:p w14:paraId="7F446822">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1.16  工程造价咨询人：</w:t>
      </w:r>
      <w:r>
        <w:rPr>
          <w:rFonts w:hint="eastAsia" w:hAnsi="宋体" w:eastAsia="宋体" w:cs="宋体"/>
          <w:color w:val="auto"/>
          <w:sz w:val="24"/>
          <w:szCs w:val="24"/>
          <w:highlight w:val="none"/>
        </w:rPr>
        <w:t>指受发包人委托的，负责合同工程的工程造价专业技术且具有相应工程造价咨询资质的当事人，以及取得该当事人资格的合法继承人。</w:t>
      </w:r>
    </w:p>
    <w:p w14:paraId="3A996235">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1.17  工程造价管理机构：指国务院有关部门、县级以上人民政府建设行政主管部</w:t>
      </w:r>
      <w:r>
        <w:rPr>
          <w:rFonts w:hint="eastAsia" w:hAnsi="宋体" w:eastAsia="宋体" w:cs="宋体"/>
          <w:color w:val="auto"/>
          <w:sz w:val="24"/>
          <w:szCs w:val="24"/>
          <w:highlight w:val="none"/>
        </w:rPr>
        <w:t>门或受其委托的工程造价管理机构。</w:t>
      </w:r>
    </w:p>
    <w:p w14:paraId="5E24CB5D">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1.18  发包人代表：</w:t>
      </w:r>
      <w:r>
        <w:rPr>
          <w:rFonts w:hint="eastAsia" w:hAnsi="宋体" w:eastAsia="宋体" w:cs="宋体"/>
          <w:color w:val="auto"/>
          <w:sz w:val="24"/>
          <w:szCs w:val="24"/>
          <w:highlight w:val="none"/>
        </w:rPr>
        <w:t>指发包人指定的，履行本合同的全权代表。发包人代表由发包人依据第22.1款规定任命并书面通知承包人。</w:t>
      </w:r>
    </w:p>
    <w:p w14:paraId="3A8268B6">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1.19  监理工程师：</w:t>
      </w:r>
      <w:r>
        <w:rPr>
          <w:rFonts w:hint="eastAsia" w:hAnsi="宋体" w:eastAsia="宋体" w:cs="宋体"/>
          <w:color w:val="auto"/>
          <w:sz w:val="24"/>
          <w:szCs w:val="24"/>
          <w:highlight w:val="none"/>
        </w:rPr>
        <w:t>指监理人委派常驻施工现场负责合同工程的工程监理专业技术的专业人员。监理工程师由监理人提名，经发包人依据第23.1款规定任命并书面通知承包人。</w:t>
      </w:r>
    </w:p>
    <w:p w14:paraId="7457973E">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1.20  造价工程师：</w:t>
      </w:r>
      <w:r>
        <w:rPr>
          <w:rFonts w:hint="eastAsia" w:hAnsi="宋体" w:eastAsia="宋体" w:cs="宋体"/>
          <w:color w:val="auto"/>
          <w:sz w:val="24"/>
          <w:szCs w:val="24"/>
          <w:highlight w:val="none"/>
        </w:rPr>
        <w:t>指工程造价咨询人或监理人委派常驻施工现场负责合同工程的工程造价专业技术的专业人员。造价工程师由工程造价咨询人或监理人提名，经发包人依据第24.1款规定任命并书面通知承包人。</w:t>
      </w:r>
    </w:p>
    <w:p w14:paraId="6D96594A">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1.21  承包人代表：指承包人指定的，履行本合同和负责合同工程施工现场管理的</w:t>
      </w:r>
      <w:r>
        <w:rPr>
          <w:rFonts w:hint="eastAsia" w:hAnsi="宋体" w:eastAsia="宋体" w:cs="宋体"/>
          <w:color w:val="auto"/>
          <w:sz w:val="24"/>
          <w:szCs w:val="24"/>
          <w:highlight w:val="none"/>
        </w:rPr>
        <w:t>全权代表。承包人代表由承包人依据第25.1款规定任命并书面通知发包人。</w:t>
      </w:r>
    </w:p>
    <w:p w14:paraId="7935F079">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1.22  合同工期：</w:t>
      </w:r>
      <w:r>
        <w:rPr>
          <w:rFonts w:hint="eastAsia" w:hAnsi="宋体" w:eastAsia="宋体" w:cs="宋体"/>
          <w:color w:val="auto"/>
          <w:sz w:val="24"/>
          <w:szCs w:val="24"/>
          <w:highlight w:val="none"/>
        </w:rPr>
        <w:t>指合同双方当事人在协议书中约定，按照总日历天数（包括法定节假日）计算的从开始实施到完成合同工程的天数。</w:t>
      </w:r>
    </w:p>
    <w:p w14:paraId="7EA75ADA">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1.23  开工日期：</w:t>
      </w:r>
      <w:r>
        <w:rPr>
          <w:rFonts w:hint="eastAsia" w:hAnsi="宋体" w:eastAsia="宋体" w:cs="宋体"/>
          <w:color w:val="auto"/>
          <w:sz w:val="24"/>
          <w:szCs w:val="24"/>
          <w:highlight w:val="none"/>
        </w:rPr>
        <w:t>指根据第34条规定，监理工程师在开工令中写明的、承包人按照合同约定最迟在该日期开工的日期。</w:t>
      </w:r>
    </w:p>
    <w:p w14:paraId="7866127F">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1.24  计划竣工日期：</w:t>
      </w:r>
      <w:r>
        <w:rPr>
          <w:rFonts w:hint="eastAsia" w:hAnsi="宋体" w:eastAsia="宋体" w:cs="宋体"/>
          <w:color w:val="auto"/>
          <w:sz w:val="24"/>
          <w:szCs w:val="24"/>
          <w:highlight w:val="none"/>
        </w:rPr>
        <w:t>指自开工日期起根据合同约定要求承包人完成合同工程并竣工的全部时间（包括根据第36条和第37.2款规定所做的调整）。</w:t>
      </w:r>
    </w:p>
    <w:p w14:paraId="67C4699B">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1.25  实际竣工日期：</w:t>
      </w:r>
      <w:r>
        <w:rPr>
          <w:rFonts w:hint="eastAsia" w:hAnsi="宋体" w:eastAsia="宋体" w:cs="宋体"/>
          <w:color w:val="auto"/>
          <w:sz w:val="24"/>
          <w:szCs w:val="24"/>
          <w:highlight w:val="none"/>
        </w:rPr>
        <w:t>指承包人实际完成合同工程或某单位工程后，由发包人按照第58条规定组织竣工验收、接收工程并颁发工程接收证书的日期。实际竣工日期，按照第38.2款规定确定。</w:t>
      </w:r>
    </w:p>
    <w:p w14:paraId="3ED4FB70">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1.26  缺陷责任期：</w:t>
      </w:r>
      <w:r>
        <w:rPr>
          <w:rFonts w:hint="eastAsia" w:hAnsi="宋体" w:eastAsia="宋体" w:cs="宋体"/>
          <w:color w:val="auto"/>
          <w:sz w:val="24"/>
          <w:szCs w:val="24"/>
          <w:highlight w:val="none"/>
        </w:rPr>
        <w:t>指履行第59.3款规定的缺陷责任的期限。具体期限在专用条款中约定，包括第59.2款规定的延长期限。</w:t>
      </w:r>
    </w:p>
    <w:p w14:paraId="00B7115F">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1.27  基准日期：</w:t>
      </w:r>
      <w:r>
        <w:rPr>
          <w:rFonts w:hint="eastAsia" w:hAnsi="宋体" w:eastAsia="宋体" w:cs="宋体"/>
          <w:color w:val="auto"/>
          <w:sz w:val="24"/>
          <w:szCs w:val="24"/>
          <w:highlight w:val="none"/>
        </w:rPr>
        <w:t>指招标工程递交投标文件截止日期前28天的日期；非招标工程订立合同前28天的日期。</w:t>
      </w:r>
    </w:p>
    <w:p w14:paraId="07A02476">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1.28  小时或天：</w:t>
      </w:r>
      <w:r>
        <w:rPr>
          <w:rFonts w:hint="eastAsia" w:hAnsi="宋体" w:eastAsia="宋体" w:cs="宋体"/>
          <w:color w:val="auto"/>
          <w:sz w:val="24"/>
          <w:szCs w:val="24"/>
          <w:highlight w:val="none"/>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00（即次日零点）。</w:t>
      </w:r>
    </w:p>
    <w:p w14:paraId="487364A9">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1.29  中标价格：</w:t>
      </w:r>
      <w:r>
        <w:rPr>
          <w:rFonts w:hint="eastAsia" w:hAnsi="宋体" w:eastAsia="宋体" w:cs="宋体"/>
          <w:color w:val="auto"/>
          <w:sz w:val="24"/>
          <w:szCs w:val="24"/>
          <w:highlight w:val="none"/>
        </w:rPr>
        <w:t>指中标通知书中列明的，发包人接受中标人（承包人）实施、完成并保修合同工程的价格。</w:t>
      </w:r>
    </w:p>
    <w:p w14:paraId="35FC7BE2">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1.30  合同价款：</w:t>
      </w:r>
      <w:r>
        <w:rPr>
          <w:rFonts w:hint="eastAsia" w:hAnsi="宋体" w:eastAsia="宋体" w:cs="宋体"/>
          <w:color w:val="auto"/>
          <w:sz w:val="24"/>
          <w:szCs w:val="24"/>
          <w:highlight w:val="none"/>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68.2款规定合同价款调整事件确定。</w:t>
      </w:r>
    </w:p>
    <w:p w14:paraId="3B4F0858">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1.31  费用：</w:t>
      </w:r>
      <w:r>
        <w:rPr>
          <w:rFonts w:hint="eastAsia" w:hAnsi="宋体" w:eastAsia="宋体" w:cs="宋体"/>
          <w:color w:val="auto"/>
          <w:sz w:val="24"/>
          <w:szCs w:val="24"/>
          <w:highlight w:val="none"/>
        </w:rPr>
        <w:t>指为履行合同所发生或将发生的所有合理开支，包括管理费和其他合理分摊的开支，但不包括利润。</w:t>
      </w:r>
    </w:p>
    <w:p w14:paraId="532649AF">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1.32  分部分项工程费：</w:t>
      </w:r>
      <w:r>
        <w:rPr>
          <w:rFonts w:hint="eastAsia" w:hAnsi="宋体" w:eastAsia="宋体" w:cs="宋体"/>
          <w:color w:val="auto"/>
          <w:sz w:val="24"/>
          <w:szCs w:val="24"/>
          <w:highlight w:val="none"/>
        </w:rPr>
        <w:t>指为实施、完成并保修永久工程，发生于工程实体项目所需的人工费、材料费、机械使用费、管理费、利润和风险费用。</w:t>
      </w:r>
    </w:p>
    <w:p w14:paraId="086CF1A8">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1.33  措施项目费：</w:t>
      </w:r>
      <w:r>
        <w:rPr>
          <w:rFonts w:hint="eastAsia" w:hAnsi="宋体" w:eastAsia="宋体" w:cs="宋体"/>
          <w:color w:val="auto"/>
          <w:sz w:val="24"/>
          <w:szCs w:val="24"/>
          <w:highlight w:val="none"/>
        </w:rPr>
        <w:t>指为实施、完成并保修合同工程，发生于合同工程施工准备和施工过程中的技术、生活、安全、环境保护等方面的非工程实体项目费用。</w:t>
      </w:r>
    </w:p>
    <w:p w14:paraId="7C002C41">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1.34  工程款：</w:t>
      </w:r>
      <w:r>
        <w:rPr>
          <w:rFonts w:hint="eastAsia" w:hAnsi="宋体" w:eastAsia="宋体" w:cs="宋体"/>
          <w:color w:val="auto"/>
          <w:sz w:val="24"/>
          <w:szCs w:val="24"/>
          <w:highlight w:val="none"/>
        </w:rPr>
        <w:t>指为实施、完成并保修合同工程，发包人支付或应当支付给承包人的各种价款，包括进度款、结算款等。</w:t>
      </w:r>
    </w:p>
    <w:p w14:paraId="3FA00DCE">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1.35  暂列金额：</w:t>
      </w:r>
      <w:r>
        <w:rPr>
          <w:rFonts w:hint="eastAsia" w:hAnsi="宋体" w:eastAsia="宋体" w:cs="宋体"/>
          <w:color w:val="auto"/>
          <w:sz w:val="24"/>
          <w:szCs w:val="24"/>
          <w:highlight w:val="none"/>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14:paraId="50F873D1">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1.36  暂估价：</w:t>
      </w:r>
      <w:r>
        <w:rPr>
          <w:rFonts w:hint="eastAsia" w:hAnsi="宋体" w:eastAsia="宋体" w:cs="宋体"/>
          <w:color w:val="auto"/>
          <w:sz w:val="24"/>
          <w:szCs w:val="24"/>
          <w:highlight w:val="none"/>
        </w:rPr>
        <w:t>指发包人在工程量清单中提供的用于支付必然发生但暂时不能确定价格</w:t>
      </w:r>
    </w:p>
    <w:p w14:paraId="07596429">
      <w:pPr>
        <w:pStyle w:val="22"/>
        <w:tabs>
          <w:tab w:val="left" w:pos="1260"/>
          <w:tab w:val="left" w:pos="2160"/>
        </w:tabs>
        <w:adjustRightInd w:val="0"/>
        <w:spacing w:before="120" w:beforeLines="50" w:line="300" w:lineRule="auto"/>
        <w:ind w:left="1469" w:leftChars="686" w:hanging="28" w:hangingChars="12"/>
        <w:rPr>
          <w:rFonts w:hint="eastAsia" w:hAnsi="宋体" w:eastAsia="宋体" w:cs="宋体"/>
          <w:color w:val="auto"/>
          <w:sz w:val="24"/>
          <w:szCs w:val="24"/>
          <w:highlight w:val="none"/>
        </w:rPr>
      </w:pPr>
      <w:r>
        <w:rPr>
          <w:rFonts w:hint="eastAsia" w:hAnsi="宋体" w:eastAsia="宋体" w:cs="宋体"/>
          <w:color w:val="auto"/>
          <w:sz w:val="24"/>
          <w:szCs w:val="24"/>
          <w:highlight w:val="none"/>
        </w:rPr>
        <w:t>的材料、工程设备以及专业工程的金额。</w:t>
      </w:r>
    </w:p>
    <w:p w14:paraId="38A0E343">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1.37  计日工：</w:t>
      </w:r>
      <w:r>
        <w:rPr>
          <w:rFonts w:hint="eastAsia" w:hAnsi="宋体" w:eastAsia="宋体" w:cs="宋体"/>
          <w:color w:val="auto"/>
          <w:sz w:val="24"/>
          <w:szCs w:val="24"/>
          <w:highlight w:val="none"/>
        </w:rPr>
        <w:t>指在施工过程中，承包人完成发包人提出的施工设计图纸以外的零星项目或工作，按照合同中约定计价付款的一种计价方式。</w:t>
      </w:r>
    </w:p>
    <w:p w14:paraId="6BE7D216">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1.38  质量保证金：</w:t>
      </w:r>
      <w:r>
        <w:rPr>
          <w:rFonts w:hint="eastAsia" w:hAnsi="宋体" w:eastAsia="宋体" w:cs="宋体"/>
          <w:color w:val="auto"/>
          <w:sz w:val="24"/>
          <w:szCs w:val="24"/>
          <w:highlight w:val="none"/>
        </w:rPr>
        <w:t>指按照第84条约定用于保证在缺陷责任期内履行缺陷修复义务的金额。</w:t>
      </w:r>
    </w:p>
    <w:p w14:paraId="44C88D02">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1.39  合同工程：</w:t>
      </w:r>
      <w:r>
        <w:rPr>
          <w:rFonts w:hint="eastAsia" w:hAnsi="宋体" w:eastAsia="宋体" w:cs="宋体"/>
          <w:color w:val="auto"/>
          <w:sz w:val="24"/>
          <w:szCs w:val="24"/>
          <w:highlight w:val="none"/>
        </w:rPr>
        <w:t>指合同双方当事人在协议书中约定的承包范围内的工程，包括永久工程和（或）临时工程。</w:t>
      </w:r>
    </w:p>
    <w:p w14:paraId="5455998E">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1.40  永久工程：</w:t>
      </w:r>
      <w:r>
        <w:rPr>
          <w:rFonts w:hint="eastAsia" w:hAnsi="宋体" w:eastAsia="宋体" w:cs="宋体"/>
          <w:color w:val="auto"/>
          <w:sz w:val="24"/>
          <w:szCs w:val="24"/>
          <w:highlight w:val="none"/>
        </w:rPr>
        <w:t>指按照合同约定承包人应当实施、完成并移交给发包人的永久性工程，包括工程设备。</w:t>
      </w:r>
    </w:p>
    <w:p w14:paraId="6B64D0C1">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1.41  临时工程：</w:t>
      </w:r>
      <w:r>
        <w:rPr>
          <w:rFonts w:hint="eastAsia" w:hAnsi="宋体" w:eastAsia="宋体" w:cs="宋体"/>
          <w:color w:val="auto"/>
          <w:sz w:val="24"/>
          <w:szCs w:val="24"/>
          <w:highlight w:val="none"/>
        </w:rPr>
        <w:t>指实施、完成并保修永久工程过程中所需要的各类临时性工程，不包括施工设备。</w:t>
      </w:r>
    </w:p>
    <w:p w14:paraId="60F0501A">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1.42  分包工程：</w:t>
      </w:r>
      <w:r>
        <w:rPr>
          <w:rFonts w:hint="eastAsia" w:hAnsi="宋体" w:eastAsia="宋体" w:cs="宋体"/>
          <w:color w:val="auto"/>
          <w:sz w:val="24"/>
          <w:szCs w:val="24"/>
          <w:highlight w:val="none"/>
        </w:rPr>
        <w:t>指合同工程中，由具有相应分包资质的分包人实施、完成的非主体结构（除钢结构外）的专业性工程。</w:t>
      </w:r>
    </w:p>
    <w:p w14:paraId="46F40A83">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1.43  单位工程：</w:t>
      </w:r>
      <w:r>
        <w:rPr>
          <w:rFonts w:hint="eastAsia" w:hAnsi="宋体" w:eastAsia="宋体" w:cs="宋体"/>
          <w:color w:val="auto"/>
          <w:sz w:val="24"/>
          <w:szCs w:val="24"/>
          <w:highlight w:val="none"/>
        </w:rPr>
        <w:t>指具有独立的设计文件，竣工后可以独立发挥生产能力和效益的永久工程。组成合同工程的单位工程名称、内容和范围等应在专用条款中明确。</w:t>
      </w:r>
    </w:p>
    <w:p w14:paraId="3F95CFBF">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1.44  施工场地（或工地 、现场）：</w:t>
      </w:r>
      <w:r>
        <w:rPr>
          <w:rFonts w:hint="eastAsia" w:hAnsi="宋体" w:eastAsia="宋体" w:cs="宋体"/>
          <w:color w:val="auto"/>
          <w:sz w:val="24"/>
          <w:szCs w:val="24"/>
          <w:highlight w:val="none"/>
        </w:rPr>
        <w:t>指由发包人提供的用于合同工程施工的场所，以及发包人在合同中具体指定的供施工使用的其他任何场所。</w:t>
      </w:r>
    </w:p>
    <w:p w14:paraId="44CABE77">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1.45  工程设备：</w:t>
      </w:r>
      <w:r>
        <w:rPr>
          <w:rFonts w:hint="eastAsia" w:hAnsi="宋体" w:eastAsia="宋体" w:cs="宋体"/>
          <w:color w:val="auto"/>
          <w:sz w:val="24"/>
          <w:szCs w:val="24"/>
          <w:highlight w:val="none"/>
        </w:rPr>
        <w:t>指构成或计划构成永久工程一部分的机电设备、金属结构设备、仪器装置及其他类似的设备和装置。</w:t>
      </w:r>
    </w:p>
    <w:p w14:paraId="3B1897A4">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1.46  施工设备：</w:t>
      </w:r>
      <w:r>
        <w:rPr>
          <w:rFonts w:hint="eastAsia" w:hAnsi="宋体" w:eastAsia="宋体" w:cs="宋体"/>
          <w:color w:val="auto"/>
          <w:sz w:val="24"/>
          <w:szCs w:val="24"/>
          <w:highlight w:val="none"/>
        </w:rPr>
        <w:t>指承包人临时带入现场用于合同工程施工的仪器、机械、运输工具或其他物品，但不包括用于或安装在合同工程中的工程设备。</w:t>
      </w:r>
    </w:p>
    <w:p w14:paraId="6615A9D6">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1.47  工程变更：</w:t>
      </w:r>
      <w:r>
        <w:rPr>
          <w:rFonts w:hint="eastAsia" w:hAnsi="宋体" w:eastAsia="宋体" w:cs="宋体"/>
          <w:color w:val="auto"/>
          <w:sz w:val="24"/>
          <w:szCs w:val="24"/>
          <w:highlight w:val="none"/>
        </w:rPr>
        <w:t>指经发包人批准的，由监理工程师根据第56条规定发出指令的工程任何变更。</w:t>
      </w:r>
    </w:p>
    <w:p w14:paraId="0EA7CFCF">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1.48  索赔：</w:t>
      </w:r>
      <w:r>
        <w:rPr>
          <w:rFonts w:hint="eastAsia" w:hAnsi="宋体" w:eastAsia="宋体" w:cs="宋体"/>
          <w:color w:val="auto"/>
          <w:sz w:val="24"/>
          <w:szCs w:val="24"/>
          <w:highlight w:val="none"/>
        </w:rPr>
        <w:t>指合同履行期间，对于非自己的过错而应由对方当事人承担责任的情况所造成的损失，并根据第36条和第74条规定向对方当事人提出费用补偿和（或）工期顺延的要求。</w:t>
      </w:r>
    </w:p>
    <w:p w14:paraId="03BD6603">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1.49  现场签证：</w:t>
      </w:r>
      <w:r>
        <w:rPr>
          <w:rFonts w:hint="eastAsia" w:hAnsi="宋体" w:eastAsia="宋体" w:cs="宋体"/>
          <w:color w:val="auto"/>
          <w:sz w:val="24"/>
          <w:szCs w:val="24"/>
          <w:highlight w:val="none"/>
        </w:rPr>
        <w:t>指合同双方当事人按照第14.2款约定的指定人选根据第75条规定就施工过程中涉及的责任事件所作的签认证明。</w:t>
      </w:r>
    </w:p>
    <w:p w14:paraId="611DE4D8">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1.50  不可抗力：</w:t>
      </w:r>
      <w:r>
        <w:rPr>
          <w:rFonts w:hint="eastAsia" w:hAnsi="宋体" w:eastAsia="宋体" w:cs="宋体"/>
          <w:color w:val="auto"/>
          <w:sz w:val="24"/>
          <w:szCs w:val="24"/>
          <w:highlight w:val="none"/>
        </w:rPr>
        <w:t>指不能预见、不能避免并不能克服的客观情况。</w:t>
      </w:r>
    </w:p>
    <w:p w14:paraId="666EE376">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1.51  竣工验收：</w:t>
      </w:r>
      <w:r>
        <w:rPr>
          <w:rFonts w:hint="eastAsia" w:hAnsi="宋体" w:eastAsia="宋体" w:cs="宋体"/>
          <w:color w:val="auto"/>
          <w:sz w:val="24"/>
          <w:szCs w:val="24"/>
          <w:highlight w:val="none"/>
        </w:rPr>
        <w:t>指承包人完成了全部合同工作后，发包人按照合同要求进行的验收。</w:t>
      </w:r>
    </w:p>
    <w:p w14:paraId="45D49F57">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1.52  国家验收：</w:t>
      </w:r>
      <w:r>
        <w:rPr>
          <w:rFonts w:hint="eastAsia" w:hAnsi="宋体" w:eastAsia="宋体" w:cs="宋体"/>
          <w:color w:val="auto"/>
          <w:sz w:val="24"/>
          <w:szCs w:val="24"/>
          <w:highlight w:val="none"/>
        </w:rPr>
        <w:t>指政府部门根据法律和政策等有关规定，针对发包人全面组织实施的整个工程正式交付投运前的验收。</w:t>
      </w:r>
    </w:p>
    <w:p w14:paraId="7A1878DC">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1.53  书面形式：</w:t>
      </w:r>
      <w:r>
        <w:rPr>
          <w:rFonts w:hint="eastAsia" w:hAnsi="宋体" w:eastAsia="宋体" w:cs="宋体"/>
          <w:color w:val="auto"/>
          <w:sz w:val="24"/>
          <w:szCs w:val="24"/>
          <w:highlight w:val="none"/>
        </w:rPr>
        <w:t>指合同文件、信函、电报、电传、传真、电子数据交换文件、电子邮件等可以有形地表现所载内容的形式。合同双方当事人可在专用条款中注明所采用的书面形式。</w:t>
      </w:r>
    </w:p>
    <w:p w14:paraId="30868121">
      <w:pPr>
        <w:pStyle w:val="22"/>
        <w:tabs>
          <w:tab w:val="left" w:pos="1260"/>
          <w:tab w:val="left" w:pos="2160"/>
        </w:tabs>
        <w:adjustRightInd w:val="0"/>
        <w:spacing w:before="120" w:beforeLines="50" w:line="300" w:lineRule="auto"/>
        <w:ind w:left="1470" w:leftChars="686" w:hanging="29" w:hangingChars="1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1.54  国家：</w:t>
      </w:r>
      <w:r>
        <w:rPr>
          <w:rFonts w:hint="eastAsia" w:hAnsi="宋体" w:eastAsia="宋体" w:cs="宋体"/>
          <w:color w:val="auto"/>
          <w:sz w:val="24"/>
          <w:szCs w:val="24"/>
          <w:highlight w:val="none"/>
        </w:rPr>
        <w:t>指中华人民共和国。</w:t>
      </w:r>
    </w:p>
    <w:p w14:paraId="2BD5ABB6">
      <w:pPr>
        <w:tabs>
          <w:tab w:val="left" w:pos="1620"/>
        </w:tabs>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u w:val="single"/>
        </w:rPr>
        <w:t xml:space="preserve">                                                                                      </w:t>
      </w:r>
      <w:r>
        <w:rPr>
          <w:rFonts w:hint="eastAsia" w:ascii="宋体" w:hAnsi="宋体" w:eastAsia="宋体" w:cs="宋体"/>
          <w:color w:val="auto"/>
          <w:sz w:val="24"/>
          <w:highlight w:val="none"/>
          <w:u w:val="single"/>
        </w:rPr>
        <w:t xml:space="preserve">                       </w:t>
      </w:r>
    </w:p>
    <w:p w14:paraId="299D0253">
      <w:pPr>
        <w:pStyle w:val="4"/>
        <w:tabs>
          <w:tab w:val="left" w:pos="420"/>
        </w:tabs>
        <w:spacing w:line="300" w:lineRule="auto"/>
        <w:ind w:left="720" w:hanging="720"/>
        <w:rPr>
          <w:rFonts w:hint="eastAsia" w:ascii="宋体" w:hAnsi="宋体" w:eastAsia="宋体" w:cs="宋体"/>
          <w:bCs w:val="0"/>
          <w:color w:val="auto"/>
          <w:sz w:val="24"/>
          <w:szCs w:val="24"/>
          <w:highlight w:val="none"/>
        </w:rPr>
      </w:pPr>
      <w:bookmarkStart w:id="18" w:name="_Toc469383981"/>
      <w:bookmarkStart w:id="19" w:name="_Toc46860802"/>
      <w:r>
        <w:rPr>
          <w:rFonts w:hint="eastAsia" w:ascii="宋体" w:hAnsi="宋体" w:eastAsia="宋体" w:cs="宋体"/>
          <w:bCs w:val="0"/>
          <w:color w:val="auto"/>
          <w:sz w:val="24"/>
          <w:szCs w:val="24"/>
          <w:highlight w:val="none"/>
        </w:rPr>
        <w:t>2  合同文件及解释</w:t>
      </w:r>
      <w:bookmarkEnd w:id="18"/>
      <w:bookmarkEnd w:id="19"/>
    </w:p>
    <w:p w14:paraId="5959ABA2">
      <w:pPr>
        <w:pStyle w:val="22"/>
        <w:tabs>
          <w:tab w:val="left" w:pos="1202"/>
        </w:tabs>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2.1                                                                                 </w:t>
      </w:r>
    </w:p>
    <w:p w14:paraId="042A9948">
      <w:pPr>
        <w:pStyle w:val="22"/>
        <w:tabs>
          <w:tab w:val="left" w:pos="1202"/>
          <w:tab w:val="left" w:pos="1620"/>
          <w:tab w:val="left" w:pos="1800"/>
          <w:tab w:val="left" w:pos="2160"/>
        </w:tabs>
        <w:spacing w:line="300" w:lineRule="auto"/>
        <w:ind w:firstLine="1668" w:firstLineChars="695"/>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20955</wp:posOffset>
                </wp:positionV>
                <wp:extent cx="800100" cy="297180"/>
                <wp:effectExtent l="0" t="0" r="12700" b="7620"/>
                <wp:wrapNone/>
                <wp:docPr id="1026" name="0000d5"/>
                <wp:cNvGraphicFramePr/>
                <a:graphic xmlns:a="http://schemas.openxmlformats.org/drawingml/2006/main">
                  <a:graphicData uri="http://schemas.microsoft.com/office/word/2010/wordprocessingShape">
                    <wps:wsp>
                      <wps:cNvSpPr/>
                      <wps:spPr>
                        <a:xfrm>
                          <a:off x="0" y="0"/>
                          <a:ext cx="800100" cy="297180"/>
                        </a:xfrm>
                        <a:prstGeom prst="rect">
                          <a:avLst/>
                        </a:prstGeom>
                        <a:solidFill>
                          <a:srgbClr val="FFFFFF"/>
                        </a:solidFill>
                        <a:ln>
                          <a:noFill/>
                        </a:ln>
                      </wps:spPr>
                      <wps:txbx>
                        <w:txbxContent>
                          <w:p w14:paraId="034ABF53">
                            <w:pPr>
                              <w:rPr>
                                <w:rFonts w:hint="eastAsia" w:ascii="楷体_GB2312" w:hAnsi="宋体" w:eastAsia="楷体_GB2312"/>
                              </w:rPr>
                            </w:pPr>
                            <w:r>
                              <w:rPr>
                                <w:rFonts w:hint="eastAsia" w:ascii="楷体_GB2312" w:hAnsi="宋体" w:eastAsia="楷体_GB2312" w:cs="楷体_GB2312"/>
                                <w:b/>
                                <w:bCs/>
                                <w:color w:val="000000"/>
                                <w:sz w:val="18"/>
                                <w:szCs w:val="18"/>
                              </w:rPr>
                              <w:t>标题和旁注</w:t>
                            </w:r>
                          </w:p>
                        </w:txbxContent>
                      </wps:txbx>
                      <wps:bodyPr wrap="square"/>
                    </wps:wsp>
                  </a:graphicData>
                </a:graphic>
              </wp:anchor>
            </w:drawing>
          </mc:Choice>
          <mc:Fallback>
            <w:pict>
              <v:rect id="0000d5" o:spid="_x0000_s1026" o:spt="1" style="position:absolute;left:0pt;margin-left:-9pt;margin-top:1.65pt;height:23.4pt;width:63pt;z-index:251659264;mso-width-relative:page;mso-height-relative:page;" fillcolor="#FFFFFF" filled="t" stroked="f" coordsize="21600,21600" o:gfxdata="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N8MaI1QAAAAgB&#10;AAAPAAAAAAAAAAEAIAAAACIAAABkcnMvZG93bnJldi54bWxQSwECFAAUAAAACACHTuJA4Sr3yKwB&#10;AABsAwAADgAAAAAAAAABACAAAAAkAQAAZHJzL2Uyb0RvYy54bWxQSwUGAAAAAAYABgBZAQAAQgUA&#10;AAAA&#10;">
                <v:fill on="t" focussize="0,0"/>
                <v:stroke on="f"/>
                <v:imagedata o:title=""/>
                <o:lock v:ext="edit" aspectratio="f"/>
                <v:textbox>
                  <w:txbxContent>
                    <w:p w14:paraId="034ABF53">
                      <w:pPr>
                        <w:rPr>
                          <w:rFonts w:hint="eastAsia" w:ascii="楷体_GB2312" w:hAnsi="宋体" w:eastAsia="楷体_GB2312"/>
                        </w:rPr>
                      </w:pPr>
                      <w:r>
                        <w:rPr>
                          <w:rFonts w:hint="eastAsia" w:ascii="楷体_GB2312" w:hAnsi="宋体" w:eastAsia="楷体_GB2312" w:cs="楷体_GB2312"/>
                          <w:b/>
                          <w:bCs/>
                          <w:color w:val="000000"/>
                          <w:sz w:val="18"/>
                          <w:szCs w:val="18"/>
                        </w:rPr>
                        <w:t>标题和旁注</w:t>
                      </w:r>
                    </w:p>
                  </w:txbxContent>
                </v:textbox>
              </v:rect>
            </w:pict>
          </mc:Fallback>
        </mc:AlternateContent>
      </w:r>
      <w:r>
        <w:rPr>
          <w:rFonts w:hint="eastAsia" w:hAnsi="宋体" w:eastAsia="宋体" w:cs="宋体"/>
          <w:b/>
          <w:bCs/>
          <w:color w:val="auto"/>
          <w:sz w:val="24"/>
          <w:szCs w:val="24"/>
          <w:highlight w:val="none"/>
        </w:rPr>
        <w:t xml:space="preserve">   </w:t>
      </w:r>
      <w:r>
        <w:rPr>
          <w:rFonts w:hint="eastAsia" w:hAnsi="宋体" w:eastAsia="宋体" w:cs="宋体"/>
          <w:color w:val="auto"/>
          <w:sz w:val="24"/>
          <w:szCs w:val="24"/>
          <w:highlight w:val="none"/>
        </w:rPr>
        <w:t>本合同条款的标题和旁注不构成合同的组成部分。</w:t>
      </w:r>
    </w:p>
    <w:p w14:paraId="3D91789D">
      <w:pPr>
        <w:pStyle w:val="22"/>
        <w:tabs>
          <w:tab w:val="left" w:pos="1202"/>
        </w:tabs>
        <w:spacing w:line="36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★2.2  </w:t>
      </w:r>
      <w:r>
        <w:rPr>
          <w:rFonts w:hint="eastAsia" w:hAnsi="宋体" w:eastAsia="宋体" w:cs="宋体"/>
          <w:b/>
          <w:bCs/>
          <w:color w:val="auto"/>
          <w:sz w:val="24"/>
          <w:szCs w:val="24"/>
          <w:highlight w:val="none"/>
          <w:u w:val="dotted"/>
        </w:rPr>
        <w:t xml:space="preserve">                                                                             </w:t>
      </w:r>
    </w:p>
    <w:p w14:paraId="69C8E118">
      <w:pPr>
        <w:pStyle w:val="22"/>
        <w:tabs>
          <w:tab w:val="left" w:pos="1320"/>
        </w:tabs>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60288"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1027" name="0000d6"/>
                <wp:cNvGraphicFramePr/>
                <a:graphic xmlns:a="http://schemas.openxmlformats.org/drawingml/2006/main">
                  <a:graphicData uri="http://schemas.microsoft.com/office/word/2010/wordprocessingShape">
                    <wps:wsp>
                      <wps:cNvSpPr/>
                      <wps:spPr>
                        <a:xfrm>
                          <a:off x="0" y="0"/>
                          <a:ext cx="914400" cy="527050"/>
                        </a:xfrm>
                        <a:prstGeom prst="rect">
                          <a:avLst/>
                        </a:prstGeom>
                        <a:ln>
                          <a:noFill/>
                        </a:ln>
                      </wps:spPr>
                      <wps:txbx>
                        <w:txbxContent>
                          <w:p w14:paraId="6A98F8E7">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合同文件组成及优先顺序</w:t>
                            </w:r>
                          </w:p>
                        </w:txbxContent>
                      </wps:txbx>
                      <wps:bodyPr wrap="square"/>
                    </wps:wsp>
                  </a:graphicData>
                </a:graphic>
              </wp:anchor>
            </w:drawing>
          </mc:Choice>
          <mc:Fallback>
            <w:pict>
              <v:rect id="0000d6" o:spid="_x0000_s1026" o:spt="1" style="position:absolute;left:0pt;margin-left:-9pt;margin-top:5.3pt;height:41.5pt;width:72pt;z-index:251660288;mso-width-relative:page;mso-height-relative:page;" filled="f" stroked="f" coordsize="21600,21600" o:gfxdata="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Mz9/qrZAAAACQEAAA8AAAAAAAAAAQAgAAAAIgAA&#10;AGRycy9kb3ducmV2LnhtbFBLAQIUABQAAAAIAIdO4kABn5j7lQEAADgDAAAOAAAAAAAAAAEAIAAA&#10;ACgBAABkcnMvZTJvRG9jLnhtbFBLBQYAAAAABgAGAFkBAAAvBQAAAAA=&#10;">
                <v:fill on="f" focussize="0,0"/>
                <v:stroke on="f"/>
                <v:imagedata o:title=""/>
                <o:lock v:ext="edit" aspectratio="f"/>
                <v:textbox>
                  <w:txbxContent>
                    <w:p w14:paraId="6A98F8E7">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合同文件组成及优先顺序</w:t>
                      </w:r>
                    </w:p>
                  </w:txbxContent>
                </v:textbox>
              </v:rect>
            </w:pict>
          </mc:Fallback>
        </mc:AlternateContent>
      </w:r>
      <w:r>
        <w:rPr>
          <w:rFonts w:hint="eastAsia" w:hAnsi="宋体" w:eastAsia="宋体" w:cs="宋体"/>
          <w:color w:val="auto"/>
          <w:sz w:val="24"/>
          <w:szCs w:val="24"/>
          <w:highlight w:val="none"/>
        </w:rPr>
        <w:t>下列组成本合同的文件是一个合同整体，彼此应当能相互解释，互为说明。当出现相互矛盾时，组成本合同文件的优先解释顺序如下：</w:t>
      </w:r>
    </w:p>
    <w:p w14:paraId="20C2919F">
      <w:pPr>
        <w:pStyle w:val="22"/>
        <w:numPr>
          <w:ilvl w:val="0"/>
          <w:numId w:val="6"/>
        </w:numPr>
        <w:spacing w:line="300" w:lineRule="auto"/>
        <w:ind w:firstLine="54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履行本合同的相关补充协议（含工程洽商记录、会议纪  </w:t>
      </w:r>
    </w:p>
    <w:p w14:paraId="52541A31">
      <w:pPr>
        <w:pStyle w:val="22"/>
        <w:spacing w:line="300" w:lineRule="auto"/>
        <w:ind w:left="1080" w:firstLine="960" w:firstLineChars="4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要、工程变更、现场签证、等修正文件）；</w:t>
      </w:r>
    </w:p>
    <w:p w14:paraId="5F871D56">
      <w:pPr>
        <w:pStyle w:val="22"/>
        <w:numPr>
          <w:ilvl w:val="0"/>
          <w:numId w:val="6"/>
        </w:numPr>
        <w:spacing w:line="300" w:lineRule="auto"/>
        <w:ind w:left="1620" w:firstLine="0"/>
        <w:rPr>
          <w:rFonts w:hint="eastAsia" w:hAnsi="宋体" w:eastAsia="宋体" w:cs="宋体"/>
          <w:color w:val="auto"/>
          <w:sz w:val="24"/>
          <w:szCs w:val="24"/>
          <w:highlight w:val="none"/>
        </w:rPr>
      </w:pPr>
      <w:r>
        <w:rPr>
          <w:rFonts w:hint="eastAsia" w:hAnsi="宋体" w:eastAsia="宋体" w:cs="宋体"/>
          <w:color w:val="auto"/>
          <w:sz w:val="24"/>
          <w:szCs w:val="24"/>
          <w:highlight w:val="none"/>
        </w:rPr>
        <w:t>协议书；</w:t>
      </w:r>
    </w:p>
    <w:p w14:paraId="60D96A43">
      <w:pPr>
        <w:pStyle w:val="22"/>
        <w:numPr>
          <w:ilvl w:val="0"/>
          <w:numId w:val="6"/>
        </w:numPr>
        <w:spacing w:line="300" w:lineRule="auto"/>
        <w:ind w:firstLine="540"/>
        <w:rPr>
          <w:rFonts w:hint="eastAsia" w:hAnsi="宋体" w:eastAsia="宋体" w:cs="宋体"/>
          <w:color w:val="auto"/>
          <w:sz w:val="24"/>
          <w:szCs w:val="24"/>
          <w:highlight w:val="none"/>
        </w:rPr>
      </w:pPr>
      <w:r>
        <w:rPr>
          <w:rFonts w:hint="eastAsia" w:hAnsi="宋体" w:eastAsia="宋体" w:cs="宋体"/>
          <w:color w:val="auto"/>
          <w:sz w:val="24"/>
          <w:szCs w:val="24"/>
          <w:highlight w:val="none"/>
        </w:rPr>
        <w:t>中标通知书（适用于招标工程）；</w:t>
      </w:r>
    </w:p>
    <w:p w14:paraId="1BA75FC8">
      <w:pPr>
        <w:pStyle w:val="22"/>
        <w:numPr>
          <w:ilvl w:val="0"/>
          <w:numId w:val="6"/>
        </w:numPr>
        <w:tabs>
          <w:tab w:val="left" w:pos="1620"/>
        </w:tabs>
        <w:spacing w:line="300" w:lineRule="auto"/>
        <w:ind w:left="1620" w:leftChars="771" w:hanging="1"/>
        <w:rPr>
          <w:rFonts w:hint="eastAsia" w:hAnsi="宋体" w:eastAsia="宋体" w:cs="宋体"/>
          <w:color w:val="auto"/>
          <w:sz w:val="24"/>
          <w:szCs w:val="24"/>
          <w:highlight w:val="none"/>
        </w:rPr>
      </w:pPr>
      <w:r>
        <w:rPr>
          <w:rFonts w:hint="eastAsia" w:hAnsi="宋体" w:eastAsia="宋体" w:cs="宋体"/>
          <w:color w:val="auto"/>
          <w:sz w:val="24"/>
          <w:szCs w:val="24"/>
          <w:highlight w:val="none"/>
        </w:rPr>
        <w:t>承包人投标文件及其附件（含评标期间的澄清文件和补充资料）（适用于招标工程）；确认的工程量清单报价单或施工图预算书（适用于非招标工程）；</w:t>
      </w:r>
    </w:p>
    <w:p w14:paraId="0B67D6B7">
      <w:pPr>
        <w:pStyle w:val="22"/>
        <w:numPr>
          <w:ilvl w:val="0"/>
          <w:numId w:val="6"/>
        </w:numPr>
        <w:spacing w:line="300" w:lineRule="auto"/>
        <w:ind w:firstLine="540"/>
        <w:rPr>
          <w:rFonts w:hint="eastAsia" w:hAnsi="宋体" w:eastAsia="宋体" w:cs="宋体"/>
          <w:color w:val="auto"/>
          <w:sz w:val="24"/>
          <w:szCs w:val="24"/>
          <w:highlight w:val="none"/>
        </w:rPr>
      </w:pPr>
      <w:r>
        <w:rPr>
          <w:rFonts w:hint="eastAsia" w:hAnsi="宋体" w:eastAsia="宋体" w:cs="宋体"/>
          <w:color w:val="auto"/>
          <w:sz w:val="24"/>
          <w:szCs w:val="24"/>
          <w:highlight w:val="none"/>
        </w:rPr>
        <w:t>专用条款；</w:t>
      </w:r>
    </w:p>
    <w:p w14:paraId="1467FD3C">
      <w:pPr>
        <w:pStyle w:val="22"/>
        <w:numPr>
          <w:ilvl w:val="0"/>
          <w:numId w:val="6"/>
        </w:numPr>
        <w:spacing w:line="300" w:lineRule="auto"/>
        <w:ind w:firstLine="540"/>
        <w:rPr>
          <w:rFonts w:hint="eastAsia" w:hAnsi="宋体" w:eastAsia="宋体" w:cs="宋体"/>
          <w:color w:val="auto"/>
          <w:sz w:val="24"/>
          <w:szCs w:val="24"/>
          <w:highlight w:val="none"/>
        </w:rPr>
      </w:pPr>
      <w:r>
        <w:rPr>
          <w:rFonts w:hint="eastAsia" w:hAnsi="宋体" w:eastAsia="宋体" w:cs="宋体"/>
          <w:color w:val="auto"/>
          <w:sz w:val="24"/>
          <w:szCs w:val="24"/>
          <w:highlight w:val="none"/>
        </w:rPr>
        <w:t>通用条款；</w:t>
      </w:r>
    </w:p>
    <w:p w14:paraId="4EBF2E0C">
      <w:pPr>
        <w:pStyle w:val="22"/>
        <w:numPr>
          <w:ilvl w:val="0"/>
          <w:numId w:val="6"/>
        </w:numPr>
        <w:spacing w:line="300" w:lineRule="auto"/>
        <w:ind w:firstLine="540"/>
        <w:rPr>
          <w:rFonts w:hint="eastAsia" w:hAnsi="宋体" w:eastAsia="宋体" w:cs="宋体"/>
          <w:color w:val="auto"/>
          <w:sz w:val="24"/>
          <w:szCs w:val="24"/>
          <w:highlight w:val="none"/>
        </w:rPr>
      </w:pPr>
      <w:r>
        <w:rPr>
          <w:rFonts w:hint="eastAsia" w:hAnsi="宋体" w:eastAsia="宋体" w:cs="宋体"/>
          <w:color w:val="auto"/>
          <w:sz w:val="24"/>
          <w:szCs w:val="24"/>
          <w:highlight w:val="none"/>
        </w:rPr>
        <w:t>标准、规范及有关技术文件；</w:t>
      </w:r>
    </w:p>
    <w:p w14:paraId="570CB2A6">
      <w:pPr>
        <w:pStyle w:val="22"/>
        <w:numPr>
          <w:ilvl w:val="0"/>
          <w:numId w:val="6"/>
        </w:numPr>
        <w:spacing w:line="300" w:lineRule="auto"/>
        <w:ind w:left="1077" w:firstLine="540"/>
        <w:rPr>
          <w:rFonts w:hint="eastAsia" w:hAnsi="宋体" w:eastAsia="宋体" w:cs="宋体"/>
          <w:color w:val="auto"/>
          <w:sz w:val="24"/>
          <w:szCs w:val="24"/>
          <w:highlight w:val="none"/>
        </w:rPr>
      </w:pPr>
      <w:r>
        <w:rPr>
          <w:rFonts w:hint="eastAsia" w:hAnsi="宋体" w:eastAsia="宋体" w:cs="宋体"/>
          <w:color w:val="auto"/>
          <w:sz w:val="24"/>
          <w:szCs w:val="24"/>
          <w:highlight w:val="none"/>
        </w:rPr>
        <w:t>施工设计图纸；</w:t>
      </w:r>
    </w:p>
    <w:p w14:paraId="1C8982B0">
      <w:pPr>
        <w:pStyle w:val="22"/>
        <w:numPr>
          <w:ilvl w:val="0"/>
          <w:numId w:val="6"/>
        </w:numPr>
        <w:spacing w:line="300" w:lineRule="auto"/>
        <w:ind w:left="1077" w:firstLine="540"/>
        <w:rPr>
          <w:rFonts w:hint="eastAsia" w:hAnsi="宋体" w:eastAsia="宋体" w:cs="宋体"/>
          <w:color w:val="auto"/>
          <w:sz w:val="24"/>
          <w:szCs w:val="24"/>
          <w:highlight w:val="none"/>
        </w:rPr>
      </w:pPr>
      <w:r>
        <w:rPr>
          <w:rFonts w:hint="eastAsia" w:hAnsi="宋体" w:eastAsia="宋体" w:cs="宋体"/>
          <w:color w:val="auto"/>
          <w:sz w:val="24"/>
          <w:szCs w:val="24"/>
          <w:highlight w:val="none"/>
        </w:rPr>
        <w:t>招标文件（包括补充、修改、澄清的文件、招标图纸、答</w:t>
      </w:r>
    </w:p>
    <w:p w14:paraId="2CAA16E6">
      <w:pPr>
        <w:pStyle w:val="22"/>
        <w:spacing w:line="300" w:lineRule="auto"/>
        <w:ind w:left="1077" w:firstLine="480" w:firstLineChars="200"/>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疑纪要、工程量清单及总说明等）；</w:t>
      </w:r>
    </w:p>
    <w:p w14:paraId="67173CCA">
      <w:pPr>
        <w:pStyle w:val="22"/>
        <w:numPr>
          <w:ilvl w:val="0"/>
          <w:numId w:val="6"/>
        </w:numPr>
        <w:spacing w:line="300" w:lineRule="auto"/>
        <w:ind w:left="1077" w:firstLine="540"/>
        <w:rPr>
          <w:rFonts w:hint="eastAsia" w:hAnsi="宋体" w:eastAsia="宋体" w:cs="宋体"/>
          <w:color w:val="auto"/>
          <w:sz w:val="24"/>
          <w:szCs w:val="24"/>
          <w:highlight w:val="none"/>
        </w:rPr>
      </w:pPr>
      <w:r>
        <w:rPr>
          <w:rFonts w:hint="eastAsia" w:hAnsi="宋体" w:eastAsia="宋体" w:cs="宋体"/>
          <w:color w:val="auto"/>
          <w:sz w:val="24"/>
          <w:szCs w:val="24"/>
          <w:highlight w:val="none"/>
        </w:rPr>
        <w:t>专用条款约定的其他文件。</w:t>
      </w:r>
    </w:p>
    <w:p w14:paraId="16A427E1">
      <w:pPr>
        <w:spacing w:line="300" w:lineRule="auto"/>
        <w:ind w:left="1407" w:leftChars="670"/>
        <w:rPr>
          <w:rFonts w:hint="eastAsia" w:ascii="宋体" w:hAnsi="宋体" w:eastAsia="宋体" w:cs="宋体"/>
          <w:color w:val="auto"/>
          <w:sz w:val="24"/>
          <w:highlight w:val="none"/>
        </w:rPr>
      </w:pPr>
      <w:r>
        <w:rPr>
          <w:rFonts w:hint="eastAsia" w:ascii="宋体" w:hAnsi="宋体" w:eastAsia="宋体" w:cs="宋体"/>
          <w:color w:val="auto"/>
          <w:sz w:val="24"/>
          <w:highlight w:val="none"/>
        </w:rPr>
        <w:t>上述各项合同文件包括合同当事人就该项合同文件所作出的补充和修改，属于同一类内容的文件，应以最新签署的为准。</w:t>
      </w:r>
    </w:p>
    <w:p w14:paraId="648BF27F">
      <w:pPr>
        <w:pStyle w:val="22"/>
        <w:tabs>
          <w:tab w:val="left" w:pos="540"/>
          <w:tab w:val="left" w:pos="1202"/>
        </w:tabs>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2.3  </w:t>
      </w:r>
      <w:r>
        <w:rPr>
          <w:rFonts w:hint="eastAsia" w:hAnsi="宋体" w:eastAsia="宋体" w:cs="宋体"/>
          <w:b/>
          <w:bCs/>
          <w:color w:val="auto"/>
          <w:sz w:val="24"/>
          <w:szCs w:val="24"/>
          <w:highlight w:val="none"/>
          <w:u w:val="dotted"/>
        </w:rPr>
        <w:t xml:space="preserve">                                                                                                        </w:t>
      </w:r>
    </w:p>
    <w:p w14:paraId="0745FD17">
      <w:pPr>
        <w:pStyle w:val="22"/>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61312"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1028" name="0000d7"/>
                <wp:cNvGraphicFramePr/>
                <a:graphic xmlns:a="http://schemas.openxmlformats.org/drawingml/2006/main">
                  <a:graphicData uri="http://schemas.microsoft.com/office/word/2010/wordprocessingShape">
                    <wps:wsp>
                      <wps:cNvSpPr/>
                      <wps:spPr>
                        <a:xfrm>
                          <a:off x="0" y="0"/>
                          <a:ext cx="914400" cy="792480"/>
                        </a:xfrm>
                        <a:prstGeom prst="rect">
                          <a:avLst/>
                        </a:prstGeom>
                        <a:ln>
                          <a:noFill/>
                        </a:ln>
                      </wps:spPr>
                      <wps:txbx>
                        <w:txbxContent>
                          <w:p w14:paraId="6E1ECA65">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监理或造价工程师作出解释</w:t>
                            </w:r>
                          </w:p>
                        </w:txbxContent>
                      </wps:txbx>
                      <wps:bodyPr wrap="square"/>
                    </wps:wsp>
                  </a:graphicData>
                </a:graphic>
              </wp:anchor>
            </w:drawing>
          </mc:Choice>
          <mc:Fallback>
            <w:pict>
              <v:rect id="0000d7" o:spid="_x0000_s1026" o:spt="1" style="position:absolute;left:0pt;margin-left:-9pt;margin-top:0pt;height:62.4pt;width:72pt;z-index:251661312;mso-width-relative:page;mso-height-relative:page;" filled="f" stroked="f" coordsize="21600,21600" o:gfxdata="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&#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kdBST1wAAAAgBAAAPAAAAAAAAAAEAIAAAACIAAABk&#10;cnMvZG93bnJldi54bWxQSwECFAAUAAAACACHTuJAuy5kYJUBAAA4AwAADgAAAAAAAAABACAAAAAm&#10;AQAAZHJzL2Uyb0RvYy54bWxQSwUGAAAAAAYABgBZAQAALQUAAAAA&#10;">
                <v:fill on="f" focussize="0,0"/>
                <v:stroke on="f"/>
                <v:imagedata o:title=""/>
                <o:lock v:ext="edit" aspectratio="f"/>
                <v:textbox>
                  <w:txbxContent>
                    <w:p w14:paraId="6E1ECA65">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监理或造价工程师作出解释</w:t>
                      </w:r>
                    </w:p>
                  </w:txbxContent>
                </v:textbox>
              </v:rect>
            </w:pict>
          </mc:Fallback>
        </mc:AlternateContent>
      </w:r>
      <w:r>
        <w:rPr>
          <w:rFonts w:hint="eastAsia" w:hAnsi="宋体" w:eastAsia="宋体" w:cs="宋体"/>
          <w:color w:val="auto"/>
          <w:sz w:val="24"/>
          <w:szCs w:val="24"/>
          <w:highlight w:val="none"/>
        </w:rPr>
        <w:t>当合同文件内容出现含糊不清或不一致时，由合同双方当事人在不影响合同工程正常实施的情况下协商解决。协商不成的，由监理工程师、造价工程师分别按照第23.2款、第24.2款规定职权作出解释。如合同任何一方当事人不同意监理工程师或造价工程师作出的解释，按照第86条规定处理。</w:t>
      </w:r>
    </w:p>
    <w:p w14:paraId="40E21C8A">
      <w:pPr>
        <w:spacing w:line="300" w:lineRule="auto"/>
        <w:jc w:val="left"/>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096C0279">
      <w:pPr>
        <w:pStyle w:val="4"/>
        <w:tabs>
          <w:tab w:val="left" w:pos="420"/>
        </w:tabs>
        <w:spacing w:line="300" w:lineRule="auto"/>
        <w:ind w:left="720"/>
        <w:rPr>
          <w:rFonts w:hint="eastAsia" w:ascii="宋体" w:hAnsi="宋体" w:eastAsia="宋体" w:cs="宋体"/>
          <w:bCs w:val="0"/>
          <w:color w:val="auto"/>
          <w:sz w:val="24"/>
          <w:szCs w:val="24"/>
          <w:highlight w:val="none"/>
        </w:rPr>
      </w:pPr>
      <w:bookmarkStart w:id="20" w:name="_Toc469383982"/>
      <w:bookmarkStart w:id="21" w:name="_Toc46860803"/>
      <w:r>
        <w:rPr>
          <w:rFonts w:hint="eastAsia" w:ascii="宋体" w:hAnsi="宋体" w:eastAsia="宋体" w:cs="宋体"/>
          <w:bCs w:val="0"/>
          <w:color w:val="auto"/>
          <w:sz w:val="24"/>
          <w:szCs w:val="24"/>
          <w:highlight w:val="none"/>
        </w:rPr>
        <w:t>3  阅读、理解与接受</w:t>
      </w:r>
      <w:bookmarkEnd w:id="20"/>
      <w:bookmarkEnd w:id="21"/>
    </w:p>
    <w:p w14:paraId="395CC912">
      <w:pPr>
        <w:tabs>
          <w:tab w:val="left" w:pos="1260"/>
        </w:tabs>
        <w:spacing w:before="240" w:beforeLines="100"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3.1 </w:t>
      </w:r>
    </w:p>
    <w:p w14:paraId="058FFD6B">
      <w:pPr>
        <w:pStyle w:val="22"/>
        <w:tabs>
          <w:tab w:val="left" w:pos="540"/>
          <w:tab w:val="left" w:pos="1202"/>
        </w:tabs>
        <w:spacing w:line="300" w:lineRule="auto"/>
        <w:ind w:left="1440" w:leftChars="685" w:hanging="2"/>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62336"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1029" name="0000d8"/>
                <wp:cNvGraphicFramePr/>
                <a:graphic xmlns:a="http://schemas.openxmlformats.org/drawingml/2006/main">
                  <a:graphicData uri="http://schemas.microsoft.com/office/word/2010/wordprocessingShape">
                    <wps:wsp>
                      <wps:cNvSpPr/>
                      <wps:spPr>
                        <a:xfrm>
                          <a:off x="0" y="0"/>
                          <a:ext cx="914400" cy="792480"/>
                        </a:xfrm>
                        <a:prstGeom prst="rect">
                          <a:avLst/>
                        </a:prstGeom>
                        <a:ln>
                          <a:noFill/>
                        </a:ln>
                      </wps:spPr>
                      <wps:txbx>
                        <w:txbxContent>
                          <w:p w14:paraId="11DFCF6E">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阅读、理解与接受</w:t>
                            </w:r>
                          </w:p>
                        </w:txbxContent>
                      </wps:txbx>
                      <wps:bodyPr wrap="square"/>
                    </wps:wsp>
                  </a:graphicData>
                </a:graphic>
              </wp:anchor>
            </w:drawing>
          </mc:Choice>
          <mc:Fallback>
            <w:pict>
              <v:rect id="0000d8" o:spid="_x0000_s1026" o:spt="1" style="position:absolute;left:0pt;margin-left:-9pt;margin-top:0pt;height:62.4pt;width:72pt;z-index:251662336;mso-width-relative:page;mso-height-relative:page;" filled="f" stroked="f" coordsize="21600,21600" o:gfxdata="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&#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kdBST1wAAAAgBAAAPAAAAAAAAAAEAIAAAACIAAABk&#10;cnMvZG93bnJldi54bWxQSwECFAAUAAAACACHTuJALQ2YrpUBAAA4AwAADgAAAAAAAAABACAAAAAm&#10;AQAAZHJzL2Uyb0RvYy54bWxQSwUGAAAAAAYABgBZAQAALQUAAAAA&#10;">
                <v:fill on="f" focussize="0,0"/>
                <v:stroke on="f"/>
                <v:imagedata o:title=""/>
                <o:lock v:ext="edit" aspectratio="f"/>
                <v:textbox>
                  <w:txbxContent>
                    <w:p w14:paraId="11DFCF6E">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阅读、理解与接受</w:t>
                      </w:r>
                    </w:p>
                  </w:txbxContent>
                </v:textbox>
              </v:rect>
            </w:pict>
          </mc:Fallback>
        </mc:AlternateContent>
      </w:r>
      <w:r>
        <w:rPr>
          <w:rFonts w:hint="eastAsia" w:hAnsi="宋体" w:eastAsia="宋体" w:cs="宋体"/>
          <w:color w:val="auto"/>
          <w:sz w:val="24"/>
          <w:szCs w:val="24"/>
          <w:highlight w:val="none"/>
        </w:rPr>
        <w:t>合同双方当事人应认真阅读和理解本合同的全部内容。除合同双方当事人同意修改外，本合同一旦订立，视为合同双方当事人已全面接受本合同的所有条款。</w:t>
      </w:r>
    </w:p>
    <w:p w14:paraId="2DF9EB7D">
      <w:pPr>
        <w:pStyle w:val="22"/>
        <w:tabs>
          <w:tab w:val="left" w:pos="2160"/>
        </w:tabs>
        <w:spacing w:before="192" w:beforeLines="80" w:line="300" w:lineRule="auto"/>
        <w:ind w:left="1620" w:hanging="1620" w:hangingChars="675"/>
        <w:rPr>
          <w:rFonts w:hint="eastAsia" w:hAnsi="宋体" w:eastAsia="宋体" w:cs="宋体"/>
          <w:b/>
          <w:bCs/>
          <w:color w:val="auto"/>
          <w:sz w:val="24"/>
          <w:szCs w:val="24"/>
          <w:highlight w:val="none"/>
          <w:u w:val="dotted"/>
        </w:rPr>
      </w:pPr>
      <w:r>
        <w:rPr>
          <w:rFonts w:hint="eastAsia" w:hAnsi="宋体" w:eastAsia="宋体" w:cs="宋体"/>
          <w:color w:val="auto"/>
          <w:sz w:val="24"/>
          <w:szCs w:val="24"/>
          <w:highlight w:val="none"/>
        </w:rPr>
        <mc:AlternateContent>
          <mc:Choice Requires="wps">
            <w:drawing>
              <wp:anchor distT="0" distB="0" distL="0" distR="0" simplePos="0" relativeHeight="251663360"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1030" name="0000d9"/>
                <wp:cNvGraphicFramePr/>
                <a:graphic xmlns:a="http://schemas.openxmlformats.org/drawingml/2006/main">
                  <a:graphicData uri="http://schemas.microsoft.com/office/word/2010/wordprocessingShape">
                    <wps:wsp>
                      <wps:cNvSpPr/>
                      <wps:spPr>
                        <a:xfrm>
                          <a:off x="0" y="0"/>
                          <a:ext cx="952499" cy="792480"/>
                        </a:xfrm>
                        <a:prstGeom prst="rect">
                          <a:avLst/>
                        </a:prstGeom>
                        <a:ln>
                          <a:noFill/>
                        </a:ln>
                      </wps:spPr>
                      <wps:txbx>
                        <w:txbxContent>
                          <w:p w14:paraId="35A6BA04">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修改合同条款的限制</w:t>
                            </w:r>
                          </w:p>
                        </w:txbxContent>
                      </wps:txbx>
                      <wps:bodyPr wrap="square"/>
                    </wps:wsp>
                  </a:graphicData>
                </a:graphic>
              </wp:anchor>
            </w:drawing>
          </mc:Choice>
          <mc:Fallback>
            <w:pict>
              <v:rect id="0000d9" o:spid="_x0000_s1026" o:spt="1" style="position:absolute;left:0pt;margin-left:-9pt;margin-top:31.2pt;height:62.4pt;width:75pt;z-index:251663360;mso-width-relative:page;mso-height-relative:page;" filled="f" stroked="f" coordsize="21600,21600" o:gfxdata="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Ptyaj/bAAAACgEAAA8AAAAAAAAAAQAgAAAA&#10;IgAAAGRycy9kb3ducmV2LnhtbFBLAQIUABQAAAAIAIdO4kBBC7eDlgEAADgDAAAOAAAAAAAAAAEA&#10;IAAAACoBAABkcnMvZTJvRG9jLnhtbFBLBQYAAAAABgAGAFkBAAAyBQAAAAA=&#10;">
                <v:fill on="f" focussize="0,0"/>
                <v:stroke on="f"/>
                <v:imagedata o:title=""/>
                <o:lock v:ext="edit" aspectratio="f"/>
                <v:textbox>
                  <w:txbxContent>
                    <w:p w14:paraId="35A6BA04">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修改合同条款的限制</w:t>
                      </w:r>
                    </w:p>
                  </w:txbxContent>
                </v:textbox>
              </v:rect>
            </w:pict>
          </mc:Fallback>
        </mc:AlternateContent>
      </w:r>
      <w:r>
        <w:rPr>
          <w:rFonts w:hint="eastAsia" w:hAnsi="宋体" w:eastAsia="宋体" w:cs="宋体"/>
          <w:b/>
          <w:bCs/>
          <w:color w:val="auto"/>
          <w:sz w:val="24"/>
          <w:szCs w:val="24"/>
          <w:highlight w:val="none"/>
        </w:rPr>
        <w:t xml:space="preserve">3.2  </w:t>
      </w:r>
      <w:r>
        <w:rPr>
          <w:rFonts w:hint="eastAsia" w:hAnsi="宋体" w:eastAsia="宋体" w:cs="宋体"/>
          <w:b/>
          <w:bCs/>
          <w:color w:val="auto"/>
          <w:sz w:val="24"/>
          <w:szCs w:val="24"/>
          <w:highlight w:val="none"/>
          <w:u w:val="dotted"/>
        </w:rPr>
        <w:t xml:space="preserve">                                                                               </w:t>
      </w:r>
    </w:p>
    <w:p w14:paraId="4ECCB3F7">
      <w:pPr>
        <w:pStyle w:val="22"/>
        <w:tabs>
          <w:tab w:val="left" w:pos="2160"/>
        </w:tabs>
        <w:spacing w:before="192" w:beforeLines="80" w:line="300" w:lineRule="auto"/>
        <w:ind w:left="1618" w:leftChars="741" w:hanging="62" w:hangingChars="26"/>
        <w:rPr>
          <w:rFonts w:hint="eastAsia" w:hAnsi="宋体" w:eastAsia="宋体" w:cs="宋体"/>
          <w:color w:val="auto"/>
          <w:sz w:val="24"/>
          <w:szCs w:val="24"/>
          <w:highlight w:val="none"/>
        </w:rPr>
      </w:pPr>
      <w:r>
        <w:rPr>
          <w:rFonts w:hint="eastAsia" w:hAnsi="宋体" w:eastAsia="宋体" w:cs="宋体"/>
          <w:color w:val="auto"/>
          <w:sz w:val="24"/>
          <w:szCs w:val="24"/>
          <w:highlight w:val="none"/>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14:paraId="475ED747">
      <w:pPr>
        <w:pStyle w:val="22"/>
        <w:adjustRightInd w:val="0"/>
        <w:snapToGrid w:val="0"/>
        <w:spacing w:line="300" w:lineRule="auto"/>
        <w:ind w:right="-238"/>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55355E06">
      <w:pPr>
        <w:pStyle w:val="4"/>
        <w:tabs>
          <w:tab w:val="left" w:pos="420"/>
        </w:tabs>
        <w:spacing w:line="300" w:lineRule="auto"/>
        <w:ind w:left="720"/>
        <w:rPr>
          <w:rFonts w:hint="eastAsia" w:ascii="宋体" w:hAnsi="宋体" w:eastAsia="宋体" w:cs="宋体"/>
          <w:bCs w:val="0"/>
          <w:color w:val="auto"/>
          <w:sz w:val="24"/>
          <w:szCs w:val="24"/>
          <w:highlight w:val="none"/>
        </w:rPr>
      </w:pPr>
      <w:bookmarkStart w:id="22" w:name="_Toc469383983"/>
      <w:bookmarkStart w:id="23" w:name="_Toc46860804"/>
      <w:r>
        <w:rPr>
          <w:rFonts w:hint="eastAsia" w:ascii="宋体" w:hAnsi="宋体" w:eastAsia="宋体" w:cs="宋体"/>
          <w:bCs w:val="0"/>
          <w:color w:val="auto"/>
          <w:sz w:val="24"/>
          <w:szCs w:val="24"/>
          <w:highlight w:val="none"/>
        </w:rPr>
        <w:t>4  语言及适用的法律、标准与规范</w:t>
      </w:r>
      <w:bookmarkEnd w:id="22"/>
      <w:bookmarkEnd w:id="23"/>
    </w:p>
    <w:p w14:paraId="5E01575C">
      <w:pPr>
        <w:tabs>
          <w:tab w:val="left" w:pos="1320"/>
        </w:tabs>
        <w:spacing w:line="300" w:lineRule="auto"/>
        <w:ind w:right="-15" w:rightChars="-7"/>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4.1                         </w:t>
      </w:r>
    </w:p>
    <w:p w14:paraId="64281F55">
      <w:pPr>
        <w:tabs>
          <w:tab w:val="left" w:pos="1620"/>
        </w:tabs>
        <w:spacing w:line="300" w:lineRule="auto"/>
        <w:ind w:left="2156" w:right="-7" w:hanging="2156" w:hangingChars="89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语言文字  </w:t>
      </w:r>
      <w:r>
        <w:rPr>
          <w:rFonts w:hint="eastAsia" w:ascii="宋体" w:hAnsi="宋体" w:eastAsia="宋体" w:cs="宋体"/>
          <w:color w:val="auto"/>
          <w:sz w:val="24"/>
          <w:highlight w:val="none"/>
        </w:rPr>
        <w:t xml:space="preserve">    本合同所使用的语言文字为中文（汉语）。</w:t>
      </w:r>
    </w:p>
    <w:p w14:paraId="472BE702">
      <w:pPr>
        <w:tabs>
          <w:tab w:val="left" w:pos="1620"/>
        </w:tabs>
        <w:spacing w:line="300" w:lineRule="auto"/>
        <w:ind w:left="1579" w:leftChars="752" w:firstLine="117" w:firstLineChars="49"/>
        <w:rPr>
          <w:rFonts w:hint="eastAsia" w:ascii="宋体" w:hAnsi="宋体" w:eastAsia="宋体" w:cs="宋体"/>
          <w:color w:val="auto"/>
          <w:sz w:val="24"/>
          <w:highlight w:val="none"/>
        </w:rPr>
      </w:pPr>
      <w:r>
        <w:rPr>
          <w:rFonts w:hint="eastAsia" w:ascii="宋体" w:hAnsi="宋体" w:eastAsia="宋体" w:cs="宋体"/>
          <w:color w:val="auto"/>
          <w:sz w:val="24"/>
          <w:highlight w:val="none"/>
        </w:rPr>
        <w:t>对于必须使用外文表达的专用术语等，应附有中文注释。合同当事人在合同中使用两种以上语言时，汉语为优先解释和说明合同的语言。</w:t>
      </w:r>
    </w:p>
    <w:p w14:paraId="3A7C266B">
      <w:pPr>
        <w:tabs>
          <w:tab w:val="left" w:pos="1320"/>
        </w:tabs>
        <w:spacing w:line="300" w:lineRule="auto"/>
        <w:ind w:right="-7"/>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4.2  </w:t>
      </w:r>
      <w:r>
        <w:rPr>
          <w:rFonts w:hint="eastAsia" w:ascii="宋体" w:hAnsi="宋体" w:eastAsia="宋体" w:cs="宋体"/>
          <w:b/>
          <w:bCs/>
          <w:color w:val="auto"/>
          <w:sz w:val="24"/>
          <w:highlight w:val="none"/>
          <w:u w:val="dotted"/>
        </w:rPr>
        <w:t xml:space="preserve">                                                                                                        </w:t>
      </w:r>
      <w:r>
        <w:rPr>
          <w:rFonts w:hint="eastAsia" w:ascii="宋体" w:hAnsi="宋体" w:eastAsia="宋体" w:cs="宋体"/>
          <w:b/>
          <w:bCs/>
          <w:color w:val="auto"/>
          <w:sz w:val="24"/>
          <w:highlight w:val="none"/>
        </w:rPr>
        <w:t xml:space="preserve">                                                                                                </w:t>
      </w:r>
    </w:p>
    <w:p w14:paraId="7C33468E">
      <w:pPr>
        <w:pStyle w:val="35"/>
        <w:spacing w:line="300" w:lineRule="auto"/>
        <w:ind w:left="1617" w:leftChars="770" w:firstLine="1"/>
        <w:rPr>
          <w:rFonts w:hint="eastAsia" w:ascii="宋体" w:eastAsia="宋体" w:cs="宋体"/>
          <w:color w:val="auto"/>
          <w:highlight w:val="none"/>
        </w:rPr>
      </w:pPr>
      <w:r>
        <w:rPr>
          <w:rFonts w:hint="eastAsia" w:ascii="宋体" w:eastAsia="宋体" w:cs="宋体"/>
          <w:color w:val="auto"/>
          <w:highlight w:val="none"/>
        </w:rPr>
        <mc:AlternateContent>
          <mc:Choice Requires="wps">
            <w:drawing>
              <wp:anchor distT="0" distB="0" distL="0" distR="0" simplePos="0" relativeHeight="251664384"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1031" name="0000da"/>
                <wp:cNvGraphicFramePr/>
                <a:graphic xmlns:a="http://schemas.openxmlformats.org/drawingml/2006/main">
                  <a:graphicData uri="http://schemas.microsoft.com/office/word/2010/wordprocessingShape">
                    <wps:wsp>
                      <wps:cNvSpPr/>
                      <wps:spPr>
                        <a:xfrm>
                          <a:off x="0" y="0"/>
                          <a:ext cx="1028700" cy="457200"/>
                        </a:xfrm>
                        <a:prstGeom prst="rect">
                          <a:avLst/>
                        </a:prstGeom>
                        <a:ln>
                          <a:noFill/>
                        </a:ln>
                      </wps:spPr>
                      <wps:txbx>
                        <w:txbxContent>
                          <w:p w14:paraId="22B1E5BD">
                            <w:pPr>
                              <w:rPr>
                                <w:rFonts w:hint="eastAsia" w:ascii="楷体_GB2312" w:eastAsia="楷体_GB2312"/>
                                <w:sz w:val="18"/>
                                <w:szCs w:val="18"/>
                              </w:rPr>
                            </w:pPr>
                            <w:r>
                              <w:rPr>
                                <w:rFonts w:hint="eastAsia" w:ascii="楷体_GB2312" w:eastAsia="楷体_GB2312" w:cs="楷体_GB2312"/>
                                <w:b/>
                                <w:bCs/>
                                <w:color w:val="000000"/>
                                <w:sz w:val="18"/>
                                <w:szCs w:val="18"/>
                              </w:rPr>
                              <w:t>适用法律</w:t>
                            </w:r>
                          </w:p>
                        </w:txbxContent>
                      </wps:txbx>
                      <wps:bodyPr wrap="square"/>
                    </wps:wsp>
                  </a:graphicData>
                </a:graphic>
              </wp:anchor>
            </w:drawing>
          </mc:Choice>
          <mc:Fallback>
            <w:pict>
              <v:rect id="0000da" o:spid="_x0000_s1026" o:spt="1" style="position:absolute;left:0pt;margin-left:-9pt;margin-top:3pt;height:36pt;width:81pt;z-index:251664384;mso-width-relative:page;mso-height-relative:page;" filled="f" stroked="f" coordsize="21600,21600" o:gfxdata="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3Jac82AAAAAgBAAAPAAAAAAAAAAEAIAAAACIAAABk&#10;cnMvZG93bnJldi54bWxQSwECFAAUAAAACACHTuJALJ/c6ZQBAAA5AwAADgAAAAAAAAABACAAAAAn&#10;AQAAZHJzL2Uyb0RvYy54bWxQSwUGAAAAAAYABgBZAQAALQUAAAAA&#10;">
                <v:fill on="f" focussize="0,0"/>
                <v:stroke on="f"/>
                <v:imagedata o:title=""/>
                <o:lock v:ext="edit" aspectratio="f"/>
                <v:textbox>
                  <w:txbxContent>
                    <w:p w14:paraId="22B1E5BD">
                      <w:pPr>
                        <w:rPr>
                          <w:rFonts w:hint="eastAsia" w:ascii="楷体_GB2312" w:eastAsia="楷体_GB2312"/>
                          <w:sz w:val="18"/>
                          <w:szCs w:val="18"/>
                        </w:rPr>
                      </w:pPr>
                      <w:r>
                        <w:rPr>
                          <w:rFonts w:hint="eastAsia" w:ascii="楷体_GB2312" w:eastAsia="楷体_GB2312" w:cs="楷体_GB2312"/>
                          <w:b/>
                          <w:bCs/>
                          <w:color w:val="000000"/>
                          <w:sz w:val="18"/>
                          <w:szCs w:val="18"/>
                        </w:rPr>
                        <w:t>适用法律</w:t>
                      </w:r>
                    </w:p>
                  </w:txbxContent>
                </v:textbox>
              </v:rect>
            </w:pict>
          </mc:Fallback>
        </mc:AlternateContent>
      </w:r>
      <w:r>
        <w:rPr>
          <w:rFonts w:hint="eastAsia" w:ascii="宋体" w:eastAsia="宋体" w:cs="宋体"/>
          <w:color w:val="auto"/>
          <w:highlight w:val="none"/>
        </w:rPr>
        <w:t>本合同适用的法律为中华人民共和国的现行法律、行政法规、部门规章和合同工程所在地的地方性法规、地方政府规章、行政规范性文件。</w:t>
      </w:r>
    </w:p>
    <w:p w14:paraId="2DE0CE6A">
      <w:pPr>
        <w:tabs>
          <w:tab w:val="left" w:pos="1320"/>
        </w:tabs>
        <w:spacing w:line="300" w:lineRule="auto"/>
        <w:ind w:right="-7"/>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4.3  </w:t>
      </w:r>
      <w:r>
        <w:rPr>
          <w:rFonts w:hint="eastAsia" w:ascii="宋体" w:hAnsi="宋体" w:eastAsia="宋体" w:cs="宋体"/>
          <w:b/>
          <w:bCs/>
          <w:color w:val="auto"/>
          <w:sz w:val="24"/>
          <w:highlight w:val="none"/>
          <w:u w:val="dotted"/>
        </w:rPr>
        <w:t xml:space="preserve">                                                                                                        </w:t>
      </w:r>
      <w:r>
        <w:rPr>
          <w:rFonts w:hint="eastAsia" w:ascii="宋体" w:hAnsi="宋体" w:eastAsia="宋体" w:cs="宋体"/>
          <w:b/>
          <w:bCs/>
          <w:color w:val="auto"/>
          <w:sz w:val="24"/>
          <w:highlight w:val="none"/>
        </w:rPr>
        <w:t xml:space="preserve">                                                                                    </w:t>
      </w:r>
    </w:p>
    <w:p w14:paraId="4CE83A93">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65408"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1032" name="0000db"/>
                <wp:cNvGraphicFramePr/>
                <a:graphic xmlns:a="http://schemas.openxmlformats.org/drawingml/2006/main">
                  <a:graphicData uri="http://schemas.microsoft.com/office/word/2010/wordprocessingShape">
                    <wps:wsp>
                      <wps:cNvSpPr/>
                      <wps:spPr>
                        <a:xfrm>
                          <a:off x="0" y="0"/>
                          <a:ext cx="1028700" cy="441960"/>
                        </a:xfrm>
                        <a:prstGeom prst="rect">
                          <a:avLst/>
                        </a:prstGeom>
                        <a:ln>
                          <a:noFill/>
                        </a:ln>
                      </wps:spPr>
                      <wps:txbx>
                        <w:txbxContent>
                          <w:p w14:paraId="010BFE4E">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适用标准与规</w:t>
                            </w:r>
                          </w:p>
                          <w:p w14:paraId="654B9BED">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范</w:t>
                            </w:r>
                          </w:p>
                        </w:txbxContent>
                      </wps:txbx>
                      <wps:bodyPr wrap="square"/>
                    </wps:wsp>
                  </a:graphicData>
                </a:graphic>
              </wp:anchor>
            </w:drawing>
          </mc:Choice>
          <mc:Fallback>
            <w:pict>
              <v:rect id="0000db" o:spid="_x0000_s1026" o:spt="1" style="position:absolute;left:0pt;margin-left:-9pt;margin-top:0pt;height:34.8pt;width:81pt;z-index:251665408;mso-width-relative:page;mso-height-relative:page;" filled="f" stroked="f" coordsize="21600,21600" o:gfxdata="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CSTRF/YAAAABwEAAA8AAAAAAAAAAQAgAAAAIgAA&#10;AGRycy9kb3ducmV2LnhtbFBLAQIUABQAAAAIAIdO4kA+4DsPlgEAADkDAAAOAAAAAAAAAAEAIAAA&#10;ACcBAABkcnMvZTJvRG9jLnhtbFBLBQYAAAAABgAGAFkBAAAvBQAAAAA=&#10;">
                <v:fill on="f" focussize="0,0"/>
                <v:stroke on="f"/>
                <v:imagedata o:title=""/>
                <o:lock v:ext="edit" aspectratio="f"/>
                <v:textbox>
                  <w:txbxContent>
                    <w:p w14:paraId="010BFE4E">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适用标准与规</w:t>
                      </w:r>
                    </w:p>
                    <w:p w14:paraId="654B9BED">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范</w:t>
                      </w:r>
                    </w:p>
                  </w:txbxContent>
                </v:textbox>
              </v:rect>
            </w:pict>
          </mc:Fallback>
        </mc:AlternateContent>
      </w:r>
      <w:r>
        <w:rPr>
          <w:rFonts w:hint="eastAsia" w:ascii="宋体" w:hAnsi="宋体" w:eastAsia="宋体" w:cs="宋体"/>
          <w:color w:val="auto"/>
          <w:sz w:val="24"/>
          <w:highlight w:val="none"/>
        </w:rPr>
        <w:t>本合同适用的标准与规范为国家、行业和广东省的标准与规范或规程，以及发包人在合同中要求使用的标准与规范。</w:t>
      </w:r>
    </w:p>
    <w:p w14:paraId="2B408653">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合同双方当事人在专用条款中约定适用的国家标准、规范名称；国家没有但行业有的，约定适用的行业标准、规范名称；国家和行业没有但广东省有的，约定适用的广东省地方标准、规范名称。   </w:t>
      </w:r>
    </w:p>
    <w:p w14:paraId="67633030">
      <w:pPr>
        <w:spacing w:line="300" w:lineRule="auto"/>
        <w:ind w:left="1619" w:leftChars="771" w:firstLine="1"/>
        <w:rPr>
          <w:rFonts w:hint="eastAsia" w:ascii="宋体" w:hAnsi="宋体" w:eastAsia="宋体" w:cs="宋体"/>
          <w:color w:val="auto"/>
          <w:sz w:val="24"/>
          <w:highlight w:val="none"/>
        </w:rPr>
      </w:pPr>
      <w:r>
        <w:rPr>
          <w:rFonts w:hint="eastAsia" w:ascii="宋体" w:hAnsi="宋体" w:eastAsia="宋体" w:cs="宋体"/>
          <w:color w:val="auto"/>
          <w:sz w:val="24"/>
          <w:highlight w:val="none"/>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14:paraId="1CE989CE">
      <w:pPr>
        <w:spacing w:line="300" w:lineRule="auto"/>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49257122">
      <w:pPr>
        <w:pStyle w:val="4"/>
        <w:tabs>
          <w:tab w:val="left" w:pos="420"/>
        </w:tabs>
        <w:spacing w:line="300" w:lineRule="auto"/>
        <w:ind w:left="720"/>
        <w:rPr>
          <w:rFonts w:hint="eastAsia" w:ascii="宋体" w:hAnsi="宋体" w:eastAsia="宋体" w:cs="宋体"/>
          <w:bCs w:val="0"/>
          <w:color w:val="auto"/>
          <w:sz w:val="24"/>
          <w:szCs w:val="24"/>
          <w:highlight w:val="none"/>
        </w:rPr>
      </w:pPr>
      <w:bookmarkStart w:id="24" w:name="_Toc46860805"/>
      <w:bookmarkStart w:id="25" w:name="_Toc469383984"/>
      <w:r>
        <w:rPr>
          <w:rFonts w:hint="eastAsia" w:ascii="宋体" w:hAnsi="宋体" w:eastAsia="宋体" w:cs="宋体"/>
          <w:bCs w:val="0"/>
          <w:color w:val="auto"/>
          <w:sz w:val="24"/>
          <w:szCs w:val="24"/>
          <w:highlight w:val="none"/>
        </w:rPr>
        <w:t>5  施工设计图纸</w:t>
      </w:r>
      <w:bookmarkEnd w:id="24"/>
      <w:bookmarkEnd w:id="25"/>
    </w:p>
    <w:p w14:paraId="217F159B">
      <w:pPr>
        <w:pStyle w:val="22"/>
        <w:spacing w:line="300" w:lineRule="auto"/>
        <w:ind w:right="-238"/>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5.1 </w:t>
      </w:r>
    </w:p>
    <w:p w14:paraId="7B2FDD76">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66432"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1033" name="0000dc"/>
                <wp:cNvGraphicFramePr/>
                <a:graphic xmlns:a="http://schemas.openxmlformats.org/drawingml/2006/main">
                  <a:graphicData uri="http://schemas.microsoft.com/office/word/2010/wordprocessingShape">
                    <wps:wsp>
                      <wps:cNvSpPr/>
                      <wps:spPr>
                        <a:xfrm>
                          <a:off x="0" y="0"/>
                          <a:ext cx="800100" cy="911860"/>
                        </a:xfrm>
                        <a:prstGeom prst="rect">
                          <a:avLst/>
                        </a:prstGeom>
                        <a:ln>
                          <a:noFill/>
                        </a:ln>
                      </wps:spPr>
                      <wps:txbx>
                        <w:txbxContent>
                          <w:p w14:paraId="0678091E">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图纸的提供</w:t>
                            </w:r>
                          </w:p>
                        </w:txbxContent>
                      </wps:txbx>
                      <wps:bodyPr wrap="square"/>
                    </wps:wsp>
                  </a:graphicData>
                </a:graphic>
              </wp:anchor>
            </w:drawing>
          </mc:Choice>
          <mc:Fallback>
            <w:pict>
              <v:rect id="0000dc" o:spid="_x0000_s1026" o:spt="1" style="position:absolute;left:0pt;margin-left:-9pt;margin-top:1.6pt;height:71.8pt;width:63pt;z-index:251666432;mso-width-relative:page;mso-height-relative:page;" filled="f" stroked="f" coordsize="21600,21600" o:gfxdata="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&#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IDmWvfYAAAACQEAAA8AAAAAAAAAAQAgAAAAIgAAAGRy&#10;cy9kb3ducmV2LnhtbFBLAQIUABQAAAAIAIdO4kBDKbZJkwEAADgDAAAOAAAAAAAAAAEAIAAAACcB&#10;AABkcnMvZTJvRG9jLnhtbFBLBQYAAAAABgAGAFkBAAAsBQAAAAA=&#10;">
                <v:fill on="f" focussize="0,0"/>
                <v:stroke on="f"/>
                <v:imagedata o:title=""/>
                <o:lock v:ext="edit" aspectratio="f"/>
                <v:textbox>
                  <w:txbxContent>
                    <w:p w14:paraId="0678091E">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图纸的提供</w:t>
                      </w:r>
                    </w:p>
                  </w:txbxContent>
                </v:textbox>
              </v:rect>
            </w:pict>
          </mc:Fallback>
        </mc:AlternateContent>
      </w:r>
      <w:r>
        <w:rPr>
          <w:rFonts w:hint="eastAsia" w:ascii="宋体" w:hAnsi="宋体" w:eastAsia="宋体" w:cs="宋体"/>
          <w:color w:val="auto"/>
          <w:sz w:val="24"/>
          <w:highlight w:val="none"/>
        </w:rPr>
        <w:t xml:space="preserve">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36.3款规定处理。 </w:t>
      </w:r>
    </w:p>
    <w:p w14:paraId="39338BA7">
      <w:pPr>
        <w:pStyle w:val="22"/>
        <w:spacing w:line="300" w:lineRule="auto"/>
        <w:ind w:right="-238"/>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5.2  </w:t>
      </w:r>
      <w:r>
        <w:rPr>
          <w:rFonts w:hint="eastAsia" w:hAnsi="宋体" w:eastAsia="宋体" w:cs="宋体"/>
          <w:b/>
          <w:bCs/>
          <w:color w:val="auto"/>
          <w:sz w:val="24"/>
          <w:szCs w:val="24"/>
          <w:highlight w:val="none"/>
          <w:u w:val="dotted"/>
        </w:rPr>
        <w:t xml:space="preserve">                                                                              </w:t>
      </w:r>
    </w:p>
    <w:p w14:paraId="5DF161C7">
      <w:pPr>
        <w:pStyle w:val="35"/>
        <w:tabs>
          <w:tab w:val="left" w:pos="4970"/>
        </w:tabs>
        <w:spacing w:line="300" w:lineRule="auto"/>
        <w:ind w:left="1619" w:leftChars="771"/>
        <w:rPr>
          <w:rFonts w:hint="eastAsia" w:ascii="宋体" w:eastAsia="宋体" w:cs="宋体"/>
          <w:color w:val="auto"/>
          <w:highlight w:val="none"/>
        </w:rPr>
      </w:pPr>
      <w:r>
        <w:rPr>
          <w:rFonts w:hint="eastAsia" w:ascii="宋体" w:eastAsia="宋体" w:cs="宋体"/>
          <w:color w:val="auto"/>
          <w:highlight w:val="none"/>
        </w:rPr>
        <mc:AlternateContent>
          <mc:Choice Requires="wps">
            <w:drawing>
              <wp:anchor distT="0" distB="0" distL="0" distR="0" simplePos="0" relativeHeight="251667456"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1034" name="0000dd"/>
                <wp:cNvGraphicFramePr/>
                <a:graphic xmlns:a="http://schemas.openxmlformats.org/drawingml/2006/main">
                  <a:graphicData uri="http://schemas.microsoft.com/office/word/2010/wordprocessingShape">
                    <wps:wsp>
                      <wps:cNvSpPr/>
                      <wps:spPr>
                        <a:xfrm>
                          <a:off x="0" y="0"/>
                          <a:ext cx="800100" cy="911860"/>
                        </a:xfrm>
                        <a:prstGeom prst="rect">
                          <a:avLst/>
                        </a:prstGeom>
                        <a:ln>
                          <a:noFill/>
                        </a:ln>
                      </wps:spPr>
                      <wps:txbx>
                        <w:txbxContent>
                          <w:p w14:paraId="0B6A7C2E">
                            <w:pPr>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承包人提供配合施工的图纸</w:t>
                            </w:r>
                          </w:p>
                        </w:txbxContent>
                      </wps:txbx>
                      <wps:bodyPr wrap="square"/>
                    </wps:wsp>
                  </a:graphicData>
                </a:graphic>
              </wp:anchor>
            </w:drawing>
          </mc:Choice>
          <mc:Fallback>
            <w:pict>
              <v:rect id="0000dd" o:spid="_x0000_s1026" o:spt="1" style="position:absolute;left:0pt;margin-left:-9pt;margin-top:0pt;height:71.8pt;width:63pt;z-index:251667456;mso-width-relative:page;mso-height-relative:page;" filled="f" stroked="f" coordsize="21600,21600" o:gfxdata="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IwSbFfXAAAACAEAAA8AAAAAAAAAAQAgAAAAIgAAAGRy&#10;cy9kb3ducmV2LnhtbFBLAQIUABQAAAAIAIdO4kAbv/WHlAEAADgDAAAOAAAAAAAAAAEAIAAAACYB&#10;AABkcnMvZTJvRG9jLnhtbFBLBQYAAAAABgAGAFkBAAAsBQAAAAA=&#10;">
                <v:fill on="f" focussize="0,0"/>
                <v:stroke on="f"/>
                <v:imagedata o:title=""/>
                <o:lock v:ext="edit" aspectratio="f"/>
                <v:textbox>
                  <w:txbxContent>
                    <w:p w14:paraId="0B6A7C2E">
                      <w:pPr>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承包人提供配合施工的图纸</w:t>
                      </w:r>
                    </w:p>
                  </w:txbxContent>
                </v:textbox>
              </v:rect>
            </w:pict>
          </mc:Fallback>
        </mc:AlternateContent>
      </w:r>
      <w:r>
        <w:rPr>
          <w:rFonts w:hint="eastAsia" w:ascii="宋体" w:eastAsia="宋体" w:cs="宋体"/>
          <w:color w:val="auto"/>
          <w:highlight w:val="none"/>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14:paraId="3BB062B9">
      <w:pPr>
        <w:tabs>
          <w:tab w:val="left" w:pos="4970"/>
        </w:tabs>
        <w:spacing w:line="300" w:lineRule="auto"/>
        <w:rPr>
          <w:rFonts w:hint="eastAsia" w:ascii="宋体" w:hAnsi="宋体" w:eastAsia="宋体" w:cs="宋体"/>
          <w:b/>
          <w:bCs/>
          <w:color w:val="auto"/>
          <w:sz w:val="24"/>
          <w:highlight w:val="none"/>
        </w:rPr>
      </w:pPr>
    </w:p>
    <w:p w14:paraId="1B4F2E96">
      <w:pPr>
        <w:tabs>
          <w:tab w:val="left" w:pos="4970"/>
        </w:tabs>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5.3  </w:t>
      </w:r>
      <w:r>
        <w:rPr>
          <w:rFonts w:hint="eastAsia" w:ascii="宋体" w:hAnsi="宋体" w:eastAsia="宋体" w:cs="宋体"/>
          <w:b/>
          <w:bCs/>
          <w:color w:val="auto"/>
          <w:sz w:val="24"/>
          <w:highlight w:val="none"/>
          <w:u w:val="dotted"/>
        </w:rPr>
        <w:t xml:space="preserve">                                                                                                       </w:t>
      </w:r>
    </w:p>
    <w:p w14:paraId="4BFE3E1A">
      <w:pPr>
        <w:tabs>
          <w:tab w:val="left" w:pos="4970"/>
        </w:tabs>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6848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035" name="0000de"/>
                <wp:cNvGraphicFramePr/>
                <a:graphic xmlns:a="http://schemas.openxmlformats.org/drawingml/2006/main">
                  <a:graphicData uri="http://schemas.microsoft.com/office/word/2010/wordprocessingShape">
                    <wps:wsp>
                      <wps:cNvSpPr/>
                      <wps:spPr>
                        <a:xfrm>
                          <a:off x="0" y="0"/>
                          <a:ext cx="914400" cy="648970"/>
                        </a:xfrm>
                        <a:prstGeom prst="rect">
                          <a:avLst/>
                        </a:prstGeom>
                        <a:ln>
                          <a:noFill/>
                        </a:ln>
                      </wps:spPr>
                      <wps:txbx>
                        <w:txbxContent>
                          <w:p w14:paraId="0AC27F15">
                            <w:pPr>
                              <w:rPr>
                                <w:rFonts w:hint="eastAsia" w:ascii="宋体"/>
                                <w:sz w:val="18"/>
                                <w:szCs w:val="18"/>
                              </w:rPr>
                            </w:pPr>
                            <w:r>
                              <w:rPr>
                                <w:rFonts w:hint="eastAsia" w:ascii="楷体_GB2312" w:hAnsi="宋体" w:eastAsia="楷体_GB2312" w:cs="楷体_GB2312"/>
                                <w:b/>
                                <w:bCs/>
                                <w:color w:val="000000"/>
                                <w:sz w:val="18"/>
                                <w:szCs w:val="18"/>
                              </w:rPr>
                              <w:t>图纸的修改</w:t>
                            </w:r>
                          </w:p>
                        </w:txbxContent>
                      </wps:txbx>
                      <wps:bodyPr wrap="square"/>
                    </wps:wsp>
                  </a:graphicData>
                </a:graphic>
              </wp:anchor>
            </w:drawing>
          </mc:Choice>
          <mc:Fallback>
            <w:pict>
              <v:rect id="0000de" o:spid="_x0000_s1026" o:spt="1" style="position:absolute;left:0pt;margin-left:-9pt;margin-top:0pt;height:51.1pt;width:72pt;z-index:251668480;mso-width-relative:page;mso-height-relative:page;" filled="f" stroked="f" coordsize="21600,21600" o:gfxdata="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&#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48+aO1wAAAAgBAAAPAAAAAAAAAAEAIAAAACIAAABk&#10;cnMvZG93bnJldi54bWxQSwECFAAUAAAACACHTuJAvIHWz5UBAAA4AwAADgAAAAAAAAABACAAAAAm&#10;AQAAZHJzL2Uyb0RvYy54bWxQSwUGAAAAAAYABgBZAQAALQUAAAAA&#10;">
                <v:fill on="f" focussize="0,0"/>
                <v:stroke on="f"/>
                <v:imagedata o:title=""/>
                <o:lock v:ext="edit" aspectratio="f"/>
                <v:textbox>
                  <w:txbxContent>
                    <w:p w14:paraId="0AC27F15">
                      <w:pPr>
                        <w:rPr>
                          <w:rFonts w:hint="eastAsia" w:ascii="宋体"/>
                          <w:sz w:val="18"/>
                          <w:szCs w:val="18"/>
                        </w:rPr>
                      </w:pPr>
                      <w:r>
                        <w:rPr>
                          <w:rFonts w:hint="eastAsia" w:ascii="楷体_GB2312" w:hAnsi="宋体" w:eastAsia="楷体_GB2312" w:cs="楷体_GB2312"/>
                          <w:b/>
                          <w:bCs/>
                          <w:color w:val="000000"/>
                          <w:sz w:val="18"/>
                          <w:szCs w:val="18"/>
                        </w:rPr>
                        <w:t>图纸的修改</w:t>
                      </w:r>
                    </w:p>
                  </w:txbxContent>
                </v:textbox>
              </v:rect>
            </w:pict>
          </mc:Fallback>
        </mc:AlternateContent>
      </w:r>
      <w:r>
        <w:rPr>
          <w:rFonts w:hint="eastAsia" w:ascii="宋体" w:hAnsi="宋体" w:eastAsia="宋体" w:cs="宋体"/>
          <w:color w:val="auto"/>
          <w:sz w:val="24"/>
          <w:highlight w:val="none"/>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14:paraId="1885C540">
      <w:pPr>
        <w:tabs>
          <w:tab w:val="left" w:pos="4970"/>
        </w:tabs>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5.4  </w:t>
      </w:r>
      <w:r>
        <w:rPr>
          <w:rFonts w:hint="eastAsia" w:ascii="宋体" w:hAnsi="宋体" w:eastAsia="宋体" w:cs="宋体"/>
          <w:b/>
          <w:bCs/>
          <w:color w:val="auto"/>
          <w:sz w:val="24"/>
          <w:highlight w:val="none"/>
          <w:u w:val="dotted"/>
        </w:rPr>
        <w:t xml:space="preserve">                                                                                                       </w:t>
      </w:r>
    </w:p>
    <w:p w14:paraId="69E4DDE1">
      <w:pPr>
        <w:tabs>
          <w:tab w:val="left" w:pos="4970"/>
        </w:tabs>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6950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036" name="0000df"/>
                <wp:cNvGraphicFramePr/>
                <a:graphic xmlns:a="http://schemas.openxmlformats.org/drawingml/2006/main">
                  <a:graphicData uri="http://schemas.microsoft.com/office/word/2010/wordprocessingShape">
                    <wps:wsp>
                      <wps:cNvSpPr/>
                      <wps:spPr>
                        <a:xfrm>
                          <a:off x="0" y="0"/>
                          <a:ext cx="914400" cy="648970"/>
                        </a:xfrm>
                        <a:prstGeom prst="rect">
                          <a:avLst/>
                        </a:prstGeom>
                        <a:ln>
                          <a:noFill/>
                        </a:ln>
                      </wps:spPr>
                      <wps:txbx>
                        <w:txbxContent>
                          <w:p w14:paraId="4BBDDF92">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图纸错漏的改正</w:t>
                            </w:r>
                          </w:p>
                        </w:txbxContent>
                      </wps:txbx>
                      <wps:bodyPr wrap="square"/>
                    </wps:wsp>
                  </a:graphicData>
                </a:graphic>
              </wp:anchor>
            </w:drawing>
          </mc:Choice>
          <mc:Fallback>
            <w:pict>
              <v:rect id="0000df" o:spid="_x0000_s1026" o:spt="1" style="position:absolute;left:0pt;margin-left:-9pt;margin-top:0pt;height:51.1pt;width:72pt;z-index:251669504;mso-width-relative:page;mso-height-relative:page;" filled="f" stroked="f" coordsize="21600,21600" o:gfxdata="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uPPmjtcAAAAIAQAADwAAAAAAAAABACAAAAAiAAAA&#10;ZHJzL2Rvd25yZXYueG1sUEsBAhQAFAAAAAgAh07iQGlnEXCWAQAAOAMAAA4AAAAAAAAAAQAgAAAA&#10;JgEAAGRycy9lMm9Eb2MueG1sUEsFBgAAAAAGAAYAWQEAAC4FAAAAAA==&#10;">
                <v:fill on="f" focussize="0,0"/>
                <v:stroke on="f"/>
                <v:imagedata o:title=""/>
                <o:lock v:ext="edit" aspectratio="f"/>
                <v:textbox>
                  <w:txbxContent>
                    <w:p w14:paraId="4BBDDF92">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图纸错漏的改正</w:t>
                      </w:r>
                    </w:p>
                  </w:txbxContent>
                </v:textbox>
              </v:rect>
            </w:pict>
          </mc:Fallback>
        </mc:AlternateContent>
      </w:r>
      <w:r>
        <w:rPr>
          <w:rFonts w:hint="eastAsia" w:ascii="宋体" w:hAnsi="宋体" w:eastAsia="宋体" w:cs="宋体"/>
          <w:color w:val="auto"/>
          <w:sz w:val="24"/>
          <w:highlight w:val="none"/>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14:paraId="0D89189E">
      <w:pPr>
        <w:adjustRightInd w:val="0"/>
        <w:snapToGrid w:val="0"/>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5.5  </w:t>
      </w:r>
      <w:r>
        <w:rPr>
          <w:rFonts w:hint="eastAsia" w:ascii="宋体" w:hAnsi="宋体" w:eastAsia="宋体" w:cs="宋体"/>
          <w:b/>
          <w:bCs/>
          <w:color w:val="auto"/>
          <w:sz w:val="24"/>
          <w:highlight w:val="none"/>
          <w:u w:val="dotted"/>
        </w:rPr>
        <w:t xml:space="preserve">                                                                                                       </w:t>
      </w:r>
    </w:p>
    <w:p w14:paraId="67DDBD6E">
      <w:pPr>
        <w:tabs>
          <w:tab w:val="left" w:pos="4970"/>
        </w:tabs>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7052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037" name="0000e0"/>
                <wp:cNvGraphicFramePr/>
                <a:graphic xmlns:a="http://schemas.openxmlformats.org/drawingml/2006/main">
                  <a:graphicData uri="http://schemas.microsoft.com/office/word/2010/wordprocessingShape">
                    <wps:wsp>
                      <wps:cNvSpPr/>
                      <wps:spPr>
                        <a:xfrm>
                          <a:off x="0" y="0"/>
                          <a:ext cx="914400" cy="648970"/>
                        </a:xfrm>
                        <a:prstGeom prst="rect">
                          <a:avLst/>
                        </a:prstGeom>
                        <a:ln>
                          <a:noFill/>
                        </a:ln>
                      </wps:spPr>
                      <wps:txbx>
                        <w:txbxContent>
                          <w:p w14:paraId="2BEC390C">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图纸的使用与退还</w:t>
                            </w:r>
                          </w:p>
                        </w:txbxContent>
                      </wps:txbx>
                      <wps:bodyPr wrap="square"/>
                    </wps:wsp>
                  </a:graphicData>
                </a:graphic>
              </wp:anchor>
            </w:drawing>
          </mc:Choice>
          <mc:Fallback>
            <w:pict>
              <v:rect id="0000e0" o:spid="_x0000_s1026" o:spt="1" style="position:absolute;left:0pt;margin-left:-9pt;margin-top:0pt;height:51.1pt;width:72pt;z-index:251670528;mso-width-relative:page;mso-height-relative:page;" filled="f" stroked="f" coordsize="21600,21600" o:gfxdata="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Ljz5o7XAAAACAEAAA8AAAAAAAAAAQAgAAAAIgAAAGRy&#10;cy9kb3ducmV2LnhtbFBLAQIUABQAAAAIAIdO4kAKilP2lAEAADgDAAAOAAAAAAAAAAEAIAAAACYB&#10;AABkcnMvZTJvRG9jLnhtbFBLBQYAAAAABgAGAFkBAAAsBQAAAAA=&#10;">
                <v:fill on="f" focussize="0,0"/>
                <v:stroke on="f"/>
                <v:imagedata o:title=""/>
                <o:lock v:ext="edit" aspectratio="f"/>
                <v:textbox>
                  <w:txbxContent>
                    <w:p w14:paraId="2BEC390C">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图纸的使用与退还</w:t>
                      </w:r>
                    </w:p>
                  </w:txbxContent>
                </v:textbox>
              </v:rect>
            </w:pict>
          </mc:Fallback>
        </mc:AlternateContent>
      </w:r>
      <w:r>
        <w:rPr>
          <w:rFonts w:hint="eastAsia" w:ascii="宋体" w:hAnsi="宋体" w:eastAsia="宋体" w:cs="宋体"/>
          <w:color w:val="auto"/>
          <w:sz w:val="24"/>
          <w:highlight w:val="none"/>
        </w:rPr>
        <w:t>施工期间，承包人和监理工程师均应在施工现场保留一套完整的包括第5.1款、第5.2款、第5.3款规定内容的施工设计图纸供实施合同工程过程需要时使用。本合同终止后，除承包人存档需要的施工设计图纸外，承包人应将全部施工设计图纸退还给发包人。</w:t>
      </w:r>
    </w:p>
    <w:p w14:paraId="488E9986">
      <w:pPr>
        <w:tabs>
          <w:tab w:val="left" w:pos="1620"/>
        </w:tabs>
        <w:spacing w:line="300" w:lineRule="auto"/>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702922BC">
      <w:pPr>
        <w:pStyle w:val="4"/>
        <w:tabs>
          <w:tab w:val="left" w:pos="420"/>
        </w:tabs>
        <w:spacing w:line="300" w:lineRule="auto"/>
        <w:ind w:left="720"/>
        <w:rPr>
          <w:rFonts w:hint="eastAsia" w:ascii="宋体" w:hAnsi="宋体" w:eastAsia="宋体" w:cs="宋体"/>
          <w:color w:val="auto"/>
          <w:sz w:val="24"/>
          <w:szCs w:val="24"/>
          <w:highlight w:val="none"/>
        </w:rPr>
      </w:pPr>
      <w:bookmarkStart w:id="26" w:name="_Toc469383985"/>
      <w:bookmarkStart w:id="27" w:name="_Toc46860806"/>
      <w:r>
        <w:rPr>
          <w:rFonts w:hint="eastAsia" w:ascii="宋体" w:hAnsi="宋体" w:eastAsia="宋体" w:cs="宋体"/>
          <w:color w:val="auto"/>
          <w:sz w:val="24"/>
          <w:szCs w:val="24"/>
          <w:highlight w:val="none"/>
        </w:rPr>
        <w:t>6  通讯联络</w:t>
      </w:r>
      <w:bookmarkEnd w:id="26"/>
      <w:bookmarkEnd w:id="27"/>
    </w:p>
    <w:p w14:paraId="142149BC">
      <w:pPr>
        <w:pStyle w:val="22"/>
        <w:spacing w:line="300" w:lineRule="auto"/>
        <w:ind w:right="-238"/>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6.1   </w:t>
      </w:r>
    </w:p>
    <w:p w14:paraId="22E59937">
      <w:pPr>
        <w:tabs>
          <w:tab w:val="left" w:pos="1620"/>
        </w:tabs>
        <w:spacing w:line="300" w:lineRule="auto"/>
        <w:ind w:left="2156" w:hanging="2156" w:hangingChars="89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通讯形式     </w:t>
      </w:r>
      <w:r>
        <w:rPr>
          <w:rFonts w:hint="eastAsia" w:ascii="宋体" w:hAnsi="宋体" w:eastAsia="宋体" w:cs="宋体"/>
          <w:color w:val="auto"/>
          <w:sz w:val="24"/>
          <w:highlight w:val="none"/>
        </w:rPr>
        <w:t>本合同中无论何处涉及到各方之间的申请、批准、确认、同意、</w:t>
      </w:r>
    </w:p>
    <w:p w14:paraId="380A743F">
      <w:pPr>
        <w:tabs>
          <w:tab w:val="left" w:pos="1620"/>
        </w:tabs>
        <w:spacing w:line="300" w:lineRule="auto"/>
        <w:ind w:left="1680" w:leftChars="800"/>
        <w:rPr>
          <w:rFonts w:hint="eastAsia" w:ascii="宋体" w:hAnsi="宋体" w:eastAsia="宋体" w:cs="宋体"/>
          <w:color w:val="auto"/>
          <w:sz w:val="24"/>
          <w:highlight w:val="none"/>
        </w:rPr>
      </w:pPr>
      <w:r>
        <w:rPr>
          <w:rFonts w:hint="eastAsia" w:ascii="宋体" w:hAnsi="宋体" w:eastAsia="宋体" w:cs="宋体"/>
          <w:color w:val="auto"/>
          <w:sz w:val="24"/>
          <w:highlight w:val="none"/>
        </w:rPr>
        <w:t>决定、核实、通知、</w:t>
      </w:r>
      <w:r>
        <w:rPr>
          <w:rFonts w:hint="eastAsia" w:ascii="宋体" w:hAnsi="宋体" w:eastAsia="宋体" w:cs="宋体"/>
          <w:b/>
          <w:bCs/>
          <w:color w:val="auto"/>
          <w:sz w:val="24"/>
          <w:highlight w:val="none"/>
        </w:rPr>
        <w:t xml:space="preserve"> </w:t>
      </w:r>
      <w:r>
        <w:rPr>
          <w:rFonts w:hint="eastAsia" w:ascii="宋体" w:hAnsi="宋体" w:eastAsia="宋体" w:cs="宋体"/>
          <w:color w:val="auto"/>
          <w:sz w:val="24"/>
          <w:highlight w:val="none"/>
        </w:rPr>
        <w:t>任命、指令、要求、意见、证明、证件或表示同意、否定等的通讯（含派人面交、邮寄、电子传输等），均应采用书面形式，且只有在对方当事人收到后方能生效。</w:t>
      </w:r>
    </w:p>
    <w:p w14:paraId="0CA8D0E4">
      <w:pPr>
        <w:pStyle w:val="22"/>
        <w:spacing w:line="300" w:lineRule="auto"/>
        <w:ind w:right="-238"/>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6.2  </w:t>
      </w:r>
      <w:r>
        <w:rPr>
          <w:rFonts w:hint="eastAsia" w:hAnsi="宋体" w:eastAsia="宋体" w:cs="宋体"/>
          <w:b/>
          <w:bCs/>
          <w:color w:val="auto"/>
          <w:sz w:val="24"/>
          <w:szCs w:val="24"/>
          <w:highlight w:val="none"/>
          <w:u w:val="dotted"/>
        </w:rPr>
        <w:t xml:space="preserve">                                                                              </w:t>
      </w:r>
    </w:p>
    <w:p w14:paraId="51C5C1CC">
      <w:pPr>
        <w:pStyle w:val="22"/>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71552"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1038" name="0000e1"/>
                <wp:cNvGraphicFramePr/>
                <a:graphic xmlns:a="http://schemas.openxmlformats.org/drawingml/2006/main">
                  <a:graphicData uri="http://schemas.microsoft.com/office/word/2010/wordprocessingShape">
                    <wps:wsp>
                      <wps:cNvSpPr/>
                      <wps:spPr>
                        <a:xfrm>
                          <a:off x="0" y="0"/>
                          <a:ext cx="800100" cy="297180"/>
                        </a:xfrm>
                        <a:prstGeom prst="rect">
                          <a:avLst/>
                        </a:prstGeom>
                        <a:ln>
                          <a:noFill/>
                        </a:ln>
                      </wps:spPr>
                      <wps:txbx>
                        <w:txbxContent>
                          <w:p w14:paraId="0487D16D">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发送通讯</w:t>
                            </w:r>
                          </w:p>
                        </w:txbxContent>
                      </wps:txbx>
                      <wps:bodyPr wrap="square"/>
                    </wps:wsp>
                  </a:graphicData>
                </a:graphic>
              </wp:anchor>
            </w:drawing>
          </mc:Choice>
          <mc:Fallback>
            <w:pict>
              <v:rect id="0000e1" o:spid="_x0000_s1026" o:spt="1" style="position:absolute;left:0pt;margin-left:-9pt;margin-top:0pt;height:23.4pt;width:63pt;z-index:251671552;mso-width-relative:page;mso-height-relative:page;" filled="f" stroked="f" coordsize="21600,21600" o:gfxdata="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CjinQP1gAAAAcBAAAPAAAAAAAAAAEAIAAAACIAAABkcnMv&#10;ZG93bnJldi54bWxQSwECFAAUAAAACACHTuJA10bQApMBAAA4AwAADgAAAAAAAAABACAAAAAlAQAA&#10;ZHJzL2Uyb0RvYy54bWxQSwUGAAAAAAYABgBZAQAAKgUAAAAA&#10;">
                <v:fill on="f" focussize="0,0"/>
                <v:stroke on="f"/>
                <v:imagedata o:title=""/>
                <o:lock v:ext="edit" aspectratio="f"/>
                <v:textbox>
                  <w:txbxContent>
                    <w:p w14:paraId="0487D16D">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发送通讯</w:t>
                      </w:r>
                    </w:p>
                  </w:txbxContent>
                </v:textbox>
              </v:rect>
            </w:pict>
          </mc:Fallback>
        </mc:AlternateContent>
      </w:r>
      <w:r>
        <w:rPr>
          <w:rFonts w:hint="eastAsia" w:hAnsi="宋体" w:eastAsia="宋体" w:cs="宋体"/>
          <w:color w:val="auto"/>
          <w:sz w:val="24"/>
          <w:szCs w:val="24"/>
          <w:highlight w:val="none"/>
        </w:rPr>
        <w:t>合同中无论何处涉及到各方之间的通讯都不应无理扣压或拖延。合同双方当事人</w:t>
      </w:r>
    </w:p>
    <w:p w14:paraId="61CFFCCB">
      <w:pPr>
        <w:pStyle w:val="22"/>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应在专用条款中约定各方通讯地址和收件人，并按照约定期限内送达指定地点和接收人。</w:t>
      </w:r>
    </w:p>
    <w:p w14:paraId="15A78F86">
      <w:pPr>
        <w:pStyle w:val="22"/>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收件人应在通讯回执上签署姓名和时间。一方当事人拒绝签收另一方当事人通讯，另一方当事人以特快专递、挂号信等专用条款约定的方式将通讯送至通讯地址的，视为送达。</w:t>
      </w:r>
    </w:p>
    <w:p w14:paraId="17D51F8D">
      <w:pPr>
        <w:adjustRightInd w:val="0"/>
        <w:snapToGrid w:val="0"/>
        <w:spacing w:line="300" w:lineRule="auto"/>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1C7998FC">
      <w:pPr>
        <w:pStyle w:val="4"/>
        <w:tabs>
          <w:tab w:val="left" w:pos="420"/>
        </w:tabs>
        <w:spacing w:line="300" w:lineRule="auto"/>
        <w:ind w:left="720"/>
        <w:rPr>
          <w:rFonts w:hint="eastAsia" w:ascii="宋体" w:hAnsi="宋体" w:eastAsia="宋体" w:cs="宋体"/>
          <w:color w:val="auto"/>
          <w:sz w:val="24"/>
          <w:szCs w:val="24"/>
          <w:highlight w:val="none"/>
        </w:rPr>
      </w:pPr>
      <w:bookmarkStart w:id="28" w:name="_Toc46860807"/>
      <w:bookmarkStart w:id="29" w:name="_Toc469383986"/>
      <w:r>
        <w:rPr>
          <w:rFonts w:hint="eastAsia" w:ascii="宋体" w:hAnsi="宋体" w:eastAsia="宋体" w:cs="宋体"/>
          <w:color w:val="auto"/>
          <w:sz w:val="24"/>
          <w:szCs w:val="24"/>
          <w:highlight w:val="none"/>
        </w:rPr>
        <w:t>7  工程分包</w:t>
      </w:r>
      <w:bookmarkEnd w:id="28"/>
      <w:bookmarkEnd w:id="29"/>
    </w:p>
    <w:p w14:paraId="0372E5E4">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72576"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1039" name="0000e2"/>
                <wp:cNvGraphicFramePr/>
                <a:graphic xmlns:a="http://schemas.openxmlformats.org/drawingml/2006/main">
                  <a:graphicData uri="http://schemas.microsoft.com/office/word/2010/wordprocessingShape">
                    <wps:wsp>
                      <wps:cNvSpPr/>
                      <wps:spPr>
                        <a:xfrm>
                          <a:off x="0" y="0"/>
                          <a:ext cx="1028700" cy="450215"/>
                        </a:xfrm>
                        <a:prstGeom prst="rect">
                          <a:avLst/>
                        </a:prstGeom>
                        <a:ln>
                          <a:noFill/>
                        </a:ln>
                      </wps:spPr>
                      <wps:txbx>
                        <w:txbxContent>
                          <w:p w14:paraId="3F22FD98">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分包工程的要</w:t>
                            </w:r>
                          </w:p>
                          <w:p w14:paraId="1F00B3BB">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wrap="square"/>
                    </wps:wsp>
                  </a:graphicData>
                </a:graphic>
              </wp:anchor>
            </w:drawing>
          </mc:Choice>
          <mc:Fallback>
            <w:pict>
              <v:rect id="0000e2" o:spid="_x0000_s1026" o:spt="1" style="position:absolute;left:0pt;margin-left:-9pt;margin-top:16.7pt;height:35.45pt;width:81pt;z-index:251672576;mso-width-relative:page;mso-height-relative:page;" filled="f" stroked="f" coordsize="21600,21600" o:gfxdata="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EBHEZNoAAAAKAQAADwAAAAAAAAABACAAAAAi&#10;AAAAZHJzL2Rvd25yZXYueG1sUEsBAhQAFAAAAAgAh07iQIeRLluWAQAAOQMAAA4AAAAAAAAAAQAg&#10;AAAAKQEAAGRycy9lMm9Eb2MueG1sUEsFBgAAAAAGAAYAWQEAADEFAAAAAA==&#10;">
                <v:fill on="f" focussize="0,0"/>
                <v:stroke on="f"/>
                <v:imagedata o:title=""/>
                <o:lock v:ext="edit" aspectratio="f"/>
                <v:textbox>
                  <w:txbxContent>
                    <w:p w14:paraId="3F22FD98">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分包工程的要</w:t>
                      </w:r>
                    </w:p>
                    <w:p w14:paraId="1F00B3BB">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rect>
            </w:pict>
          </mc:Fallback>
        </mc:AlternateContent>
      </w:r>
      <w:r>
        <w:rPr>
          <w:rFonts w:hint="eastAsia" w:hAnsi="宋体" w:eastAsia="宋体" w:cs="宋体"/>
          <w:b/>
          <w:bCs/>
          <w:color w:val="auto"/>
          <w:sz w:val="24"/>
          <w:szCs w:val="24"/>
          <w:highlight w:val="none"/>
        </w:rPr>
        <w:t xml:space="preserve">7.1   </w:t>
      </w:r>
    </w:p>
    <w:p w14:paraId="735CC233">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承包人应自己实施、完成合同工程的主体结构。承包人不得将其承包的全部工程或将其肢解后以分包的名义转包给第三方，也不得将合同工程主体结构、关键性工作分包给第三方。</w:t>
      </w:r>
    </w:p>
    <w:p w14:paraId="5FAC7E7F">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73600"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1040" name="0000e3"/>
                <wp:cNvGraphicFramePr/>
                <a:graphic xmlns:a="http://schemas.openxmlformats.org/drawingml/2006/main">
                  <a:graphicData uri="http://schemas.microsoft.com/office/word/2010/wordprocessingShape">
                    <wps:wsp>
                      <wps:cNvSpPr/>
                      <wps:spPr>
                        <a:xfrm>
                          <a:off x="0" y="0"/>
                          <a:ext cx="1028700" cy="787400"/>
                        </a:xfrm>
                        <a:prstGeom prst="rect">
                          <a:avLst/>
                        </a:prstGeom>
                        <a:ln>
                          <a:noFill/>
                        </a:ln>
                      </wps:spPr>
                      <wps:txbx>
                        <w:txbxContent>
                          <w:p w14:paraId="4E88E8C5">
                            <w:pPr>
                              <w:spacing w:line="240" w:lineRule="exact"/>
                              <w:rPr>
                                <w:rFonts w:hint="eastAsia" w:ascii="楷体_GB2312" w:hAnsi="宋体" w:eastAsia="楷体_GB2312"/>
                                <w:b/>
                                <w:bCs/>
                                <w:color w:val="000000"/>
                                <w:sz w:val="18"/>
                                <w:szCs w:val="18"/>
                              </w:rPr>
                            </w:pPr>
                          </w:p>
                          <w:p w14:paraId="750E0B65">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分包工程的批</w:t>
                            </w:r>
                          </w:p>
                          <w:p w14:paraId="6853D09E">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准</w:t>
                            </w:r>
                          </w:p>
                        </w:txbxContent>
                      </wps:txbx>
                      <wps:bodyPr wrap="square"/>
                    </wps:wsp>
                  </a:graphicData>
                </a:graphic>
              </wp:anchor>
            </w:drawing>
          </mc:Choice>
          <mc:Fallback>
            <w:pict>
              <v:rect id="0000e3" o:spid="_x0000_s1026" o:spt="1" style="position:absolute;left:0pt;margin-left:-9pt;margin-top:9.6pt;height:62pt;width:81pt;z-index:251673600;mso-width-relative:page;mso-height-relative:page;" filled="f" stroked="f" coordsize="21600,21600" o:gfxdata="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FdSh7aAAAACgEAAA8AAAAAAAAAAQAgAAAAIgAA&#10;AGRycy9kb3ducmV2LnhtbFBLAQIUABQAAAAIAIdO4kB64JB0lAEAADkDAAAOAAAAAAAAAAEAIAAA&#10;ACkBAABkcnMvZTJvRG9jLnhtbFBLBQYAAAAABgAGAFkBAAAvBQAAAAA=&#10;">
                <v:fill on="f" focussize="0,0"/>
                <v:stroke on="f"/>
                <v:imagedata o:title=""/>
                <o:lock v:ext="edit" aspectratio="f"/>
                <v:textbox>
                  <w:txbxContent>
                    <w:p w14:paraId="4E88E8C5">
                      <w:pPr>
                        <w:spacing w:line="240" w:lineRule="exact"/>
                        <w:rPr>
                          <w:rFonts w:hint="eastAsia" w:ascii="楷体_GB2312" w:hAnsi="宋体" w:eastAsia="楷体_GB2312"/>
                          <w:b/>
                          <w:bCs/>
                          <w:color w:val="000000"/>
                          <w:sz w:val="18"/>
                          <w:szCs w:val="18"/>
                        </w:rPr>
                      </w:pPr>
                    </w:p>
                    <w:p w14:paraId="750E0B65">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分包工程的批</w:t>
                      </w:r>
                    </w:p>
                    <w:p w14:paraId="6853D09E">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准</w:t>
                      </w:r>
                    </w:p>
                  </w:txbxContent>
                </v:textbox>
              </v:rect>
            </w:pict>
          </mc:Fallback>
        </mc:AlternateContent>
      </w:r>
      <w:r>
        <w:rPr>
          <w:rFonts w:hint="eastAsia" w:hAnsi="宋体" w:eastAsia="宋体" w:cs="宋体"/>
          <w:b/>
          <w:bCs/>
          <w:color w:val="auto"/>
          <w:sz w:val="24"/>
          <w:szCs w:val="24"/>
          <w:highlight w:val="none"/>
        </w:rPr>
        <w:t xml:space="preserve">7.2  </w:t>
      </w:r>
      <w:r>
        <w:rPr>
          <w:rFonts w:hint="eastAsia" w:hAnsi="宋体" w:eastAsia="宋体" w:cs="宋体"/>
          <w:b/>
          <w:bCs/>
          <w:color w:val="auto"/>
          <w:sz w:val="24"/>
          <w:szCs w:val="24"/>
          <w:highlight w:val="none"/>
          <w:u w:val="dotted"/>
        </w:rPr>
        <w:t xml:space="preserve">                                                                              </w:t>
      </w:r>
      <w:r>
        <w:rPr>
          <w:rFonts w:hint="eastAsia" w:hAnsi="宋体" w:eastAsia="宋体" w:cs="宋体"/>
          <w:b/>
          <w:bCs/>
          <w:color w:val="auto"/>
          <w:sz w:val="24"/>
          <w:szCs w:val="24"/>
          <w:highlight w:val="none"/>
        </w:rPr>
        <w:t xml:space="preserve">             </w:t>
      </w:r>
    </w:p>
    <w:p w14:paraId="2365402C">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承包人可依法将部分工程分包给具有相应分包资质的分包人，但未经发包人同意，承包人不得将工程的任何部分或任何工作分包给第三方。下列情况则属例外：</w:t>
      </w:r>
    </w:p>
    <w:p w14:paraId="66DAEE39">
      <w:pPr>
        <w:pStyle w:val="22"/>
        <w:numPr>
          <w:ilvl w:val="0"/>
          <w:numId w:val="7"/>
        </w:numPr>
        <w:adjustRightInd w:val="0"/>
        <w:snapToGrid w:val="0"/>
        <w:spacing w:line="300" w:lineRule="auto"/>
        <w:ind w:firstLine="540"/>
        <w:rPr>
          <w:rFonts w:hint="eastAsia" w:hAnsi="宋体" w:eastAsia="宋体" w:cs="宋体"/>
          <w:color w:val="auto"/>
          <w:sz w:val="24"/>
          <w:szCs w:val="24"/>
          <w:highlight w:val="none"/>
        </w:rPr>
      </w:pPr>
      <w:r>
        <w:rPr>
          <w:rFonts w:hint="eastAsia" w:hAnsi="宋体" w:eastAsia="宋体" w:cs="宋体"/>
          <w:color w:val="auto"/>
          <w:sz w:val="24"/>
          <w:szCs w:val="24"/>
          <w:highlight w:val="none"/>
        </w:rPr>
        <w:t>施工劳务作业分包；</w:t>
      </w:r>
    </w:p>
    <w:p w14:paraId="302360D5">
      <w:pPr>
        <w:pStyle w:val="22"/>
        <w:numPr>
          <w:ilvl w:val="0"/>
          <w:numId w:val="7"/>
        </w:numPr>
        <w:adjustRightInd w:val="0"/>
        <w:snapToGrid w:val="0"/>
        <w:spacing w:line="300" w:lineRule="auto"/>
        <w:ind w:firstLine="540"/>
        <w:rPr>
          <w:rFonts w:hint="eastAsia" w:hAnsi="宋体" w:eastAsia="宋体" w:cs="宋体"/>
          <w:color w:val="auto"/>
          <w:sz w:val="24"/>
          <w:szCs w:val="24"/>
          <w:highlight w:val="none"/>
        </w:rPr>
      </w:pPr>
      <w:r>
        <w:rPr>
          <w:rFonts w:hint="eastAsia" w:hAnsi="宋体" w:eastAsia="宋体" w:cs="宋体"/>
          <w:color w:val="auto"/>
          <w:sz w:val="24"/>
          <w:szCs w:val="24"/>
          <w:highlight w:val="none"/>
        </w:rPr>
        <w:t>按照合同约定的标准购买材料和工程设备；</w:t>
      </w:r>
    </w:p>
    <w:p w14:paraId="6ABE86E7">
      <w:pPr>
        <w:pStyle w:val="22"/>
        <w:numPr>
          <w:ilvl w:val="0"/>
          <w:numId w:val="7"/>
        </w:numPr>
        <w:adjustRightInd w:val="0"/>
        <w:snapToGrid w:val="0"/>
        <w:spacing w:line="300" w:lineRule="auto"/>
        <w:ind w:left="1077" w:firstLine="539"/>
        <w:rPr>
          <w:rFonts w:hint="eastAsia" w:hAnsi="宋体" w:eastAsia="宋体" w:cs="宋体"/>
          <w:color w:val="auto"/>
          <w:sz w:val="24"/>
          <w:szCs w:val="24"/>
          <w:highlight w:val="none"/>
        </w:rPr>
      </w:pPr>
      <w:r>
        <w:rPr>
          <w:rFonts w:hint="eastAsia" w:hAnsi="宋体" w:eastAsia="宋体" w:cs="宋体"/>
          <w:color w:val="auto"/>
          <w:sz w:val="24"/>
          <w:szCs w:val="24"/>
          <w:highlight w:val="none"/>
        </w:rPr>
        <w:t>合同中已指定的分包工程。</w:t>
      </w:r>
    </w:p>
    <w:p w14:paraId="0EC9A12C">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7.3  </w:t>
      </w:r>
      <w:r>
        <w:rPr>
          <w:rFonts w:hint="eastAsia" w:hAnsi="宋体" w:eastAsia="宋体" w:cs="宋体"/>
          <w:b/>
          <w:bCs/>
          <w:color w:val="auto"/>
          <w:sz w:val="24"/>
          <w:szCs w:val="24"/>
          <w:highlight w:val="none"/>
          <w:u w:val="dotted"/>
        </w:rPr>
        <w:t xml:space="preserve">                                                                                                        </w:t>
      </w:r>
    </w:p>
    <w:p w14:paraId="3E8B84C8">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74624"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1041" name="0000e4"/>
                <wp:cNvGraphicFramePr/>
                <a:graphic xmlns:a="http://schemas.openxmlformats.org/drawingml/2006/main">
                  <a:graphicData uri="http://schemas.microsoft.com/office/word/2010/wordprocessingShape">
                    <wps:wsp>
                      <wps:cNvSpPr/>
                      <wps:spPr>
                        <a:xfrm>
                          <a:off x="0" y="0"/>
                          <a:ext cx="1028700" cy="305435"/>
                        </a:xfrm>
                        <a:prstGeom prst="rect">
                          <a:avLst/>
                        </a:prstGeom>
                        <a:ln>
                          <a:noFill/>
                        </a:ln>
                      </wps:spPr>
                      <wps:txbx>
                        <w:txbxContent>
                          <w:p w14:paraId="4C3F9365">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签订分包合同</w:t>
                            </w:r>
                          </w:p>
                        </w:txbxContent>
                      </wps:txbx>
                      <wps:bodyPr wrap="square"/>
                    </wps:wsp>
                  </a:graphicData>
                </a:graphic>
              </wp:anchor>
            </w:drawing>
          </mc:Choice>
          <mc:Fallback>
            <w:pict>
              <v:rect id="0000e4" o:spid="_x0000_s1026" o:spt="1" style="position:absolute;left:0pt;margin-left:-9pt;margin-top:0pt;height:24.05pt;width:81pt;z-index:251674624;mso-width-relative:page;mso-height-relative:page;" filled="f" stroked="f" coordsize="21600,21600" o:gfxdata="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VCLZlNcAAAAHAQAADwAAAAAAAAABACAAAAAiAAAA&#10;ZHJzL2Rvd25yZXYueG1sUEsBAhQAFAAAAAgAh07iQPv7PumWAQAAOQMAAA4AAAAAAAAAAQAgAAAA&#10;JgEAAGRycy9lMm9Eb2MueG1sUEsFBgAAAAAGAAYAWQEAAC4FAAAAAA==&#10;">
                <v:fill on="f" focussize="0,0"/>
                <v:stroke on="f"/>
                <v:imagedata o:title=""/>
                <o:lock v:ext="edit" aspectratio="f"/>
                <v:textbox>
                  <w:txbxContent>
                    <w:p w14:paraId="4C3F9365">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签订分包合同</w:t>
                      </w:r>
                    </w:p>
                  </w:txbxContent>
                </v:textbox>
              </v:rect>
            </w:pict>
          </mc:Fallback>
        </mc:AlternateContent>
      </w:r>
      <w:r>
        <w:rPr>
          <w:rFonts w:hint="eastAsia" w:hAnsi="宋体" w:eastAsia="宋体" w:cs="宋体"/>
          <w:color w:val="auto"/>
          <w:sz w:val="24"/>
          <w:szCs w:val="24"/>
          <w:highlight w:val="none"/>
        </w:rPr>
        <w:t>承包人分包工程的，应与分包人签订分包合同，并在分包合同签订后的7天内向发包人和监理工程师、造价工程师各提交一份分包合同。承包人有义务禁止分包人将分包工程再次分包。</w:t>
      </w:r>
    </w:p>
    <w:p w14:paraId="5B64443F">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75648"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1042" name="0000e5"/>
                <wp:cNvGraphicFramePr/>
                <a:graphic xmlns:a="http://schemas.openxmlformats.org/drawingml/2006/main">
                  <a:graphicData uri="http://schemas.microsoft.com/office/word/2010/wordprocessingShape">
                    <wps:wsp>
                      <wps:cNvSpPr/>
                      <wps:spPr>
                        <a:xfrm>
                          <a:off x="0" y="0"/>
                          <a:ext cx="914400" cy="495300"/>
                        </a:xfrm>
                        <a:prstGeom prst="rect">
                          <a:avLst/>
                        </a:prstGeom>
                        <a:ln>
                          <a:noFill/>
                        </a:ln>
                      </wps:spPr>
                      <wps:txbx>
                        <w:txbxContent>
                          <w:p w14:paraId="5522DB08">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分包工程款结算与支付</w:t>
                            </w:r>
                          </w:p>
                        </w:txbxContent>
                      </wps:txbx>
                      <wps:bodyPr wrap="square"/>
                    </wps:wsp>
                  </a:graphicData>
                </a:graphic>
              </wp:anchor>
            </w:drawing>
          </mc:Choice>
          <mc:Fallback>
            <w:pict>
              <v:rect id="0000e5" o:spid="_x0000_s1026" o:spt="1" style="position:absolute;left:0pt;margin-left:-9pt;margin-top:15.95pt;height:39pt;width:72pt;z-index:251675648;mso-width-relative:page;mso-height-relative:page;" filled="f" stroked="f" coordsize="21600,21600" o:gfxdata="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rlqBLaAAAACgEAAA8AAAAAAAAAAQAgAAAAIgAA&#10;AGRycy9kb3ducmV2LnhtbFBLAQIUABQAAAAIAIdO4kDw34IDlAEAADgDAAAOAAAAAAAAAAEAIAAA&#10;ACkBAABkcnMvZTJvRG9jLnhtbFBLBQYAAAAABgAGAFkBAAAvBQAAAAA=&#10;">
                <v:fill on="f" focussize="0,0"/>
                <v:stroke on="f"/>
                <v:imagedata o:title=""/>
                <o:lock v:ext="edit" aspectratio="f"/>
                <v:textbox>
                  <w:txbxContent>
                    <w:p w14:paraId="5522DB08">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分包工程款结算与支付</w:t>
                      </w:r>
                    </w:p>
                  </w:txbxContent>
                </v:textbox>
              </v:rect>
            </w:pict>
          </mc:Fallback>
        </mc:AlternateContent>
      </w:r>
      <w:r>
        <w:rPr>
          <w:rFonts w:hint="eastAsia" w:hAnsi="宋体" w:eastAsia="宋体" w:cs="宋体"/>
          <w:b/>
          <w:bCs/>
          <w:color w:val="auto"/>
          <w:sz w:val="24"/>
          <w:szCs w:val="24"/>
          <w:highlight w:val="none"/>
        </w:rPr>
        <w:t xml:space="preserve">7.4  </w:t>
      </w:r>
      <w:r>
        <w:rPr>
          <w:rFonts w:hint="eastAsia" w:hAnsi="宋体" w:eastAsia="宋体" w:cs="宋体"/>
          <w:b/>
          <w:bCs/>
          <w:color w:val="auto"/>
          <w:sz w:val="24"/>
          <w:szCs w:val="24"/>
          <w:highlight w:val="none"/>
          <w:u w:val="dotted"/>
        </w:rPr>
        <w:t xml:space="preserve">                                                                                                        </w:t>
      </w:r>
    </w:p>
    <w:p w14:paraId="782C24DC">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分包工程款由承包人与分包人结算。除合同另有约定或取得承包人的同意外，发包人应将分包工程款按专用条款约定的支付方式全部支付给承包人，禁止发包人直接向分包人支付任何工程款。</w:t>
      </w:r>
    </w:p>
    <w:p w14:paraId="413C7C17">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如发包人有要求时，承包人应提供能证明自己已向分包人支付其分包工程款等证明资料。否则，发包人有权直接向分包人支付承包人应支付而未支付的分包工程款，并在承包人得到的工程款中扣除。</w:t>
      </w:r>
    </w:p>
    <w:p w14:paraId="0F2C207B">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76672" behindDoc="0" locked="0" layoutInCell="1" allowOverlap="1">
                <wp:simplePos x="0" y="0"/>
                <wp:positionH relativeFrom="column">
                  <wp:posOffset>-114300</wp:posOffset>
                </wp:positionH>
                <wp:positionV relativeFrom="paragraph">
                  <wp:posOffset>204470</wp:posOffset>
                </wp:positionV>
                <wp:extent cx="914400" cy="495300"/>
                <wp:effectExtent l="0" t="0" r="0" b="0"/>
                <wp:wrapNone/>
                <wp:docPr id="1043" name="0000e6"/>
                <wp:cNvGraphicFramePr/>
                <a:graphic xmlns:a="http://schemas.openxmlformats.org/drawingml/2006/main">
                  <a:graphicData uri="http://schemas.microsoft.com/office/word/2010/wordprocessingShape">
                    <wps:wsp>
                      <wps:cNvSpPr/>
                      <wps:spPr>
                        <a:xfrm>
                          <a:off x="0" y="0"/>
                          <a:ext cx="914400" cy="495300"/>
                        </a:xfrm>
                        <a:prstGeom prst="rect">
                          <a:avLst/>
                        </a:prstGeom>
                        <a:ln>
                          <a:noFill/>
                        </a:ln>
                      </wps:spPr>
                      <wps:txbx>
                        <w:txbxContent>
                          <w:p w14:paraId="6AEED6CB">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分包工程责任和义务</w:t>
                            </w:r>
                          </w:p>
                        </w:txbxContent>
                      </wps:txbx>
                      <wps:bodyPr wrap="square"/>
                    </wps:wsp>
                  </a:graphicData>
                </a:graphic>
              </wp:anchor>
            </w:drawing>
          </mc:Choice>
          <mc:Fallback>
            <w:pict>
              <v:rect id="0000e6" o:spid="_x0000_s1026" o:spt="1" style="position:absolute;left:0pt;margin-left:-9pt;margin-top:16.1pt;height:39pt;width:72pt;z-index:251676672;mso-width-relative:page;mso-height-relative:page;" filled="f" stroked="f" coordsize="21600,21600" o:gfxdata="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NWCFhTaAAAACgEAAA8AAAAAAAAAAQAgAAAAIgAA&#10;AGRycy9kb3ducmV2LnhtbFBLAQIUABQAAAAIAIdO4kC5SM+clAEAADgDAAAOAAAAAAAAAAEAIAAA&#10;ACkBAABkcnMvZTJvRG9jLnhtbFBLBQYAAAAABgAGAFkBAAAvBQAAAAA=&#10;">
                <v:fill on="f" focussize="0,0"/>
                <v:stroke on="f"/>
                <v:imagedata o:title=""/>
                <o:lock v:ext="edit" aspectratio="f"/>
                <v:textbox>
                  <w:txbxContent>
                    <w:p w14:paraId="6AEED6CB">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分包工程责任和义务</w:t>
                      </w:r>
                    </w:p>
                  </w:txbxContent>
                </v:textbox>
              </v:rect>
            </w:pict>
          </mc:Fallback>
        </mc:AlternateContent>
      </w:r>
      <w:r>
        <w:rPr>
          <w:rFonts w:hint="eastAsia" w:hAnsi="宋体" w:eastAsia="宋体" w:cs="宋体"/>
          <w:b/>
          <w:bCs/>
          <w:color w:val="auto"/>
          <w:sz w:val="24"/>
          <w:szCs w:val="24"/>
          <w:highlight w:val="none"/>
        </w:rPr>
        <w:t xml:space="preserve">7.5  </w:t>
      </w:r>
      <w:r>
        <w:rPr>
          <w:rFonts w:hint="eastAsia" w:hAnsi="宋体" w:eastAsia="宋体" w:cs="宋体"/>
          <w:b/>
          <w:bCs/>
          <w:color w:val="auto"/>
          <w:sz w:val="24"/>
          <w:szCs w:val="24"/>
          <w:highlight w:val="none"/>
          <w:u w:val="dotted"/>
        </w:rPr>
        <w:t xml:space="preserve">                                                                                                         </w:t>
      </w:r>
    </w:p>
    <w:p w14:paraId="7182390F">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工程分包不能免除承包人应承担的任何责任和应履行的任何义务。承包人应在分包场地派驻相应管理人员保证本合同的履行。</w:t>
      </w:r>
    </w:p>
    <w:p w14:paraId="44B89288">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分包人应对分包工程负责。分包人的任何违约行为或疏忽导致工程损坏、损害或给发包人造成损失的，承包人应承担连带责任。</w:t>
      </w:r>
    </w:p>
    <w:p w14:paraId="7186E899">
      <w:pPr>
        <w:pStyle w:val="22"/>
        <w:adjustRightInd w:val="0"/>
        <w:snapToGrid w:val="0"/>
        <w:spacing w:line="300" w:lineRule="auto"/>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77696"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1044" name="0000e7"/>
                <wp:cNvGraphicFramePr/>
                <a:graphic xmlns:a="http://schemas.openxmlformats.org/drawingml/2006/main">
                  <a:graphicData uri="http://schemas.microsoft.com/office/word/2010/wordprocessingShape">
                    <wps:wsp>
                      <wps:cNvSpPr/>
                      <wps:spPr>
                        <a:xfrm>
                          <a:off x="0" y="0"/>
                          <a:ext cx="914400" cy="280035"/>
                        </a:xfrm>
                        <a:prstGeom prst="rect">
                          <a:avLst/>
                        </a:prstGeom>
                        <a:ln>
                          <a:noFill/>
                        </a:ln>
                      </wps:spPr>
                      <wps:txbx>
                        <w:txbxContent>
                          <w:p w14:paraId="5ACEE8FD">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分包合同终止</w:t>
                            </w:r>
                          </w:p>
                        </w:txbxContent>
                      </wps:txbx>
                      <wps:bodyPr wrap="square"/>
                    </wps:wsp>
                  </a:graphicData>
                </a:graphic>
              </wp:anchor>
            </w:drawing>
          </mc:Choice>
          <mc:Fallback>
            <w:pict>
              <v:rect id="0000e7" o:spid="_x0000_s1026" o:spt="1" style="position:absolute;left:0pt;margin-left:-9pt;margin-top:18.05pt;height:22.05pt;width:72pt;z-index:251677696;mso-width-relative:page;mso-height-relative:page;" filled="f" stroked="f" coordsize="21600,21600" o:gfxdata="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Vp73W9kAAAAJAQAADwAAAAAAAAABACAAAAAiAAAA&#10;ZHJzL2Rvd25yZXYueG1sUEsBAhQAFAAAAAgAh07iQGywbueUAQAAOAMAAA4AAAAAAAAAAQAgAAAA&#10;KAEAAGRycy9lMm9Eb2MueG1sUEsFBgAAAAAGAAYAWQEAAC4FAAAAAA==&#10;">
                <v:fill on="f" focussize="0,0"/>
                <v:stroke on="f"/>
                <v:imagedata o:title=""/>
                <o:lock v:ext="edit" aspectratio="f"/>
                <v:textbox>
                  <w:txbxContent>
                    <w:p w14:paraId="5ACEE8FD">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分包合同终止</w:t>
                      </w:r>
                    </w:p>
                  </w:txbxContent>
                </v:textbox>
              </v:rect>
            </w:pict>
          </mc:Fallback>
        </mc:AlternateContent>
      </w:r>
      <w:r>
        <w:rPr>
          <w:rFonts w:hint="eastAsia" w:hAnsi="宋体" w:eastAsia="宋体" w:cs="宋体"/>
          <w:b/>
          <w:bCs/>
          <w:color w:val="auto"/>
          <w:sz w:val="24"/>
          <w:szCs w:val="24"/>
          <w:highlight w:val="none"/>
        </w:rPr>
        <w:t xml:space="preserve">7.6 </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445DDB06">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无论何种原因，当本合同终止时，分包人与承包人签订的分包合同也随即终止。承包人应在本合同终止前向分包人支付分包人应得所有款项。</w:t>
      </w:r>
    </w:p>
    <w:p w14:paraId="316476EE">
      <w:pPr>
        <w:pStyle w:val="22"/>
        <w:tabs>
          <w:tab w:val="left" w:pos="1260"/>
        </w:tabs>
        <w:adjustRightInd w:val="0"/>
        <w:snapToGrid w:val="0"/>
        <w:spacing w:before="120" w:beforeLines="50"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u w:val="single"/>
        </w:rPr>
        <w:t xml:space="preserve">                                                                                                             </w:t>
      </w:r>
    </w:p>
    <w:p w14:paraId="73EFE07D">
      <w:pPr>
        <w:pStyle w:val="4"/>
        <w:tabs>
          <w:tab w:val="left" w:pos="420"/>
        </w:tabs>
        <w:spacing w:line="300" w:lineRule="auto"/>
        <w:ind w:left="720"/>
        <w:rPr>
          <w:rFonts w:hint="eastAsia" w:ascii="宋体" w:hAnsi="宋体" w:eastAsia="宋体" w:cs="宋体"/>
          <w:color w:val="auto"/>
          <w:sz w:val="24"/>
          <w:szCs w:val="24"/>
          <w:highlight w:val="none"/>
        </w:rPr>
      </w:pPr>
      <w:bookmarkStart w:id="30" w:name="_Toc46860808"/>
      <w:bookmarkStart w:id="31" w:name="_Toc469383987"/>
      <w:r>
        <w:rPr>
          <w:rFonts w:hint="eastAsia" w:ascii="宋体" w:hAnsi="宋体" w:eastAsia="宋体" w:cs="宋体"/>
          <w:color w:val="auto"/>
          <w:sz w:val="24"/>
          <w:szCs w:val="24"/>
          <w:highlight w:val="none"/>
        </w:rPr>
        <w:t>8  现场查勘</w:t>
      </w:r>
      <w:bookmarkEnd w:id="30"/>
      <w:bookmarkEnd w:id="31"/>
    </w:p>
    <w:p w14:paraId="5A10D808">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78720" behindDoc="0" locked="0" layoutInCell="1" allowOverlap="1">
                <wp:simplePos x="0" y="0"/>
                <wp:positionH relativeFrom="column">
                  <wp:posOffset>-114300</wp:posOffset>
                </wp:positionH>
                <wp:positionV relativeFrom="paragraph">
                  <wp:posOffset>236220</wp:posOffset>
                </wp:positionV>
                <wp:extent cx="914400" cy="495300"/>
                <wp:effectExtent l="0" t="0" r="0" b="0"/>
                <wp:wrapNone/>
                <wp:docPr id="1045" name="0000e8"/>
                <wp:cNvGraphicFramePr/>
                <a:graphic xmlns:a="http://schemas.openxmlformats.org/drawingml/2006/main">
                  <a:graphicData uri="http://schemas.microsoft.com/office/word/2010/wordprocessingShape">
                    <wps:wsp>
                      <wps:cNvSpPr/>
                      <wps:spPr>
                        <a:xfrm>
                          <a:off x="0" y="0"/>
                          <a:ext cx="914400" cy="495300"/>
                        </a:xfrm>
                        <a:prstGeom prst="rect">
                          <a:avLst/>
                        </a:prstGeom>
                        <a:ln>
                          <a:noFill/>
                        </a:ln>
                      </wps:spPr>
                      <wps:txbx>
                        <w:txbxContent>
                          <w:p w14:paraId="34CED3D4">
                            <w:pPr>
                              <w:spacing w:line="200" w:lineRule="exact"/>
                              <w:rPr>
                                <w:rFonts w:hint="eastAsia" w:ascii="楷体_GB2312" w:hAnsi="宋体" w:eastAsia="楷体_GB2312"/>
                                <w:sz w:val="18"/>
                                <w:szCs w:val="18"/>
                              </w:rPr>
                            </w:pPr>
                            <w:r>
                              <w:rPr>
                                <w:rFonts w:hint="eastAsia" w:ascii="楷体_GB2312" w:hAnsi="宋体" w:eastAsia="楷体_GB2312" w:cs="楷体_GB2312"/>
                                <w:b/>
                                <w:bCs/>
                                <w:color w:val="000000"/>
                                <w:sz w:val="18"/>
                                <w:szCs w:val="18"/>
                              </w:rPr>
                              <w:t>建设单位提供资料的责任</w:t>
                            </w:r>
                          </w:p>
                        </w:txbxContent>
                      </wps:txbx>
                      <wps:bodyPr wrap="square"/>
                    </wps:wsp>
                  </a:graphicData>
                </a:graphic>
              </wp:anchor>
            </w:drawing>
          </mc:Choice>
          <mc:Fallback>
            <w:pict>
              <v:rect id="0000e8" o:spid="_x0000_s1026" o:spt="1" style="position:absolute;left:0pt;margin-left:-9pt;margin-top:18.6pt;height:39pt;width:72pt;z-index:251678720;mso-width-relative:page;mso-height-relative:page;" filled="f" stroked="f" coordsize="21600,21600" o:gfxdata="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jUqTp2wAAAAoBAAAPAAAAAAAAAAEAIAAAACIA&#10;AABkcnMvZG93bnJldi54bWxQSwECFAAUAAAACACHTuJAOKQQWZQBAAA4AwAADgAAAAAAAAABACAA&#10;AAAqAQAAZHJzL2Uyb0RvYy54bWxQSwUGAAAAAAYABgBZAQAAMAUAAAAA&#10;">
                <v:fill on="f" focussize="0,0"/>
                <v:stroke on="f"/>
                <v:imagedata o:title=""/>
                <o:lock v:ext="edit" aspectratio="f"/>
                <v:textbox>
                  <w:txbxContent>
                    <w:p w14:paraId="34CED3D4">
                      <w:pPr>
                        <w:spacing w:line="200" w:lineRule="exact"/>
                        <w:rPr>
                          <w:rFonts w:hint="eastAsia" w:ascii="楷体_GB2312" w:hAnsi="宋体" w:eastAsia="楷体_GB2312"/>
                          <w:sz w:val="18"/>
                          <w:szCs w:val="18"/>
                        </w:rPr>
                      </w:pPr>
                      <w:r>
                        <w:rPr>
                          <w:rFonts w:hint="eastAsia" w:ascii="楷体_GB2312" w:hAnsi="宋体" w:eastAsia="楷体_GB2312" w:cs="楷体_GB2312"/>
                          <w:b/>
                          <w:bCs/>
                          <w:color w:val="000000"/>
                          <w:sz w:val="18"/>
                          <w:szCs w:val="18"/>
                        </w:rPr>
                        <w:t>建设单位提供资料的责任</w:t>
                      </w:r>
                    </w:p>
                  </w:txbxContent>
                </v:textbox>
              </v:rect>
            </w:pict>
          </mc:Fallback>
        </mc:AlternateContent>
      </w:r>
      <w:r>
        <w:rPr>
          <w:rFonts w:hint="eastAsia" w:hAnsi="宋体" w:eastAsia="宋体" w:cs="宋体"/>
          <w:b/>
          <w:bCs/>
          <w:color w:val="auto"/>
          <w:sz w:val="24"/>
          <w:szCs w:val="24"/>
          <w:highlight w:val="none"/>
        </w:rPr>
        <w:t xml:space="preserve">8.1                                                                                </w:t>
      </w:r>
    </w:p>
    <w:p w14:paraId="0BF6FF1B">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发包人应按照第19.2款第（4）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14:paraId="3FE06E0A">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8.2  </w:t>
      </w:r>
      <w:r>
        <w:rPr>
          <w:rFonts w:hint="eastAsia" w:hAnsi="宋体" w:eastAsia="宋体" w:cs="宋体"/>
          <w:b/>
          <w:bCs/>
          <w:color w:val="auto"/>
          <w:sz w:val="24"/>
          <w:szCs w:val="24"/>
          <w:highlight w:val="none"/>
          <w:u w:val="dotted"/>
        </w:rPr>
        <w:t xml:space="preserve">                                                                                                        </w:t>
      </w:r>
    </w:p>
    <w:p w14:paraId="1509FD18">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79744"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1046" name="0000e9"/>
                <wp:cNvGraphicFramePr/>
                <a:graphic xmlns:a="http://schemas.openxmlformats.org/drawingml/2006/main">
                  <a:graphicData uri="http://schemas.microsoft.com/office/word/2010/wordprocessingShape">
                    <wps:wsp>
                      <wps:cNvSpPr/>
                      <wps:spPr>
                        <a:xfrm>
                          <a:off x="0" y="0"/>
                          <a:ext cx="914400" cy="500379"/>
                        </a:xfrm>
                        <a:prstGeom prst="rect">
                          <a:avLst/>
                        </a:prstGeom>
                        <a:ln>
                          <a:noFill/>
                        </a:ln>
                      </wps:spPr>
                      <wps:txbx>
                        <w:txbxContent>
                          <w:p w14:paraId="6A55DEFF">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承包人现场查勘</w:t>
                            </w:r>
                          </w:p>
                        </w:txbxContent>
                      </wps:txbx>
                      <wps:bodyPr wrap="square"/>
                    </wps:wsp>
                  </a:graphicData>
                </a:graphic>
              </wp:anchor>
            </w:drawing>
          </mc:Choice>
          <mc:Fallback>
            <w:pict>
              <v:rect id="0000e9" o:spid="_x0000_s1026" o:spt="1" style="position:absolute;left:0pt;margin-left:-9pt;margin-top:0pt;height:39.4pt;width:72pt;z-index:251679744;mso-width-relative:page;mso-height-relative:page;" filled="f" stroked="f" coordsize="21600,21600" o:gfxdata="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yReOo9gAAAAHAQAADwAAAAAAAAABACAAAAAiAAAA&#10;ZHJzL2Rvd25yZXYueG1sUEsBAhQAFAAAAAgAh07iQFZUO6iVAQAAOAMAAA4AAAAAAAAAAQAgAAAA&#10;JwEAAGRycy9lMm9Eb2MueG1sUEsFBgAAAAAGAAYAWQEAAC4FAAAAAA==&#10;">
                <v:fill on="f" focussize="0,0"/>
                <v:stroke on="f"/>
                <v:imagedata o:title=""/>
                <o:lock v:ext="edit" aspectratio="f"/>
                <v:textbox>
                  <w:txbxContent>
                    <w:p w14:paraId="6A55DEFF">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承包人现场查勘</w:t>
                      </w:r>
                    </w:p>
                  </w:txbxContent>
                </v:textbox>
              </v:rect>
            </w:pict>
          </mc:Fallback>
        </mc:AlternateContent>
      </w:r>
      <w:r>
        <w:rPr>
          <w:rFonts w:hint="eastAsia" w:hAnsi="宋体" w:eastAsia="宋体" w:cs="宋体"/>
          <w:color w:val="auto"/>
          <w:sz w:val="24"/>
          <w:szCs w:val="24"/>
          <w:highlight w:val="none"/>
        </w:rPr>
        <w:t>承包人应依据发包人按照第19.2款第（4）点规定提供的资料和自己对现场查勘来编制投标文件，并对发包人提供上述资料的理解、推断和应用负责。因承包人未能充分查勘、了解以下情况或未能充分估计以下情况所可能产生后果的，承包人承担由此增加的费用和（或）延误的工期。承包人的投标文件应被认为已经考虑了现场及其周围环境的影响，包括但不限于以下内容：</w:t>
      </w:r>
    </w:p>
    <w:p w14:paraId="56B3DF22">
      <w:pPr>
        <w:pStyle w:val="22"/>
        <w:adjustRightInd w:val="0"/>
        <w:snapToGrid w:val="0"/>
        <w:spacing w:line="300" w:lineRule="auto"/>
        <w:ind w:left="1619"/>
        <w:rPr>
          <w:rFonts w:hint="eastAsia" w:hAnsi="宋体" w:eastAsia="宋体" w:cs="宋体"/>
          <w:color w:val="auto"/>
          <w:sz w:val="24"/>
          <w:szCs w:val="24"/>
          <w:highlight w:val="none"/>
        </w:rPr>
      </w:pPr>
      <w:r>
        <w:rPr>
          <w:rFonts w:hint="eastAsia" w:hAnsi="宋体" w:eastAsia="宋体" w:cs="宋体"/>
          <w:color w:val="auto"/>
          <w:sz w:val="24"/>
          <w:szCs w:val="24"/>
          <w:highlight w:val="none"/>
        </w:rPr>
        <w:t>（1）现场地质情况及地形地貌特征；</w:t>
      </w:r>
    </w:p>
    <w:p w14:paraId="091BA916">
      <w:pPr>
        <w:pStyle w:val="22"/>
        <w:adjustRightInd w:val="0"/>
        <w:snapToGrid w:val="0"/>
        <w:spacing w:line="300" w:lineRule="auto"/>
        <w:ind w:left="1619"/>
        <w:rPr>
          <w:rFonts w:hint="eastAsia" w:hAnsi="宋体" w:eastAsia="宋体" w:cs="宋体"/>
          <w:color w:val="auto"/>
          <w:sz w:val="24"/>
          <w:szCs w:val="24"/>
          <w:highlight w:val="none"/>
        </w:rPr>
      </w:pPr>
      <w:r>
        <w:rPr>
          <w:rFonts w:hint="eastAsia" w:hAnsi="宋体" w:eastAsia="宋体" w:cs="宋体"/>
          <w:color w:val="auto"/>
          <w:sz w:val="24"/>
          <w:szCs w:val="24"/>
          <w:highlight w:val="none"/>
        </w:rPr>
        <w:t>（2）水文和气候条件；</w:t>
      </w:r>
    </w:p>
    <w:p w14:paraId="46181DC1">
      <w:pPr>
        <w:pStyle w:val="22"/>
        <w:adjustRightInd w:val="0"/>
        <w:snapToGrid w:val="0"/>
        <w:spacing w:line="300" w:lineRule="auto"/>
        <w:ind w:left="1619"/>
        <w:rPr>
          <w:rFonts w:hint="eastAsia" w:hAnsi="宋体" w:eastAsia="宋体" w:cs="宋体"/>
          <w:color w:val="auto"/>
          <w:sz w:val="24"/>
          <w:szCs w:val="24"/>
          <w:highlight w:val="none"/>
        </w:rPr>
      </w:pPr>
      <w:r>
        <w:rPr>
          <w:rFonts w:hint="eastAsia" w:hAnsi="宋体" w:eastAsia="宋体" w:cs="宋体"/>
          <w:color w:val="auto"/>
          <w:sz w:val="24"/>
          <w:szCs w:val="24"/>
          <w:highlight w:val="none"/>
        </w:rPr>
        <w:t>（3）为实施、完成并保修合同工程所需的临时工程和措施项目；</w:t>
      </w:r>
    </w:p>
    <w:p w14:paraId="15AB0EE9">
      <w:pPr>
        <w:pStyle w:val="22"/>
        <w:tabs>
          <w:tab w:val="left" w:pos="2580"/>
        </w:tabs>
        <w:adjustRightInd w:val="0"/>
        <w:snapToGrid w:val="0"/>
        <w:spacing w:line="300" w:lineRule="auto"/>
        <w:ind w:left="1619"/>
        <w:rPr>
          <w:rFonts w:hint="eastAsia" w:hAnsi="宋体" w:eastAsia="宋体" w:cs="宋体"/>
          <w:color w:val="auto"/>
          <w:sz w:val="24"/>
          <w:szCs w:val="24"/>
          <w:highlight w:val="none"/>
        </w:rPr>
      </w:pPr>
      <w:r>
        <w:rPr>
          <w:rFonts w:hint="eastAsia" w:hAnsi="宋体" w:eastAsia="宋体" w:cs="宋体"/>
          <w:color w:val="auto"/>
          <w:sz w:val="24"/>
          <w:szCs w:val="24"/>
          <w:highlight w:val="none"/>
        </w:rPr>
        <w:t>（4）为实施、完成并保修合同工程所需的材料采购和加工、设备的采购，及所需的施工设备、周转性材料、人员和管理等；</w:t>
      </w:r>
    </w:p>
    <w:p w14:paraId="16AA8D98">
      <w:pPr>
        <w:pStyle w:val="22"/>
        <w:adjustRightInd w:val="0"/>
        <w:snapToGrid w:val="0"/>
        <w:spacing w:line="300" w:lineRule="auto"/>
        <w:ind w:left="1619"/>
        <w:rPr>
          <w:rFonts w:hint="eastAsia" w:hAnsi="宋体" w:eastAsia="宋体" w:cs="宋体"/>
          <w:color w:val="auto"/>
          <w:sz w:val="24"/>
          <w:szCs w:val="24"/>
          <w:highlight w:val="none"/>
        </w:rPr>
      </w:pPr>
      <w:r>
        <w:rPr>
          <w:rFonts w:hint="eastAsia" w:hAnsi="宋体" w:eastAsia="宋体" w:cs="宋体"/>
          <w:color w:val="auto"/>
          <w:sz w:val="24"/>
          <w:szCs w:val="24"/>
          <w:highlight w:val="none"/>
        </w:rPr>
        <w:t>（5）场地内外的交通情况及水、电、食宿供应条件；</w:t>
      </w:r>
    </w:p>
    <w:p w14:paraId="6A4F273D">
      <w:pPr>
        <w:pStyle w:val="22"/>
        <w:adjustRightInd w:val="0"/>
        <w:snapToGrid w:val="0"/>
        <w:spacing w:line="300" w:lineRule="auto"/>
        <w:ind w:left="1619"/>
        <w:rPr>
          <w:rFonts w:hint="eastAsia" w:hAnsi="宋体" w:eastAsia="宋体" w:cs="宋体"/>
          <w:color w:val="auto"/>
          <w:sz w:val="24"/>
          <w:szCs w:val="24"/>
          <w:highlight w:val="none"/>
        </w:rPr>
      </w:pPr>
      <w:r>
        <w:rPr>
          <w:rFonts w:hint="eastAsia" w:hAnsi="宋体" w:eastAsia="宋体" w:cs="宋体"/>
          <w:color w:val="auto"/>
          <w:sz w:val="24"/>
          <w:szCs w:val="24"/>
          <w:highlight w:val="none"/>
        </w:rPr>
        <w:t>（6）可能对投标报价有影响或起作用的其他情况。</w:t>
      </w:r>
    </w:p>
    <w:p w14:paraId="69C2DC60">
      <w:pPr>
        <w:pStyle w:val="22"/>
        <w:adjustRightInd w:val="0"/>
        <w:snapToGrid w:val="0"/>
        <w:spacing w:line="300" w:lineRule="auto"/>
        <w:ind w:right="-238"/>
        <w:rPr>
          <w:rFonts w:hint="eastAsia" w:hAnsi="宋体" w:eastAsia="宋体" w:cs="宋体"/>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0CB80060">
      <w:pPr>
        <w:pStyle w:val="4"/>
        <w:tabs>
          <w:tab w:val="left" w:pos="420"/>
        </w:tabs>
        <w:spacing w:line="300" w:lineRule="auto"/>
        <w:ind w:left="720"/>
        <w:rPr>
          <w:rFonts w:hint="eastAsia" w:ascii="宋体" w:hAnsi="宋体" w:eastAsia="宋体" w:cs="宋体"/>
          <w:color w:val="auto"/>
          <w:sz w:val="24"/>
          <w:szCs w:val="24"/>
          <w:highlight w:val="none"/>
        </w:rPr>
      </w:pPr>
      <w:bookmarkStart w:id="32" w:name="_Toc46860809"/>
      <w:bookmarkStart w:id="33" w:name="_Toc469383988"/>
      <w:r>
        <w:rPr>
          <w:rFonts w:hint="eastAsia" w:ascii="宋体" w:hAnsi="宋体" w:eastAsia="宋体" w:cs="宋体"/>
          <w:color w:val="auto"/>
          <w:sz w:val="24"/>
          <w:szCs w:val="24"/>
          <w:highlight w:val="none"/>
        </w:rPr>
        <w:t>9  招标错失的修正</w:t>
      </w:r>
      <w:bookmarkEnd w:id="32"/>
      <w:bookmarkEnd w:id="33"/>
    </w:p>
    <w:p w14:paraId="3643094C">
      <w:pPr>
        <w:pStyle w:val="22"/>
        <w:adjustRightInd w:val="0"/>
        <w:snapToGrid w:val="0"/>
        <w:spacing w:before="240" w:beforeLines="100" w:line="300" w:lineRule="auto"/>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80768"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1047" name="0000ea"/>
                <wp:cNvGraphicFramePr/>
                <a:graphic xmlns:a="http://schemas.openxmlformats.org/drawingml/2006/main">
                  <a:graphicData uri="http://schemas.microsoft.com/office/word/2010/wordprocessingShape">
                    <wps:wsp>
                      <wps:cNvSpPr/>
                      <wps:spPr>
                        <a:xfrm>
                          <a:off x="0" y="0"/>
                          <a:ext cx="914400" cy="792480"/>
                        </a:xfrm>
                        <a:prstGeom prst="rect">
                          <a:avLst/>
                        </a:prstGeom>
                        <a:ln>
                          <a:noFill/>
                        </a:ln>
                      </wps:spPr>
                      <wps:txbx>
                        <w:txbxContent>
                          <w:p w14:paraId="11852007">
                            <w:pPr>
                              <w:pStyle w:val="22"/>
                              <w:tabs>
                                <w:tab w:val="left" w:pos="2160"/>
                              </w:tabs>
                              <w:spacing w:before="192" w:beforeLines="80"/>
                              <w:rPr>
                                <w:rFonts w:hint="eastAsia" w:ascii="楷体_GB2312" w:hAnsi="宋体"/>
                                <w:color w:val="FF00FF"/>
                                <w:sz w:val="24"/>
                                <w:szCs w:val="24"/>
                              </w:rPr>
                            </w:pPr>
                            <w:r>
                              <w:rPr>
                                <w:rFonts w:hint="eastAsia" w:ascii="楷体_GB2312" w:hAnsi="宋体" w:cs="楷体_GB2312"/>
                                <w:b/>
                                <w:bCs/>
                                <w:color w:val="000000"/>
                                <w:sz w:val="18"/>
                                <w:szCs w:val="18"/>
                              </w:rPr>
                              <w:t>合同条款及格式完备性和义务</w:t>
                            </w:r>
                          </w:p>
                          <w:p w14:paraId="404AD6DA">
                            <w:pPr>
                              <w:rPr>
                                <w:rFonts w:hint="eastAsia"/>
                                <w:sz w:val="18"/>
                                <w:szCs w:val="18"/>
                              </w:rPr>
                            </w:pPr>
                          </w:p>
                        </w:txbxContent>
                      </wps:txbx>
                      <wps:bodyPr wrap="square"/>
                    </wps:wsp>
                  </a:graphicData>
                </a:graphic>
              </wp:anchor>
            </w:drawing>
          </mc:Choice>
          <mc:Fallback>
            <w:pict>
              <v:rect id="0000ea" o:spid="_x0000_s1026" o:spt="1" style="position:absolute;left:0pt;margin-left:-4.8pt;margin-top:31.35pt;height:62.4pt;width:72pt;z-index:251680768;mso-width-relative:page;mso-height-relative:page;" filled="f" stroked="f" coordsize="21600,21600" o:gfxdata="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rLkER2wAAAAkBAAAPAAAAAAAAAAEAIAAAACIA&#10;AABkcnMvZG93bnJldi54bWxQSwECFAAUAAAACACHTuJAb25L1JQBAAA4AwAADgAAAAAAAAABACAA&#10;AAAqAQAAZHJzL2Uyb0RvYy54bWxQSwUGAAAAAAYABgBZAQAAMAUAAAAA&#10;">
                <v:fill on="f" focussize="0,0"/>
                <v:stroke on="f"/>
                <v:imagedata o:title=""/>
                <o:lock v:ext="edit" aspectratio="f"/>
                <v:textbox>
                  <w:txbxContent>
                    <w:p w14:paraId="11852007">
                      <w:pPr>
                        <w:pStyle w:val="22"/>
                        <w:tabs>
                          <w:tab w:val="left" w:pos="2160"/>
                        </w:tabs>
                        <w:spacing w:before="192" w:beforeLines="80"/>
                        <w:rPr>
                          <w:rFonts w:hint="eastAsia" w:ascii="楷体_GB2312" w:hAnsi="宋体"/>
                          <w:color w:val="FF00FF"/>
                          <w:sz w:val="24"/>
                          <w:szCs w:val="24"/>
                        </w:rPr>
                      </w:pPr>
                      <w:r>
                        <w:rPr>
                          <w:rFonts w:hint="eastAsia" w:ascii="楷体_GB2312" w:hAnsi="宋体" w:cs="楷体_GB2312"/>
                          <w:b/>
                          <w:bCs/>
                          <w:color w:val="000000"/>
                          <w:sz w:val="18"/>
                          <w:szCs w:val="18"/>
                        </w:rPr>
                        <w:t>合同条款及格式完备性和义务</w:t>
                      </w:r>
                    </w:p>
                    <w:p w14:paraId="404AD6DA">
                      <w:pPr>
                        <w:rPr>
                          <w:rFonts w:hint="eastAsia"/>
                          <w:sz w:val="18"/>
                          <w:szCs w:val="18"/>
                        </w:rPr>
                      </w:pPr>
                    </w:p>
                  </w:txbxContent>
                </v:textbox>
              </v:rect>
            </w:pict>
          </mc:Fallback>
        </mc:AlternateContent>
      </w:r>
      <w:r>
        <w:rPr>
          <w:rFonts w:hint="eastAsia" w:hAnsi="宋体" w:eastAsia="宋体" w:cs="宋体"/>
          <w:b/>
          <w:bCs/>
          <w:color w:val="auto"/>
          <w:sz w:val="24"/>
          <w:szCs w:val="24"/>
          <w:highlight w:val="none"/>
        </w:rPr>
        <w:t xml:space="preserve">9.1  </w:t>
      </w:r>
    </w:p>
    <w:p w14:paraId="4664E7E2">
      <w:pPr>
        <w:pStyle w:val="22"/>
        <w:tabs>
          <w:tab w:val="left" w:pos="1980"/>
        </w:tabs>
        <w:spacing w:before="192" w:beforeLines="80" w:line="300" w:lineRule="auto"/>
        <w:ind w:left="1622"/>
        <w:rPr>
          <w:rFonts w:hint="eastAsia" w:hAnsi="宋体" w:eastAsia="宋体" w:cs="宋体"/>
          <w:color w:val="auto"/>
          <w:sz w:val="24"/>
          <w:szCs w:val="24"/>
          <w:highlight w:val="none"/>
        </w:rPr>
      </w:pPr>
      <w:r>
        <w:rPr>
          <w:rFonts w:hint="eastAsia" w:hAnsi="宋体" w:eastAsia="宋体" w:cs="宋体"/>
          <w:color w:val="auto"/>
          <w:sz w:val="24"/>
          <w:szCs w:val="24"/>
          <w:highlight w:val="none"/>
        </w:rPr>
        <w:t>发包人招标文件中的合同条款及格式，应被认为是正确的和公平的，并已包括了发包人履行本合同的全部义务，包括但不限于以下内容：</w:t>
      </w:r>
    </w:p>
    <w:p w14:paraId="06A81266">
      <w:pPr>
        <w:pStyle w:val="22"/>
        <w:tabs>
          <w:tab w:val="left" w:pos="2160"/>
        </w:tabs>
        <w:spacing w:line="300" w:lineRule="auto"/>
        <w:ind w:firstLine="1620" w:firstLineChars="675"/>
        <w:rPr>
          <w:rFonts w:hint="eastAsia" w:hAnsi="宋体" w:eastAsia="宋体" w:cs="宋体"/>
          <w:color w:val="auto"/>
          <w:sz w:val="24"/>
          <w:szCs w:val="24"/>
          <w:highlight w:val="none"/>
        </w:rPr>
      </w:pPr>
      <w:r>
        <w:rPr>
          <w:rFonts w:hint="eastAsia" w:hAnsi="宋体" w:eastAsia="宋体" w:cs="宋体"/>
          <w:color w:val="auto"/>
          <w:sz w:val="24"/>
          <w:szCs w:val="24"/>
          <w:highlight w:val="none"/>
        </w:rPr>
        <w:t>（1）支付工程款及其他应付款项的义务；</w:t>
      </w:r>
    </w:p>
    <w:p w14:paraId="77BFC4C1">
      <w:pPr>
        <w:pStyle w:val="22"/>
        <w:tabs>
          <w:tab w:val="left" w:pos="2160"/>
        </w:tabs>
        <w:spacing w:line="300" w:lineRule="auto"/>
        <w:ind w:left="-61" w:leftChars="-29" w:firstLine="1680" w:firstLineChars="700"/>
        <w:rPr>
          <w:rFonts w:hint="eastAsia" w:hAnsi="宋体" w:eastAsia="宋体" w:cs="宋体"/>
          <w:color w:val="auto"/>
          <w:sz w:val="24"/>
          <w:szCs w:val="24"/>
          <w:highlight w:val="none"/>
        </w:rPr>
      </w:pPr>
      <w:r>
        <w:rPr>
          <w:rFonts w:hint="eastAsia" w:hAnsi="宋体" w:eastAsia="宋体" w:cs="宋体"/>
          <w:color w:val="auto"/>
          <w:sz w:val="24"/>
          <w:szCs w:val="24"/>
          <w:highlight w:val="none"/>
        </w:rPr>
        <w:t>（2）完成本合同第19.2款约定工作的义务；</w:t>
      </w:r>
    </w:p>
    <w:p w14:paraId="67D9C98B">
      <w:pPr>
        <w:pStyle w:val="22"/>
        <w:tabs>
          <w:tab w:val="left" w:pos="2160"/>
        </w:tabs>
        <w:spacing w:line="300" w:lineRule="auto"/>
        <w:ind w:left="-61" w:leftChars="-29" w:firstLine="1680" w:firstLineChars="700"/>
        <w:rPr>
          <w:rFonts w:hint="eastAsia" w:hAnsi="宋体" w:eastAsia="宋体" w:cs="宋体"/>
          <w:color w:val="auto"/>
          <w:sz w:val="24"/>
          <w:szCs w:val="24"/>
          <w:highlight w:val="none"/>
        </w:rPr>
      </w:pPr>
      <w:r>
        <w:rPr>
          <w:rFonts w:hint="eastAsia" w:hAnsi="宋体" w:eastAsia="宋体" w:cs="宋体"/>
          <w:color w:val="auto"/>
          <w:sz w:val="24"/>
          <w:szCs w:val="24"/>
          <w:highlight w:val="none"/>
        </w:rPr>
        <w:t>（3）修正不正确合同条款及格式的义务；</w:t>
      </w:r>
    </w:p>
    <w:p w14:paraId="1E1FE81A">
      <w:pPr>
        <w:pStyle w:val="22"/>
        <w:tabs>
          <w:tab w:val="left" w:pos="2160"/>
        </w:tabs>
        <w:spacing w:line="300" w:lineRule="auto"/>
        <w:ind w:left="-61" w:leftChars="-29" w:firstLine="1680" w:firstLineChars="700"/>
        <w:rPr>
          <w:rFonts w:hint="eastAsia" w:hAnsi="宋体" w:eastAsia="宋体" w:cs="宋体"/>
          <w:color w:val="auto"/>
          <w:sz w:val="24"/>
          <w:szCs w:val="24"/>
          <w:highlight w:val="none"/>
        </w:rPr>
      </w:pPr>
      <w:r>
        <w:rPr>
          <w:rFonts w:hint="eastAsia" w:hAnsi="宋体" w:eastAsia="宋体" w:cs="宋体"/>
          <w:color w:val="auto"/>
          <w:sz w:val="24"/>
          <w:szCs w:val="24"/>
          <w:highlight w:val="none"/>
        </w:rPr>
        <w:t>（4）澄清并改正被认定有失公平的合同条款的义务；</w:t>
      </w:r>
    </w:p>
    <w:p w14:paraId="744A0B71">
      <w:pPr>
        <w:pStyle w:val="22"/>
        <w:tabs>
          <w:tab w:val="left" w:pos="2160"/>
        </w:tabs>
        <w:spacing w:line="300" w:lineRule="auto"/>
        <w:ind w:left="-61" w:leftChars="-29" w:firstLine="1680" w:firstLineChars="700"/>
        <w:rPr>
          <w:rFonts w:hint="eastAsia" w:hAnsi="宋体" w:eastAsia="宋体" w:cs="宋体"/>
          <w:b/>
          <w:bCs/>
          <w:color w:val="auto"/>
          <w:sz w:val="24"/>
          <w:szCs w:val="24"/>
          <w:highlight w:val="none"/>
        </w:rPr>
      </w:pPr>
      <w:r>
        <w:rPr>
          <w:rFonts w:hint="eastAsia" w:hAnsi="宋体" w:eastAsia="宋体" w:cs="宋体"/>
          <w:color w:val="auto"/>
          <w:sz w:val="24"/>
          <w:szCs w:val="24"/>
          <w:highlight w:val="none"/>
        </w:rPr>
        <w:t>（5）协助承包人实施、完成并保修合同工程的义务。</w:t>
      </w:r>
    </w:p>
    <w:p w14:paraId="1DEB63FA">
      <w:pPr>
        <w:pStyle w:val="22"/>
        <w:tabs>
          <w:tab w:val="left" w:pos="2160"/>
        </w:tabs>
        <w:spacing w:line="300" w:lineRule="auto"/>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81792"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1048" name="0000eb"/>
                <wp:cNvGraphicFramePr/>
                <a:graphic xmlns:a="http://schemas.openxmlformats.org/drawingml/2006/main">
                  <a:graphicData uri="http://schemas.microsoft.com/office/word/2010/wordprocessingShape">
                    <wps:wsp>
                      <wps:cNvSpPr/>
                      <wps:spPr>
                        <a:xfrm>
                          <a:off x="0" y="0"/>
                          <a:ext cx="914400" cy="829310"/>
                        </a:xfrm>
                        <a:prstGeom prst="rect">
                          <a:avLst/>
                        </a:prstGeom>
                        <a:ln>
                          <a:noFill/>
                        </a:ln>
                      </wps:spPr>
                      <wps:txbx>
                        <w:txbxContent>
                          <w:p w14:paraId="516A2D79">
                            <w:pPr>
                              <w:pStyle w:val="22"/>
                              <w:tabs>
                                <w:tab w:val="left" w:pos="2160"/>
                              </w:tabs>
                              <w:spacing w:before="192" w:beforeLines="80"/>
                              <w:rPr>
                                <w:rFonts w:hint="eastAsia" w:ascii="楷体_GB2312" w:hAnsi="宋体"/>
                                <w:color w:val="FF00FF"/>
                                <w:sz w:val="24"/>
                                <w:szCs w:val="24"/>
                              </w:rPr>
                            </w:pPr>
                            <w:r>
                              <w:rPr>
                                <w:rFonts w:hint="eastAsia" w:ascii="楷体_GB2312" w:hAnsi="宋体" w:cs="楷体_GB2312"/>
                                <w:b/>
                                <w:bCs/>
                                <w:color w:val="000000"/>
                                <w:sz w:val="18"/>
                                <w:szCs w:val="18"/>
                              </w:rPr>
                              <w:t>工程量清单准确性和修正</w:t>
                            </w:r>
                          </w:p>
                          <w:p w14:paraId="164CD884">
                            <w:pPr>
                              <w:rPr>
                                <w:rFonts w:hint="eastAsia"/>
                                <w:sz w:val="18"/>
                                <w:szCs w:val="18"/>
                              </w:rPr>
                            </w:pPr>
                          </w:p>
                        </w:txbxContent>
                      </wps:txbx>
                      <wps:bodyPr wrap="square"/>
                    </wps:wsp>
                  </a:graphicData>
                </a:graphic>
              </wp:anchor>
            </w:drawing>
          </mc:Choice>
          <mc:Fallback>
            <w:pict>
              <v:rect id="0000eb" o:spid="_x0000_s1026" o:spt="1" style="position:absolute;left:0pt;margin-left:3.55pt;margin-top:14.75pt;height:65.3pt;width:72pt;z-index:251681792;mso-width-relative:page;mso-height-relative:page;" filled="f" stroked="f" coordsize="21600,21600" o:gfxdata="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NbVsItkAAAAIAQAADwAAAAAAAAABACAAAAAiAAAA&#10;ZHJzL2Rvd25yZXYueG1sUEsBAhQAFAAAAAgAh07iQGtowgKUAQAAOAMAAA4AAAAAAAAAAQAgAAAA&#10;KAEAAGRycy9lMm9Eb2MueG1sUEsFBgAAAAAGAAYAWQEAAC4FAAAAAA==&#10;">
                <v:fill on="f" focussize="0,0"/>
                <v:stroke on="f"/>
                <v:imagedata o:title=""/>
                <o:lock v:ext="edit" aspectratio="f"/>
                <v:textbox>
                  <w:txbxContent>
                    <w:p w14:paraId="516A2D79">
                      <w:pPr>
                        <w:pStyle w:val="22"/>
                        <w:tabs>
                          <w:tab w:val="left" w:pos="2160"/>
                        </w:tabs>
                        <w:spacing w:before="192" w:beforeLines="80"/>
                        <w:rPr>
                          <w:rFonts w:hint="eastAsia" w:ascii="楷体_GB2312" w:hAnsi="宋体"/>
                          <w:color w:val="FF00FF"/>
                          <w:sz w:val="24"/>
                          <w:szCs w:val="24"/>
                        </w:rPr>
                      </w:pPr>
                      <w:r>
                        <w:rPr>
                          <w:rFonts w:hint="eastAsia" w:ascii="楷体_GB2312" w:hAnsi="宋体" w:cs="楷体_GB2312"/>
                          <w:b/>
                          <w:bCs/>
                          <w:color w:val="000000"/>
                          <w:sz w:val="18"/>
                          <w:szCs w:val="18"/>
                        </w:rPr>
                        <w:t>工程量清单准确性和修正</w:t>
                      </w:r>
                    </w:p>
                    <w:p w14:paraId="164CD884">
                      <w:pPr>
                        <w:rPr>
                          <w:rFonts w:hint="eastAsia"/>
                          <w:sz w:val="18"/>
                          <w:szCs w:val="18"/>
                        </w:rPr>
                      </w:pPr>
                    </w:p>
                  </w:txbxContent>
                </v:textbox>
              </v:rect>
            </w:pict>
          </mc:Fallback>
        </mc:AlternateContent>
      </w:r>
      <w:r>
        <w:rPr>
          <w:rFonts w:hint="eastAsia" w:hAnsi="宋体" w:eastAsia="宋体" w:cs="宋体"/>
          <w:b/>
          <w:bCs/>
          <w:color w:val="auto"/>
          <w:sz w:val="24"/>
          <w:szCs w:val="24"/>
          <w:highlight w:val="none"/>
        </w:rPr>
        <w:t xml:space="preserve">9.2  </w:t>
      </w:r>
      <w:r>
        <w:rPr>
          <w:rFonts w:hint="eastAsia" w:hAnsi="宋体" w:eastAsia="宋体" w:cs="宋体"/>
          <w:b/>
          <w:bCs/>
          <w:color w:val="auto"/>
          <w:sz w:val="24"/>
          <w:szCs w:val="24"/>
          <w:highlight w:val="none"/>
          <w:u w:val="dotted"/>
        </w:rPr>
        <w:t xml:space="preserve">                                                                               </w:t>
      </w:r>
    </w:p>
    <w:p w14:paraId="4A2A2C76">
      <w:pPr>
        <w:pStyle w:val="22"/>
        <w:tabs>
          <w:tab w:val="left" w:pos="2160"/>
        </w:tabs>
        <w:spacing w:line="300" w:lineRule="auto"/>
        <w:ind w:left="1799" w:leftChars="828" w:hanging="60" w:hangingChars="25"/>
        <w:rPr>
          <w:rFonts w:hint="eastAsia" w:hAnsi="宋体" w:eastAsia="宋体" w:cs="宋体"/>
          <w:color w:val="auto"/>
          <w:sz w:val="24"/>
          <w:szCs w:val="24"/>
          <w:highlight w:val="none"/>
        </w:rPr>
      </w:pPr>
      <w:r>
        <w:rPr>
          <w:rFonts w:hint="eastAsia" w:hAnsi="宋体" w:eastAsia="宋体" w:cs="宋体"/>
          <w:color w:val="auto"/>
          <w:sz w:val="24"/>
          <w:szCs w:val="24"/>
          <w:highlight w:val="none"/>
        </w:rPr>
        <w:t>发包人招标文件提供的工程量清单及其招标控制价等资料，应被认为是准确的和完整的。当出现下列情形之一的，发包人应及时予以修正，并相应调整合同价款：</w:t>
      </w:r>
    </w:p>
    <w:p w14:paraId="28A89F6F">
      <w:pPr>
        <w:pStyle w:val="22"/>
        <w:tabs>
          <w:tab w:val="left" w:pos="2160"/>
        </w:tabs>
        <w:spacing w:line="300" w:lineRule="auto"/>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（1）施工设计图纸发生变化的；</w:t>
      </w:r>
    </w:p>
    <w:p w14:paraId="05AF3070">
      <w:pPr>
        <w:pStyle w:val="22"/>
        <w:tabs>
          <w:tab w:val="left" w:pos="2160"/>
        </w:tabs>
        <w:spacing w:line="300" w:lineRule="auto"/>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（2）出现第68.2款规定调整合同价款事件的；</w:t>
      </w:r>
    </w:p>
    <w:p w14:paraId="13641020">
      <w:pPr>
        <w:pStyle w:val="22"/>
        <w:tabs>
          <w:tab w:val="left" w:pos="2160"/>
        </w:tabs>
        <w:spacing w:line="300" w:lineRule="auto"/>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（3）未按照国家、省有关计价规定编制的其它情形。</w:t>
      </w:r>
    </w:p>
    <w:p w14:paraId="73F6451E">
      <w:pPr>
        <w:pStyle w:val="22"/>
        <w:tabs>
          <w:tab w:val="left" w:pos="2160"/>
        </w:tabs>
        <w:spacing w:line="300" w:lineRule="auto"/>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（4）工程量清单存在缺项、漏项的；</w:t>
      </w:r>
    </w:p>
    <w:p w14:paraId="450B5000">
      <w:pPr>
        <w:pStyle w:val="22"/>
        <w:adjustRightInd w:val="0"/>
        <w:snapToGrid w:val="0"/>
        <w:spacing w:line="300" w:lineRule="auto"/>
        <w:ind w:right="-238"/>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35F6AD9B">
      <w:pPr>
        <w:pStyle w:val="4"/>
        <w:tabs>
          <w:tab w:val="left" w:pos="420"/>
        </w:tabs>
        <w:spacing w:line="300" w:lineRule="auto"/>
        <w:ind w:left="720"/>
        <w:rPr>
          <w:rFonts w:hint="eastAsia" w:ascii="宋体" w:hAnsi="宋体" w:eastAsia="宋体" w:cs="宋体"/>
          <w:color w:val="auto"/>
          <w:sz w:val="24"/>
          <w:szCs w:val="24"/>
          <w:highlight w:val="none"/>
        </w:rPr>
      </w:pPr>
      <w:bookmarkStart w:id="34" w:name="_Toc469383989"/>
      <w:bookmarkStart w:id="35" w:name="_Toc46860810"/>
      <w:r>
        <w:rPr>
          <w:rFonts w:hint="eastAsia" w:ascii="宋体" w:hAnsi="宋体" w:eastAsia="宋体" w:cs="宋体"/>
          <w:color w:val="auto"/>
          <w:sz w:val="24"/>
          <w:szCs w:val="24"/>
          <w:highlight w:val="none"/>
        </w:rPr>
        <w:t>10  投标文件的完备性</w:t>
      </w:r>
      <w:bookmarkEnd w:id="34"/>
      <w:bookmarkEnd w:id="35"/>
    </w:p>
    <w:p w14:paraId="2106AA75">
      <w:pPr>
        <w:pStyle w:val="22"/>
        <w:tabs>
          <w:tab w:val="left" w:pos="1410"/>
        </w:tabs>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82816"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1049" name="0000ec"/>
                <wp:cNvGraphicFramePr/>
                <a:graphic xmlns:a="http://schemas.openxmlformats.org/drawingml/2006/main">
                  <a:graphicData uri="http://schemas.microsoft.com/office/word/2010/wordprocessingShape">
                    <wps:wsp>
                      <wps:cNvSpPr/>
                      <wps:spPr>
                        <a:xfrm>
                          <a:off x="0" y="0"/>
                          <a:ext cx="914400" cy="812800"/>
                        </a:xfrm>
                        <a:prstGeom prst="rect">
                          <a:avLst/>
                        </a:prstGeom>
                        <a:ln>
                          <a:noFill/>
                        </a:ln>
                      </wps:spPr>
                      <wps:txbx>
                        <w:txbxContent>
                          <w:p w14:paraId="300C4B4C">
                            <w:pPr>
                              <w:pStyle w:val="22"/>
                              <w:tabs>
                                <w:tab w:val="left" w:pos="2160"/>
                              </w:tabs>
                              <w:spacing w:before="192" w:beforeLines="80"/>
                              <w:rPr>
                                <w:rFonts w:hint="eastAsia" w:ascii="楷体_GB2312" w:hAnsi="宋体"/>
                                <w:b/>
                                <w:bCs/>
                                <w:color w:val="000000"/>
                                <w:sz w:val="18"/>
                                <w:szCs w:val="18"/>
                              </w:rPr>
                            </w:pPr>
                            <w:r>
                              <w:rPr>
                                <w:rFonts w:hint="eastAsia" w:ascii="楷体_GB2312" w:hAnsi="宋体" w:cs="楷体_GB2312"/>
                                <w:b/>
                                <w:bCs/>
                                <w:color w:val="000000"/>
                                <w:sz w:val="18"/>
                                <w:szCs w:val="18"/>
                              </w:rPr>
                              <w:t>投标文件完备性和义务</w:t>
                            </w:r>
                          </w:p>
                        </w:txbxContent>
                      </wps:txbx>
                      <wps:bodyPr wrap="square"/>
                    </wps:wsp>
                  </a:graphicData>
                </a:graphic>
              </wp:anchor>
            </w:drawing>
          </mc:Choice>
          <mc:Fallback>
            <w:pict>
              <v:rect id="0000ec" o:spid="_x0000_s1026" o:spt="1" style="position:absolute;left:0pt;margin-left:-9pt;margin-top:7.25pt;height:64pt;width:72pt;z-index:251682816;mso-width-relative:page;mso-height-relative:page;" filled="f" stroked="f" coordsize="21600,21600" o:gfxdata="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&#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0hjUr2QAAAAoBAAAPAAAAAAAAAAEAIAAAACIAAABk&#10;cnMvZG93bnJldi54bWxQSwECFAAUAAAACACHTuJA3OiE+pMBAAA4AwAADgAAAAAAAAABACAAAAAo&#10;AQAAZHJzL2Uyb0RvYy54bWxQSwUGAAAAAAYABgBZAQAALQUAAAAA&#10;">
                <v:fill on="f" focussize="0,0"/>
                <v:stroke on="f"/>
                <v:imagedata o:title=""/>
                <o:lock v:ext="edit" aspectratio="f"/>
                <v:textbox>
                  <w:txbxContent>
                    <w:p w14:paraId="300C4B4C">
                      <w:pPr>
                        <w:pStyle w:val="22"/>
                        <w:tabs>
                          <w:tab w:val="left" w:pos="2160"/>
                        </w:tabs>
                        <w:spacing w:before="192" w:beforeLines="80"/>
                        <w:rPr>
                          <w:rFonts w:hint="eastAsia" w:ascii="楷体_GB2312" w:hAnsi="宋体"/>
                          <w:b/>
                          <w:bCs/>
                          <w:color w:val="000000"/>
                          <w:sz w:val="18"/>
                          <w:szCs w:val="18"/>
                        </w:rPr>
                      </w:pPr>
                      <w:r>
                        <w:rPr>
                          <w:rFonts w:hint="eastAsia" w:ascii="楷体_GB2312" w:hAnsi="宋体" w:cs="楷体_GB2312"/>
                          <w:b/>
                          <w:bCs/>
                          <w:color w:val="000000"/>
                          <w:sz w:val="18"/>
                          <w:szCs w:val="18"/>
                        </w:rPr>
                        <w:t>投标文件完备性和义务</w:t>
                      </w:r>
                    </w:p>
                  </w:txbxContent>
                </v:textbox>
              </v:rect>
            </w:pict>
          </mc:Fallback>
        </mc:AlternateContent>
      </w:r>
      <w:r>
        <w:rPr>
          <w:rFonts w:hint="eastAsia" w:hAnsi="宋体" w:eastAsia="宋体" w:cs="宋体"/>
          <w:b/>
          <w:bCs/>
          <w:color w:val="auto"/>
          <w:sz w:val="24"/>
          <w:szCs w:val="24"/>
          <w:highlight w:val="none"/>
        </w:rPr>
        <w:t xml:space="preserve">10.1                                      </w:t>
      </w:r>
    </w:p>
    <w:p w14:paraId="428F24CF">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承包人投标文件中的工程量清单所填单价和合价，应被认为是正确的和完备的，并已包括了承包人履行本合同的全部义务，包括但不限于以下内容：</w:t>
      </w:r>
    </w:p>
    <w:p w14:paraId="2167A0A1">
      <w:pPr>
        <w:pStyle w:val="22"/>
        <w:adjustRightInd w:val="0"/>
        <w:snapToGrid w:val="0"/>
        <w:spacing w:line="300" w:lineRule="auto"/>
        <w:ind w:right="-240"/>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（1）提供材料和工程设备、服务的义务及处理意外事件的义务； </w:t>
      </w:r>
    </w:p>
    <w:p w14:paraId="068D787A">
      <w:pPr>
        <w:pStyle w:val="22"/>
        <w:adjustRightInd w:val="0"/>
        <w:snapToGrid w:val="0"/>
        <w:spacing w:line="300" w:lineRule="auto"/>
        <w:ind w:right="-240"/>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（2）实施和完成合同工程的义务；</w:t>
      </w:r>
    </w:p>
    <w:p w14:paraId="519619F7">
      <w:pPr>
        <w:pStyle w:val="22"/>
        <w:adjustRightInd w:val="0"/>
        <w:snapToGrid w:val="0"/>
        <w:spacing w:line="300" w:lineRule="auto"/>
        <w:ind w:right="-240"/>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（3）工程质量保修的一切义务。</w:t>
      </w:r>
    </w:p>
    <w:p w14:paraId="55C0D3BB">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10.2  </w:t>
      </w:r>
      <w:r>
        <w:rPr>
          <w:rFonts w:hint="eastAsia" w:hAnsi="宋体" w:eastAsia="宋体" w:cs="宋体"/>
          <w:b/>
          <w:bCs/>
          <w:color w:val="auto"/>
          <w:sz w:val="24"/>
          <w:szCs w:val="24"/>
          <w:highlight w:val="none"/>
          <w:u w:val="dotted"/>
        </w:rPr>
        <w:t xml:space="preserve">                                                                                                        </w:t>
      </w:r>
      <w:r>
        <w:rPr>
          <w:rFonts w:hint="eastAsia" w:hAnsi="宋体" w:eastAsia="宋体" w:cs="宋体"/>
          <w:b/>
          <w:bCs/>
          <w:color w:val="auto"/>
          <w:sz w:val="24"/>
          <w:szCs w:val="24"/>
          <w:highlight w:val="none"/>
        </w:rPr>
        <w:t xml:space="preserve"> </w:t>
      </w:r>
    </w:p>
    <w:p w14:paraId="59C0FF06">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83840"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1050" name="0000ed"/>
                <wp:cNvGraphicFramePr/>
                <a:graphic xmlns:a="http://schemas.openxmlformats.org/drawingml/2006/main">
                  <a:graphicData uri="http://schemas.microsoft.com/office/word/2010/wordprocessingShape">
                    <wps:wsp>
                      <wps:cNvSpPr/>
                      <wps:spPr>
                        <a:xfrm>
                          <a:off x="0" y="0"/>
                          <a:ext cx="914400" cy="455294"/>
                        </a:xfrm>
                        <a:prstGeom prst="rect">
                          <a:avLst/>
                        </a:prstGeom>
                        <a:ln>
                          <a:noFill/>
                        </a:ln>
                      </wps:spPr>
                      <wps:txbx>
                        <w:txbxContent>
                          <w:p w14:paraId="4587CDE5">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承包人报价的限制</w:t>
                            </w:r>
                          </w:p>
                        </w:txbxContent>
                      </wps:txbx>
                      <wps:bodyPr wrap="square"/>
                    </wps:wsp>
                  </a:graphicData>
                </a:graphic>
              </wp:anchor>
            </w:drawing>
          </mc:Choice>
          <mc:Fallback>
            <w:pict>
              <v:rect id="0000ed" o:spid="_x0000_s1026" o:spt="1" style="position:absolute;left:0pt;margin-left:-9pt;margin-top:0.65pt;height:35.85pt;width:72pt;z-index:251683840;mso-width-relative:page;mso-height-relative:page;" filled="f" stroked="f" coordsize="21600,21600" o:gfxdata="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&#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A2GDczYAAAACAEAAA8AAAAAAAAAAQAgAAAAIgAAAGRy&#10;cy9kb3ducmV2LnhtbFBLAQIUABQAAAAIAIdO4kBjv51lkwEAADgDAAAOAAAAAAAAAAEAIAAAACcB&#10;AABkcnMvZTJvRG9jLnhtbFBLBQYAAAAABgAGAFkBAAAsBQAAAAA=&#10;">
                <v:fill on="f" focussize="0,0"/>
                <v:stroke on="f"/>
                <v:imagedata o:title=""/>
                <o:lock v:ext="edit" aspectratio="f"/>
                <v:textbox>
                  <w:txbxContent>
                    <w:p w14:paraId="4587CDE5">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承包人报价的限制</w:t>
                      </w:r>
                    </w:p>
                  </w:txbxContent>
                </v:textbox>
              </v:rect>
            </w:pict>
          </mc:Fallback>
        </mc:AlternateContent>
      </w:r>
      <w:r>
        <w:rPr>
          <w:rFonts w:hint="eastAsia" w:hAnsi="宋体" w:eastAsia="宋体" w:cs="宋体"/>
          <w:color w:val="auto"/>
          <w:sz w:val="24"/>
          <w:szCs w:val="24"/>
          <w:highlight w:val="none"/>
        </w:rPr>
        <w:t>承包人投标文件中的工程量清单中没有填入单价或合价的清单项目，应认为该项目价款已包含在工程量清单的其他项目的单价或合价中，发包人将不另行支付。</w:t>
      </w:r>
    </w:p>
    <w:p w14:paraId="71AE6B45">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10.3  </w:t>
      </w:r>
      <w:r>
        <w:rPr>
          <w:rFonts w:hint="eastAsia" w:hAnsi="宋体" w:eastAsia="宋体" w:cs="宋体"/>
          <w:b/>
          <w:bCs/>
          <w:color w:val="auto"/>
          <w:sz w:val="24"/>
          <w:szCs w:val="24"/>
          <w:highlight w:val="none"/>
          <w:u w:val="dotted"/>
        </w:rPr>
        <w:t xml:space="preserve">                                                                                                        </w:t>
      </w:r>
      <w:r>
        <w:rPr>
          <w:rFonts w:hint="eastAsia" w:hAnsi="宋体" w:eastAsia="宋体" w:cs="宋体"/>
          <w:b/>
          <w:bCs/>
          <w:color w:val="auto"/>
          <w:sz w:val="24"/>
          <w:szCs w:val="24"/>
          <w:highlight w:val="none"/>
        </w:rPr>
        <w:t xml:space="preserve"> </w:t>
      </w:r>
    </w:p>
    <w:p w14:paraId="480EFA90">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84864"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1051" name="0000ee"/>
                <wp:cNvGraphicFramePr/>
                <a:graphic xmlns:a="http://schemas.openxmlformats.org/drawingml/2006/main">
                  <a:graphicData uri="http://schemas.microsoft.com/office/word/2010/wordprocessingShape">
                    <wps:wsp>
                      <wps:cNvSpPr/>
                      <wps:spPr>
                        <a:xfrm>
                          <a:off x="0" y="0"/>
                          <a:ext cx="914400" cy="455294"/>
                        </a:xfrm>
                        <a:prstGeom prst="rect">
                          <a:avLst/>
                        </a:prstGeom>
                        <a:ln>
                          <a:noFill/>
                        </a:ln>
                      </wps:spPr>
                      <wps:txbx>
                        <w:txbxContent>
                          <w:p w14:paraId="54DC1D47">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算术性错误的调整</w:t>
                            </w:r>
                          </w:p>
                        </w:txbxContent>
                      </wps:txbx>
                      <wps:bodyPr wrap="square"/>
                    </wps:wsp>
                  </a:graphicData>
                </a:graphic>
              </wp:anchor>
            </w:drawing>
          </mc:Choice>
          <mc:Fallback>
            <w:pict>
              <v:rect id="0000ee" o:spid="_x0000_s1026" o:spt="1" style="position:absolute;left:0pt;margin-left:-9pt;margin-top:0.65pt;height:35.85pt;width:72pt;z-index:251684864;mso-width-relative:page;mso-height-relative:page;" filled="f" stroked="f" coordsize="21600,21600" o:gfxdata="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&#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A2GDczYAAAACAEAAA8AAAAAAAAAAQAgAAAAIgAAAGRy&#10;cy9kb3ducmV2LnhtbFBLAQIUABQAAAAIAIdO4kDQ4iAPkwEAADgDAAAOAAAAAAAAAAEAIAAAACcB&#10;AABkcnMvZTJvRG9jLnhtbFBLBQYAAAAABgAGAFkBAAAsBQAAAAA=&#10;">
                <v:fill on="f" focussize="0,0"/>
                <v:stroke on="f"/>
                <v:imagedata o:title=""/>
                <o:lock v:ext="edit" aspectratio="f"/>
                <v:textbox>
                  <w:txbxContent>
                    <w:p w14:paraId="54DC1D47">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算术性错误的调整</w:t>
                      </w:r>
                    </w:p>
                  </w:txbxContent>
                </v:textbox>
              </v:rect>
            </w:pict>
          </mc:Fallback>
        </mc:AlternateContent>
      </w:r>
      <w:r>
        <w:rPr>
          <w:rFonts w:hint="eastAsia" w:hAnsi="宋体" w:eastAsia="宋体" w:cs="宋体"/>
          <w:color w:val="auto"/>
          <w:sz w:val="24"/>
          <w:szCs w:val="24"/>
          <w:highlight w:val="none"/>
        </w:rPr>
        <w:t>承包人投标文件中出现算术性错误，导致其实际总造价与报价总金额不一致时，合同双方当事人可按照国家、省有关规定予以修正，并相应调整合同价款。</w:t>
      </w:r>
    </w:p>
    <w:p w14:paraId="184E1E1D">
      <w:pPr>
        <w:pStyle w:val="22"/>
        <w:adjustRightInd w:val="0"/>
        <w:snapToGrid w:val="0"/>
        <w:spacing w:line="300" w:lineRule="auto"/>
        <w:ind w:left="1626" w:leftChars="1" w:hanging="1624" w:hangingChars="674"/>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u w:val="single"/>
        </w:rPr>
        <w:t xml:space="preserve">                                                                                                 </w:t>
      </w:r>
    </w:p>
    <w:p w14:paraId="2BF42A53">
      <w:pPr>
        <w:pStyle w:val="22"/>
        <w:adjustRightInd w:val="0"/>
        <w:snapToGrid w:val="0"/>
        <w:spacing w:before="240" w:beforeLines="100" w:line="300" w:lineRule="auto"/>
        <w:ind w:firstLine="601"/>
        <w:rPr>
          <w:rFonts w:hint="eastAsia" w:hAnsi="宋体" w:eastAsia="宋体" w:cs="宋体"/>
          <w:b/>
          <w:bCs/>
          <w:color w:val="auto"/>
          <w:sz w:val="24"/>
          <w:szCs w:val="24"/>
          <w:highlight w:val="none"/>
        </w:rPr>
      </w:pPr>
      <w:bookmarkStart w:id="36" w:name="_Toc469383990"/>
      <w:bookmarkStart w:id="37" w:name="_Toc46860811"/>
    </w:p>
    <w:p w14:paraId="2DD5305B">
      <w:pPr>
        <w:pStyle w:val="22"/>
        <w:adjustRightInd w:val="0"/>
        <w:snapToGrid w:val="0"/>
        <w:spacing w:before="240" w:beforeLines="100" w:line="300" w:lineRule="auto"/>
        <w:outlineLvl w:val="2"/>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11  文物和地下障碍物</w:t>
      </w:r>
      <w:bookmarkEnd w:id="36"/>
      <w:bookmarkEnd w:id="37"/>
    </w:p>
    <w:p w14:paraId="42D11A48">
      <w:pPr>
        <w:pStyle w:val="22"/>
        <w:adjustRightInd w:val="0"/>
        <w:snapToGrid w:val="0"/>
        <w:spacing w:line="300" w:lineRule="auto"/>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 xml:space="preserve">11.1  </w:t>
      </w:r>
      <w:r>
        <w:rPr>
          <w:rFonts w:hint="eastAsia" w:hAnsi="宋体" w:eastAsia="宋体" w:cs="宋体"/>
          <w:color w:val="auto"/>
          <w:sz w:val="24"/>
          <w:szCs w:val="24"/>
          <w:highlight w:val="none"/>
        </w:rPr>
        <w:t xml:space="preserve">                                     </w:t>
      </w:r>
    </w:p>
    <w:p w14:paraId="06B5FE21">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85888"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1052" name="0000ef"/>
                <wp:cNvGraphicFramePr/>
                <a:graphic xmlns:a="http://schemas.openxmlformats.org/drawingml/2006/main">
                  <a:graphicData uri="http://schemas.microsoft.com/office/word/2010/wordprocessingShape">
                    <wps:wsp>
                      <wps:cNvSpPr/>
                      <wps:spPr>
                        <a:xfrm>
                          <a:off x="0" y="0"/>
                          <a:ext cx="914400" cy="495300"/>
                        </a:xfrm>
                        <a:prstGeom prst="rect">
                          <a:avLst/>
                        </a:prstGeom>
                        <a:ln>
                          <a:noFill/>
                        </a:ln>
                      </wps:spPr>
                      <wps:txbx>
                        <w:txbxContent>
                          <w:p w14:paraId="3935332E">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文物化石等物品保护</w:t>
                            </w:r>
                          </w:p>
                        </w:txbxContent>
                      </wps:txbx>
                      <wps:bodyPr wrap="square"/>
                    </wps:wsp>
                  </a:graphicData>
                </a:graphic>
              </wp:anchor>
            </w:drawing>
          </mc:Choice>
          <mc:Fallback>
            <w:pict>
              <v:rect id="0000ef" o:spid="_x0000_s1026" o:spt="1" style="position:absolute;left:0pt;margin-left:-9pt;margin-top:-0.6pt;height:39pt;width:72pt;z-index:251685888;mso-width-relative:page;mso-height-relative:page;" filled="f" stroked="f" coordsize="21600,21600" o:gfxdata="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&#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2MBSfYAAAACQEAAA8AAAAAAAAAAQAgAAAAIgAAAGRy&#10;cy9kb3ducmV2LnhtbFBLAQIUABQAAAAIAIdO4kD+o++NkwEAADgDAAAOAAAAAAAAAAEAIAAAACcB&#10;AABkcnMvZTJvRG9jLnhtbFBLBQYAAAAABgAGAFkBAAAsBQAAAAA=&#10;">
                <v:fill on="f" focussize="0,0"/>
                <v:stroke on="f"/>
                <v:imagedata o:title=""/>
                <o:lock v:ext="edit" aspectratio="f"/>
                <v:textbox>
                  <w:txbxContent>
                    <w:p w14:paraId="3935332E">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文物化石等物品保护</w:t>
                      </w:r>
                    </w:p>
                  </w:txbxContent>
                </v:textbox>
              </v:rect>
            </w:pict>
          </mc:Fallback>
        </mc:AlternateContent>
      </w:r>
      <w:r>
        <w:rPr>
          <w:rFonts w:hint="eastAsia" w:hAnsi="宋体" w:eastAsia="宋体" w:cs="宋体"/>
          <w:color w:val="auto"/>
          <w:sz w:val="24"/>
          <w:szCs w:val="24"/>
          <w:highlight w:val="none"/>
        </w:rPr>
        <w:t>在施工现场发现的古墓、古建筑遗址等文物、古迹以及其他具有考古、地质研究等价值的遗迹、化石、钱币或物品，属于国家所有。一旦发现上述文物，承包人应立即保护好现场，防止任何人员移动或损坏上述文物，并于4小时内以书面形式通知监理工程师和发包人。监理工程师应在收到通知后立即指令承包人继续保护好现场，并在收到通知后24小时内报告当地文物管理部门，合同双方当事人应按照文物管理部门的要求采取妥善保护措施。发包人承担由此增加的费用和（或）工期延误，并向承包人支付合理利润。</w:t>
      </w:r>
    </w:p>
    <w:p w14:paraId="2EAE89E3">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如发现文物后隐瞒不报或报告不及时，导致上述文物丢失或遭受破坏的，由责任方赔偿损失，并承担相应的法律责任。</w:t>
      </w:r>
    </w:p>
    <w:p w14:paraId="7E0512C7">
      <w:pPr>
        <w:pStyle w:val="22"/>
        <w:adjustRightInd w:val="0"/>
        <w:snapToGrid w:val="0"/>
        <w:spacing w:line="300" w:lineRule="auto"/>
        <w:rPr>
          <w:rFonts w:hint="eastAsia" w:hAnsi="宋体" w:eastAsia="宋体" w:cs="宋体"/>
          <w:b/>
          <w:bCs/>
          <w:color w:val="auto"/>
          <w:sz w:val="24"/>
          <w:szCs w:val="24"/>
          <w:highlight w:val="none"/>
        </w:rPr>
      </w:pPr>
    </w:p>
    <w:p w14:paraId="1ADE8633">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86912"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1053" name="0000f0"/>
                <wp:cNvGraphicFramePr/>
                <a:graphic xmlns:a="http://schemas.openxmlformats.org/drawingml/2006/main">
                  <a:graphicData uri="http://schemas.microsoft.com/office/word/2010/wordprocessingShape">
                    <wps:wsp>
                      <wps:cNvSpPr/>
                      <wps:spPr>
                        <a:xfrm>
                          <a:off x="0" y="0"/>
                          <a:ext cx="914400" cy="495300"/>
                        </a:xfrm>
                        <a:prstGeom prst="rect">
                          <a:avLst/>
                        </a:prstGeom>
                        <a:ln>
                          <a:noFill/>
                        </a:ln>
                      </wps:spPr>
                      <wps:txbx>
                        <w:txbxContent>
                          <w:p w14:paraId="298B5055">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地下障碍物处置</w:t>
                            </w:r>
                          </w:p>
                        </w:txbxContent>
                      </wps:txbx>
                      <wps:bodyPr wrap="square"/>
                    </wps:wsp>
                  </a:graphicData>
                </a:graphic>
              </wp:anchor>
            </w:drawing>
          </mc:Choice>
          <mc:Fallback>
            <w:pict>
              <v:rect id="0000f0" o:spid="_x0000_s1026" o:spt="1" style="position:absolute;left:0pt;margin-left:-9pt;margin-top:18.35pt;height:39pt;width:72pt;z-index:251686912;mso-width-relative:page;mso-height-relative:page;" filled="f" stroked="f" coordsize="21600,21600" o:gfxdata="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N1YYtHbAAAACgEAAA8AAAAAAAAAAQAgAAAAIgAA&#10;AGRycy9kb3ducmV2LnhtbFBLAQIUABQAAAAIAIdO4kBVpTBWkwEAADgDAAAOAAAAAAAAAAEAIAAA&#10;ACoBAABkcnMvZTJvRG9jLnhtbFBLBQYAAAAABgAGAFkBAAAvBQAAAAA=&#10;">
                <v:fill on="f" focussize="0,0"/>
                <v:stroke on="f"/>
                <v:imagedata o:title=""/>
                <o:lock v:ext="edit" aspectratio="f"/>
                <v:textbox>
                  <w:txbxContent>
                    <w:p w14:paraId="298B5055">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地下障碍物处置</w:t>
                      </w:r>
                    </w:p>
                  </w:txbxContent>
                </v:textbox>
              </v:rect>
            </w:pict>
          </mc:Fallback>
        </mc:AlternateContent>
      </w:r>
      <w:r>
        <w:rPr>
          <w:rFonts w:hint="eastAsia" w:hAnsi="宋体" w:eastAsia="宋体" w:cs="宋体"/>
          <w:b/>
          <w:bCs/>
          <w:color w:val="auto"/>
          <w:sz w:val="24"/>
          <w:szCs w:val="24"/>
          <w:highlight w:val="none"/>
        </w:rPr>
        <w:t xml:space="preserve">11.2  </w:t>
      </w:r>
      <w:r>
        <w:rPr>
          <w:rFonts w:hint="eastAsia" w:hAnsi="宋体" w:eastAsia="宋体" w:cs="宋体"/>
          <w:b/>
          <w:bCs/>
          <w:color w:val="auto"/>
          <w:sz w:val="24"/>
          <w:szCs w:val="24"/>
          <w:highlight w:val="none"/>
          <w:u w:val="dotted"/>
        </w:rPr>
        <w:t xml:space="preserve">                                                                                                       </w:t>
      </w:r>
    </w:p>
    <w:p w14:paraId="27F7114E">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本合同已明确指出的地下障碍物（发包人招标文件提供的工程量清单有列明或提供的地质资料已明确反映的），应视为承包人在投标报价时已预见其对施工的影响，并已在合同价款中考虑。</w:t>
      </w:r>
    </w:p>
    <w:p w14:paraId="52696FF8">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本合同未有明确指出的地下障碍物（发包人招标文件提供的工程量清单没列明或提供的地质资料不能明确反映的），在施工过程遇到时，承包人应于8小时内以书面形式通知监理工程师和发包人，并提出处置方案。监理工程师在收到处置方案后24小时内予以确认或提出修正方案，并发出施工指令。承包人应按照监理工程师指令进行施工。发包人应承担由此增加的费用和（或）延误的工期，并向承包人支付合理利润。</w:t>
      </w:r>
    </w:p>
    <w:p w14:paraId="0D2E98E4">
      <w:pPr>
        <w:pStyle w:val="22"/>
        <w:adjustRightInd w:val="0"/>
        <w:snapToGrid w:val="0"/>
        <w:spacing w:line="300" w:lineRule="auto"/>
        <w:ind w:right="-238"/>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58505CCE">
      <w:pPr>
        <w:pStyle w:val="22"/>
        <w:tabs>
          <w:tab w:val="left" w:pos="162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38" w:name="_Toc469383991"/>
      <w:bookmarkStart w:id="39" w:name="_Toc46860812"/>
      <w:r>
        <w:rPr>
          <w:rFonts w:hint="eastAsia" w:hAnsi="宋体" w:eastAsia="宋体" w:cs="宋体"/>
          <w:b/>
          <w:bCs/>
          <w:color w:val="auto"/>
          <w:sz w:val="24"/>
          <w:szCs w:val="24"/>
          <w:highlight w:val="none"/>
        </w:rPr>
        <w:t>12  事故处理</w:t>
      </w:r>
      <w:bookmarkEnd w:id="38"/>
      <w:bookmarkEnd w:id="39"/>
    </w:p>
    <w:p w14:paraId="52A91CE9">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87936"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1054" name="0000f1"/>
                <wp:cNvGraphicFramePr/>
                <a:graphic xmlns:a="http://schemas.openxmlformats.org/drawingml/2006/main">
                  <a:graphicData uri="http://schemas.microsoft.com/office/word/2010/wordprocessingShape">
                    <wps:wsp>
                      <wps:cNvSpPr/>
                      <wps:spPr>
                        <a:xfrm>
                          <a:off x="0" y="0"/>
                          <a:ext cx="1028700" cy="523875"/>
                        </a:xfrm>
                        <a:prstGeom prst="rect">
                          <a:avLst/>
                        </a:prstGeom>
                        <a:ln>
                          <a:noFill/>
                        </a:ln>
                      </wps:spPr>
                      <wps:txbx>
                        <w:txbxContent>
                          <w:p w14:paraId="4EDBC620">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发生事故的通</w:t>
                            </w:r>
                          </w:p>
                          <w:p w14:paraId="2D0D084E">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知</w:t>
                            </w:r>
                          </w:p>
                          <w:p w14:paraId="6AA9829E">
                            <w:pPr>
                              <w:rPr>
                                <w:rFonts w:hint="eastAsia"/>
                                <w:color w:val="000000"/>
                                <w:sz w:val="18"/>
                                <w:szCs w:val="18"/>
                              </w:rPr>
                            </w:pPr>
                          </w:p>
                        </w:txbxContent>
                      </wps:txbx>
                      <wps:bodyPr wrap="square"/>
                    </wps:wsp>
                  </a:graphicData>
                </a:graphic>
              </wp:anchor>
            </w:drawing>
          </mc:Choice>
          <mc:Fallback>
            <w:pict>
              <v:rect id="0000f1" o:spid="_x0000_s1026" o:spt="1" style="position:absolute;left:0pt;margin-left:-9pt;margin-top:18.05pt;height:41.25pt;width:81pt;z-index:251687936;mso-width-relative:page;mso-height-relative:page;" filled="f" stroked="f" coordsize="21600,21600" o:gfxdata="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WYzku2gAAAAoBAAAPAAAAAAAAAAEAIAAAACIA&#10;AABkcnMvZG93bnJldi54bWxQSwECFAAUAAAACACHTuJAWicCM5UBAAA5AwAADgAAAAAAAAABACAA&#10;AAApAQAAZHJzL2Uyb0RvYy54bWxQSwUGAAAAAAYABgBZAQAAMAUAAAAA&#10;">
                <v:fill on="f" focussize="0,0"/>
                <v:stroke on="f"/>
                <v:imagedata o:title=""/>
                <o:lock v:ext="edit" aspectratio="f"/>
                <v:textbox>
                  <w:txbxContent>
                    <w:p w14:paraId="4EDBC620">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发生事故的通</w:t>
                      </w:r>
                    </w:p>
                    <w:p w14:paraId="2D0D084E">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知</w:t>
                      </w:r>
                    </w:p>
                    <w:p w14:paraId="6AA9829E">
                      <w:pPr>
                        <w:rPr>
                          <w:rFonts w:hint="eastAsia"/>
                          <w:color w:val="000000"/>
                          <w:sz w:val="18"/>
                          <w:szCs w:val="18"/>
                        </w:rPr>
                      </w:pPr>
                    </w:p>
                  </w:txbxContent>
                </v:textbox>
              </v:rect>
            </w:pict>
          </mc:Fallback>
        </mc:AlternateContent>
      </w:r>
      <w:r>
        <w:rPr>
          <w:rFonts w:hint="eastAsia" w:hAnsi="宋体" w:eastAsia="宋体" w:cs="宋体"/>
          <w:b/>
          <w:bCs/>
          <w:color w:val="auto"/>
          <w:sz w:val="24"/>
          <w:szCs w:val="24"/>
          <w:highlight w:val="none"/>
        </w:rPr>
        <w:t xml:space="preserve">12.1                   </w:t>
      </w:r>
    </w:p>
    <w:p w14:paraId="538F73C0">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合同履行期间，合同工程发生质量与安全事故，承包人立即通知监理工程师和发包人。</w:t>
      </w:r>
    </w:p>
    <w:p w14:paraId="4BCFA51E">
      <w:pPr>
        <w:pStyle w:val="22"/>
        <w:adjustRightInd w:val="0"/>
        <w:snapToGrid w:val="0"/>
        <w:spacing w:line="300" w:lineRule="auto"/>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88960"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1055" name="0000f2"/>
                <wp:cNvGraphicFramePr/>
                <a:graphic xmlns:a="http://schemas.openxmlformats.org/drawingml/2006/main">
                  <a:graphicData uri="http://schemas.microsoft.com/office/word/2010/wordprocessingShape">
                    <wps:wsp>
                      <wps:cNvSpPr/>
                      <wps:spPr>
                        <a:xfrm>
                          <a:off x="0" y="0"/>
                          <a:ext cx="1028700" cy="297179"/>
                        </a:xfrm>
                        <a:prstGeom prst="rect">
                          <a:avLst/>
                        </a:prstGeom>
                        <a:ln>
                          <a:noFill/>
                        </a:ln>
                      </wps:spPr>
                      <wps:txbx>
                        <w:txbxContent>
                          <w:p w14:paraId="40CA5462">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事故的处理</w:t>
                            </w:r>
                          </w:p>
                        </w:txbxContent>
                      </wps:txbx>
                      <wps:bodyPr wrap="square"/>
                    </wps:wsp>
                  </a:graphicData>
                </a:graphic>
              </wp:anchor>
            </w:drawing>
          </mc:Choice>
          <mc:Fallback>
            <w:pict>
              <v:rect id="0000f2" o:spid="_x0000_s1026" o:spt="1" style="position:absolute;left:0pt;margin-left:-9pt;margin-top:17.7pt;height:23.4pt;width:81pt;z-index:251688960;mso-width-relative:page;mso-height-relative:page;" filled="f" stroked="f" coordsize="21600,21600" o:gfxdata="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bcXL02gAAAAkBAAAPAAAAAAAAAAEAIAAAACIA&#10;AABkcnMvZG93bnJldi54bWxQSwECFAAUAAAACACHTuJAoetwHpUBAAA5AwAADgAAAAAAAAABACAA&#10;AAApAQAAZHJzL2Uyb0RvYy54bWxQSwUGAAAAAAYABgBZAQAAMAUAAAAA&#10;">
                <v:fill on="f" focussize="0,0"/>
                <v:stroke on="f"/>
                <v:imagedata o:title=""/>
                <o:lock v:ext="edit" aspectratio="f"/>
                <v:textbox>
                  <w:txbxContent>
                    <w:p w14:paraId="40CA5462">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事故的处理</w:t>
                      </w:r>
                    </w:p>
                  </w:txbxContent>
                </v:textbox>
              </v:rect>
            </w:pict>
          </mc:Fallback>
        </mc:AlternateContent>
      </w:r>
      <w:r>
        <w:rPr>
          <w:rFonts w:hint="eastAsia" w:hAnsi="宋体" w:eastAsia="宋体" w:cs="宋体"/>
          <w:b/>
          <w:bCs/>
          <w:color w:val="auto"/>
          <w:sz w:val="24"/>
          <w:szCs w:val="24"/>
          <w:highlight w:val="none"/>
        </w:rPr>
        <w:t xml:space="preserve">12.2 </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59AFB691">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接到事故通知后，合同双方当事人应立即组织人员和设备进行紧急抢救和抢修，减少人员伤亡和财产损失，防止事故扩大，并保护事故现场。需移动现场物品时，应做好标记和书面记录，妥善保护有关证据。</w:t>
      </w:r>
    </w:p>
    <w:p w14:paraId="3EB4F62B">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合同双方当事人应按照国家规定时限如实上报政府有关部门，配合政府有关部门的调查和处理，由此发生的费用和（或）延误的工期由事故责任方承担。</w:t>
      </w:r>
    </w:p>
    <w:p w14:paraId="5370BA12">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8998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1056" name="0000f3"/>
                <wp:cNvGraphicFramePr/>
                <a:graphic xmlns:a="http://schemas.openxmlformats.org/drawingml/2006/main">
                  <a:graphicData uri="http://schemas.microsoft.com/office/word/2010/wordprocessingShape">
                    <wps:wsp>
                      <wps:cNvSpPr/>
                      <wps:spPr>
                        <a:xfrm>
                          <a:off x="0" y="0"/>
                          <a:ext cx="1028700" cy="297179"/>
                        </a:xfrm>
                        <a:prstGeom prst="rect">
                          <a:avLst/>
                        </a:prstGeom>
                        <a:ln>
                          <a:noFill/>
                        </a:ln>
                      </wps:spPr>
                      <wps:txbx>
                        <w:txbxContent>
                          <w:p w14:paraId="719B90EA">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事故争议认定</w:t>
                            </w:r>
                          </w:p>
                        </w:txbxContent>
                      </wps:txbx>
                      <wps:bodyPr wrap="square"/>
                    </wps:wsp>
                  </a:graphicData>
                </a:graphic>
              </wp:anchor>
            </w:drawing>
          </mc:Choice>
          <mc:Fallback>
            <w:pict>
              <v:rect id="0000f3" o:spid="_x0000_s1026" o:spt="1" style="position:absolute;left:0pt;margin-left:-9pt;margin-top:17.7pt;height:23.4pt;width:81pt;z-index:251689984;mso-width-relative:page;mso-height-relative:page;" filled="f" stroked="f" coordsize="21600,21600" o:gfxdata="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G3Fy9NoAAAAJAQAADwAAAAAAAAABACAAAAAi&#10;AAAAZHJzL2Rvd25yZXYueG1sUEsBAhQAFAAAAAgAh07iQNTh67WWAQAAOQMAAA4AAAAAAAAAAQAg&#10;AAAAKQEAAGRycy9lMm9Eb2MueG1sUEsFBgAAAAAGAAYAWQEAADEFAAAAAA==&#10;">
                <v:fill on="f" focussize="0,0"/>
                <v:stroke on="f"/>
                <v:imagedata o:title=""/>
                <o:lock v:ext="edit" aspectratio="f"/>
                <v:textbox>
                  <w:txbxContent>
                    <w:p w14:paraId="719B90EA">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事故争议认定</w:t>
                      </w:r>
                    </w:p>
                  </w:txbxContent>
                </v:textbox>
              </v:rect>
            </w:pict>
          </mc:Fallback>
        </mc:AlternateContent>
      </w:r>
      <w:r>
        <w:rPr>
          <w:rFonts w:hint="eastAsia" w:hAnsi="宋体" w:eastAsia="宋体" w:cs="宋体"/>
          <w:b/>
          <w:bCs/>
          <w:color w:val="auto"/>
          <w:sz w:val="24"/>
          <w:szCs w:val="24"/>
          <w:highlight w:val="none"/>
        </w:rPr>
        <w:t xml:space="preserve">12.3  </w:t>
      </w:r>
      <w:r>
        <w:rPr>
          <w:rFonts w:hint="eastAsia" w:hAnsi="宋体" w:eastAsia="宋体" w:cs="宋体"/>
          <w:b/>
          <w:bCs/>
          <w:color w:val="auto"/>
          <w:sz w:val="24"/>
          <w:szCs w:val="24"/>
          <w:highlight w:val="none"/>
          <w:u w:val="dotted"/>
        </w:rPr>
        <w:t xml:space="preserve">                                                                                                        </w:t>
      </w:r>
    </w:p>
    <w:p w14:paraId="4B3D4670">
      <w:pPr>
        <w:pStyle w:val="22"/>
        <w:tabs>
          <w:tab w:val="left" w:pos="1620"/>
        </w:tabs>
        <w:adjustRightInd w:val="0"/>
        <w:snapToGrid w:val="0"/>
        <w:spacing w:line="300" w:lineRule="auto"/>
        <w:ind w:firstLine="1620" w:firstLineChars="675"/>
        <w:rPr>
          <w:rFonts w:hint="eastAsia" w:hAnsi="宋体" w:eastAsia="宋体" w:cs="宋体"/>
          <w:color w:val="auto"/>
          <w:sz w:val="24"/>
          <w:szCs w:val="24"/>
          <w:highlight w:val="none"/>
        </w:rPr>
      </w:pPr>
      <w:r>
        <w:rPr>
          <w:rFonts w:hint="eastAsia" w:hAnsi="宋体" w:eastAsia="宋体" w:cs="宋体"/>
          <w:color w:val="auto"/>
          <w:sz w:val="24"/>
          <w:szCs w:val="24"/>
          <w:highlight w:val="none"/>
        </w:rPr>
        <w:t>合同双方当事人对事故责任有争议时，应按照政府有关部门的认定处理。</w:t>
      </w:r>
    </w:p>
    <w:p w14:paraId="535C327B">
      <w:pPr>
        <w:pStyle w:val="22"/>
        <w:adjustRightInd w:val="0"/>
        <w:snapToGrid w:val="0"/>
        <w:spacing w:line="300" w:lineRule="auto"/>
        <w:ind w:right="-238"/>
        <w:rPr>
          <w:rFonts w:hint="eastAsia" w:hAnsi="宋体" w:eastAsia="宋体" w:cs="宋体"/>
          <w:color w:val="auto"/>
          <w:sz w:val="24"/>
          <w:szCs w:val="24"/>
          <w:highlight w:val="none"/>
        </w:rPr>
      </w:pPr>
      <w:r>
        <w:rPr>
          <w:rFonts w:hint="eastAsia" w:hAnsi="宋体" w:eastAsia="宋体" w:cs="宋体"/>
          <w:b/>
          <w:bCs/>
          <w:color w:val="auto"/>
          <w:sz w:val="24"/>
          <w:szCs w:val="24"/>
          <w:highlight w:val="none"/>
          <w:u w:val="single"/>
        </w:rPr>
        <w:t xml:space="preserve">                                                                                  </w:t>
      </w:r>
      <w:r>
        <w:rPr>
          <w:rFonts w:hint="eastAsia" w:hAnsi="宋体" w:eastAsia="宋体" w:cs="宋体"/>
          <w:b/>
          <w:bCs/>
          <w:color w:val="auto"/>
          <w:sz w:val="24"/>
          <w:szCs w:val="24"/>
          <w:highlight w:val="none"/>
        </w:rPr>
        <w:t xml:space="preserve">  </w:t>
      </w:r>
      <w:r>
        <w:rPr>
          <w:rFonts w:hint="eastAsia" w:hAnsi="宋体" w:eastAsia="宋体" w:cs="宋体"/>
          <w:color w:val="auto"/>
          <w:sz w:val="24"/>
          <w:szCs w:val="24"/>
          <w:highlight w:val="none"/>
        </w:rPr>
        <w:t xml:space="preserve">                         </w:t>
      </w:r>
    </w:p>
    <w:p w14:paraId="54B394CA">
      <w:pPr>
        <w:pStyle w:val="22"/>
        <w:tabs>
          <w:tab w:val="left" w:pos="1620"/>
        </w:tabs>
        <w:adjustRightInd w:val="0"/>
        <w:snapToGrid w:val="0"/>
        <w:spacing w:before="240" w:beforeLines="100" w:line="300" w:lineRule="auto"/>
        <w:ind w:right="-237" w:rightChars="-113"/>
        <w:outlineLvl w:val="2"/>
        <w:rPr>
          <w:rFonts w:hint="eastAsia" w:hAnsi="宋体" w:eastAsia="宋体" w:cs="宋体"/>
          <w:b/>
          <w:bCs/>
          <w:color w:val="auto"/>
          <w:sz w:val="24"/>
          <w:szCs w:val="24"/>
          <w:highlight w:val="none"/>
        </w:rPr>
      </w:pPr>
      <w:bookmarkStart w:id="40" w:name="_Toc46860813"/>
      <w:bookmarkStart w:id="41" w:name="_Toc469383992"/>
      <w:r>
        <w:rPr>
          <w:rFonts w:hint="eastAsia" w:hAnsi="宋体" w:eastAsia="宋体" w:cs="宋体"/>
          <w:b/>
          <w:bCs/>
          <w:color w:val="auto"/>
          <w:sz w:val="24"/>
          <w:szCs w:val="24"/>
          <w:highlight w:val="none"/>
        </w:rPr>
        <w:t>13  交通运输</w:t>
      </w:r>
      <w:bookmarkEnd w:id="40"/>
      <w:bookmarkEnd w:id="41"/>
    </w:p>
    <w:p w14:paraId="1558E634">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91008"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1057" name="0000f4"/>
                <wp:cNvGraphicFramePr/>
                <a:graphic xmlns:a="http://schemas.openxmlformats.org/drawingml/2006/main">
                  <a:graphicData uri="http://schemas.microsoft.com/office/word/2010/wordprocessingShape">
                    <wps:wsp>
                      <wps:cNvSpPr/>
                      <wps:spPr>
                        <a:xfrm>
                          <a:off x="0" y="0"/>
                          <a:ext cx="1028700" cy="523875"/>
                        </a:xfrm>
                        <a:prstGeom prst="rect">
                          <a:avLst/>
                        </a:prstGeom>
                        <a:ln>
                          <a:noFill/>
                        </a:ln>
                      </wps:spPr>
                      <wps:txbx>
                        <w:txbxContent>
                          <w:p w14:paraId="4BA8B417">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道路通行权和</w:t>
                            </w:r>
                          </w:p>
                          <w:p w14:paraId="05D3A2C6">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场外设施</w:t>
                            </w:r>
                          </w:p>
                          <w:p w14:paraId="59290E45">
                            <w:pPr>
                              <w:rPr>
                                <w:rFonts w:hint="eastAsia"/>
                                <w:color w:val="0000FF"/>
                                <w:sz w:val="18"/>
                                <w:szCs w:val="18"/>
                              </w:rPr>
                            </w:pPr>
                          </w:p>
                          <w:p w14:paraId="4DDEE296">
                            <w:pPr>
                              <w:rPr>
                                <w:rFonts w:hint="eastAsia"/>
                                <w:sz w:val="18"/>
                                <w:szCs w:val="18"/>
                              </w:rPr>
                            </w:pPr>
                          </w:p>
                        </w:txbxContent>
                      </wps:txbx>
                      <wps:bodyPr wrap="square"/>
                    </wps:wsp>
                  </a:graphicData>
                </a:graphic>
              </wp:anchor>
            </w:drawing>
          </mc:Choice>
          <mc:Fallback>
            <w:pict>
              <v:rect id="0000f4" o:spid="_x0000_s1026" o:spt="1" style="position:absolute;left:0pt;margin-left:-9pt;margin-top:18.05pt;height:41.25pt;width:81pt;z-index:251691008;mso-width-relative:page;mso-height-relative:page;" filled="f" stroked="f" coordsize="21600,21600" o:gfxdata="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1mM5LtoAAAAKAQAADwAAAAAAAAABACAAAAAi&#10;AAAAZHJzL2Rvd25yZXYueG1sUEsBAhQAFAAAAAgAh07iQL/6oiOWAQAAOQMAAA4AAAAAAAAAAQAg&#10;AAAAKQEAAGRycy9lMm9Eb2MueG1sUEsFBgAAAAAGAAYAWQEAADEFAAAAAA==&#10;">
                <v:fill on="f" focussize="0,0"/>
                <v:stroke on="f"/>
                <v:imagedata o:title=""/>
                <o:lock v:ext="edit" aspectratio="f"/>
                <v:textbox>
                  <w:txbxContent>
                    <w:p w14:paraId="4BA8B417">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道路通行权和</w:t>
                      </w:r>
                    </w:p>
                    <w:p w14:paraId="05D3A2C6">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场外设施</w:t>
                      </w:r>
                    </w:p>
                    <w:p w14:paraId="59290E45">
                      <w:pPr>
                        <w:rPr>
                          <w:rFonts w:hint="eastAsia"/>
                          <w:color w:val="0000FF"/>
                          <w:sz w:val="18"/>
                          <w:szCs w:val="18"/>
                        </w:rPr>
                      </w:pPr>
                    </w:p>
                    <w:p w14:paraId="4DDEE296">
                      <w:pPr>
                        <w:rPr>
                          <w:rFonts w:hint="eastAsia"/>
                          <w:sz w:val="18"/>
                          <w:szCs w:val="18"/>
                        </w:rPr>
                      </w:pPr>
                    </w:p>
                  </w:txbxContent>
                </v:textbox>
              </v:rect>
            </w:pict>
          </mc:Fallback>
        </mc:AlternateContent>
      </w:r>
      <w:r>
        <w:rPr>
          <w:rFonts w:hint="eastAsia" w:hAnsi="宋体" w:eastAsia="宋体" w:cs="宋体"/>
          <w:b/>
          <w:bCs/>
          <w:color w:val="auto"/>
          <w:sz w:val="24"/>
          <w:szCs w:val="24"/>
          <w:highlight w:val="none"/>
        </w:rPr>
        <w:t xml:space="preserve">13.1                   </w:t>
      </w:r>
    </w:p>
    <w:p w14:paraId="385B2F6E">
      <w:pPr>
        <w:pStyle w:val="22"/>
        <w:tabs>
          <w:tab w:val="left" w:pos="1202"/>
        </w:tabs>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除专用条款另有约定外，发包人应根据实施合同工程的需要，负责办理取得出入施工场地的专用和临时道路的通行权，以及取得为实施合同工程所需修建场外设施的权利，并承担有关费用（包括运输超大件或超重件所需的道路和桥梁临时加固改造费用和其他有关费用）。承包人应协助发包人办理上述手续。</w:t>
      </w:r>
    </w:p>
    <w:p w14:paraId="7C7EB3A4">
      <w:pPr>
        <w:pStyle w:val="22"/>
        <w:tabs>
          <w:tab w:val="left" w:pos="1202"/>
        </w:tabs>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6F34B875">
      <w:pPr>
        <w:pStyle w:val="22"/>
        <w:tabs>
          <w:tab w:val="left" w:pos="1202"/>
        </w:tabs>
        <w:adjustRightInd w:val="0"/>
        <w:snapToGrid w:val="0"/>
        <w:spacing w:line="300" w:lineRule="auto"/>
        <w:ind w:left="1619" w:leftChars="1" w:hanging="1617" w:hangingChars="674"/>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92032"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1058" name="0000f5"/>
                <wp:cNvGraphicFramePr/>
                <a:graphic xmlns:a="http://schemas.openxmlformats.org/drawingml/2006/main">
                  <a:graphicData uri="http://schemas.microsoft.com/office/word/2010/wordprocessingShape">
                    <wps:wsp>
                      <wps:cNvSpPr/>
                      <wps:spPr>
                        <a:xfrm>
                          <a:off x="0" y="0"/>
                          <a:ext cx="1028700" cy="523875"/>
                        </a:xfrm>
                        <a:prstGeom prst="rect">
                          <a:avLst/>
                        </a:prstGeom>
                        <a:ln>
                          <a:noFill/>
                        </a:ln>
                      </wps:spPr>
                      <wps:txbx>
                        <w:txbxContent>
                          <w:p w14:paraId="2867F1B6">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场内临时道路</w:t>
                            </w:r>
                          </w:p>
                          <w:p w14:paraId="7C554770">
                            <w:pPr>
                              <w:rPr>
                                <w:rFonts w:hint="eastAsia" w:ascii="宋体"/>
                                <w:color w:val="000000"/>
                                <w:sz w:val="24"/>
                              </w:rPr>
                            </w:pPr>
                            <w:r>
                              <w:rPr>
                                <w:rFonts w:hint="eastAsia" w:ascii="楷体_GB2312" w:hAnsi="宋体" w:eastAsia="楷体_GB2312" w:cs="楷体_GB2312"/>
                                <w:b/>
                                <w:bCs/>
                                <w:color w:val="000000"/>
                                <w:sz w:val="18"/>
                                <w:szCs w:val="18"/>
                              </w:rPr>
                              <w:t>和交通设施</w:t>
                            </w:r>
                          </w:p>
                          <w:p w14:paraId="70FA2BD2">
                            <w:pPr>
                              <w:rPr>
                                <w:rFonts w:hint="eastAsia"/>
                                <w:color w:val="0000FF"/>
                                <w:sz w:val="18"/>
                                <w:szCs w:val="18"/>
                              </w:rPr>
                            </w:pPr>
                          </w:p>
                          <w:p w14:paraId="1FEDFB26">
                            <w:pPr>
                              <w:rPr>
                                <w:rFonts w:hint="eastAsia"/>
                                <w:sz w:val="18"/>
                                <w:szCs w:val="18"/>
                              </w:rPr>
                            </w:pPr>
                          </w:p>
                        </w:txbxContent>
                      </wps:txbx>
                      <wps:bodyPr wrap="square"/>
                    </wps:wsp>
                  </a:graphicData>
                </a:graphic>
              </wp:anchor>
            </w:drawing>
          </mc:Choice>
          <mc:Fallback>
            <w:pict>
              <v:rect id="0000f5" o:spid="_x0000_s1026" o:spt="1" style="position:absolute;left:0pt;margin-left:-9pt;margin-top:26.25pt;height:41.25pt;width:81pt;z-index:251692032;mso-width-relative:page;mso-height-relative:page;" filled="f" stroked="f" coordsize="21600,21600" o:gfxdata="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VvvUqNsAAAAKAQAADwAAAAAAAAABACAAAAAi&#10;AAAAZHJzL2Rvd25yZXYueG1sUEsBAhQAFAAAAAgAh07iQE0E/fCVAQAAOQMAAA4AAAAAAAAAAQAg&#10;AAAAKgEAAGRycy9lMm9Eb2MueG1sUEsFBgAAAAAGAAYAWQEAADEFAAAAAA==&#10;">
                <v:fill on="f" focussize="0,0"/>
                <v:stroke on="f"/>
                <v:imagedata o:title=""/>
                <o:lock v:ext="edit" aspectratio="f"/>
                <v:textbox>
                  <w:txbxContent>
                    <w:p w14:paraId="2867F1B6">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场内临时道路</w:t>
                      </w:r>
                    </w:p>
                    <w:p w14:paraId="7C554770">
                      <w:pPr>
                        <w:rPr>
                          <w:rFonts w:hint="eastAsia" w:ascii="宋体"/>
                          <w:color w:val="000000"/>
                          <w:sz w:val="24"/>
                        </w:rPr>
                      </w:pPr>
                      <w:r>
                        <w:rPr>
                          <w:rFonts w:hint="eastAsia" w:ascii="楷体_GB2312" w:hAnsi="宋体" w:eastAsia="楷体_GB2312" w:cs="楷体_GB2312"/>
                          <w:b/>
                          <w:bCs/>
                          <w:color w:val="000000"/>
                          <w:sz w:val="18"/>
                          <w:szCs w:val="18"/>
                        </w:rPr>
                        <w:t>和交通设施</w:t>
                      </w:r>
                    </w:p>
                    <w:p w14:paraId="70FA2BD2">
                      <w:pPr>
                        <w:rPr>
                          <w:rFonts w:hint="eastAsia"/>
                          <w:color w:val="0000FF"/>
                          <w:sz w:val="18"/>
                          <w:szCs w:val="18"/>
                        </w:rPr>
                      </w:pPr>
                    </w:p>
                    <w:p w14:paraId="1FEDFB26">
                      <w:pPr>
                        <w:rPr>
                          <w:rFonts w:hint="eastAsia"/>
                          <w:sz w:val="18"/>
                          <w:szCs w:val="18"/>
                        </w:rPr>
                      </w:pPr>
                    </w:p>
                  </w:txbxContent>
                </v:textbox>
              </v:rect>
            </w:pict>
          </mc:Fallback>
        </mc:AlternateContent>
      </w:r>
      <w:r>
        <w:rPr>
          <w:rFonts w:hint="eastAsia" w:hAnsi="宋体" w:eastAsia="宋体" w:cs="宋体"/>
          <w:b/>
          <w:bCs/>
          <w:color w:val="auto"/>
          <w:sz w:val="24"/>
          <w:szCs w:val="24"/>
          <w:highlight w:val="none"/>
        </w:rPr>
        <w:t>13.2</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r>
        <w:rPr>
          <w:rFonts w:hint="eastAsia" w:hAnsi="宋体" w:eastAsia="宋体" w:cs="宋体"/>
          <w:color w:val="auto"/>
          <w:sz w:val="24"/>
          <w:szCs w:val="24"/>
          <w:highlight w:val="none"/>
        </w:rPr>
        <w:t>除专用条款另有约定外，承包人应负责修建、维修、养护和管理施工场地内所需的临时道路和交通设施，包括维修、养护和管理发包人提供的道路和交通设施，并承担相应费用。</w:t>
      </w:r>
    </w:p>
    <w:p w14:paraId="51295538">
      <w:pPr>
        <w:pStyle w:val="22"/>
        <w:tabs>
          <w:tab w:val="left" w:pos="1202"/>
        </w:tabs>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承包人修建的临时道路和交通设施应免费提供发包人使用。</w:t>
      </w:r>
    </w:p>
    <w:p w14:paraId="4D6D5BF8">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93056"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1059" name="0000f6"/>
                <wp:cNvGraphicFramePr/>
                <a:graphic xmlns:a="http://schemas.openxmlformats.org/drawingml/2006/main">
                  <a:graphicData uri="http://schemas.microsoft.com/office/word/2010/wordprocessingShape">
                    <wps:wsp>
                      <wps:cNvSpPr/>
                      <wps:spPr>
                        <a:xfrm>
                          <a:off x="0" y="0"/>
                          <a:ext cx="1028700" cy="297179"/>
                        </a:xfrm>
                        <a:prstGeom prst="rect">
                          <a:avLst/>
                        </a:prstGeom>
                        <a:ln>
                          <a:noFill/>
                        </a:ln>
                      </wps:spPr>
                      <wps:txbx>
                        <w:txbxContent>
                          <w:p w14:paraId="26D0C666">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场外交通</w:t>
                            </w:r>
                          </w:p>
                        </w:txbxContent>
                      </wps:txbx>
                      <wps:bodyPr wrap="square"/>
                    </wps:wsp>
                  </a:graphicData>
                </a:graphic>
              </wp:anchor>
            </w:drawing>
          </mc:Choice>
          <mc:Fallback>
            <w:pict>
              <v:rect id="0000f6" o:spid="_x0000_s1026" o:spt="1" style="position:absolute;left:0pt;margin-left:-9pt;margin-top:17.7pt;height:23.4pt;width:81pt;z-index:251693056;mso-width-relative:page;mso-height-relative:page;" filled="f" stroked="f" coordsize="21600,21600" o:gfxdata="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bcXL02gAAAAkBAAAPAAAAAAAAAAEAIAAAACIA&#10;AABkcnMvZG93bnJldi54bWxQSwECFAAUAAAACACHTuJAtsiP3ZUBAAA5AwAADgAAAAAAAAABACAA&#10;AAApAQAAZHJzL2Uyb0RvYy54bWxQSwUGAAAAAAYABgBZAQAAMAUAAAAA&#10;">
                <v:fill on="f" focussize="0,0"/>
                <v:stroke on="f"/>
                <v:imagedata o:title=""/>
                <o:lock v:ext="edit" aspectratio="f"/>
                <v:textbox>
                  <w:txbxContent>
                    <w:p w14:paraId="26D0C666">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场外交通</w:t>
                      </w:r>
                    </w:p>
                  </w:txbxContent>
                </v:textbox>
              </v:rect>
            </w:pict>
          </mc:Fallback>
        </mc:AlternateContent>
      </w:r>
      <w:r>
        <w:rPr>
          <w:rFonts w:hint="eastAsia" w:hAnsi="宋体" w:eastAsia="宋体" w:cs="宋体"/>
          <w:b/>
          <w:bCs/>
          <w:color w:val="auto"/>
          <w:sz w:val="24"/>
          <w:szCs w:val="24"/>
          <w:highlight w:val="none"/>
        </w:rPr>
        <w:t xml:space="preserve">13.3  </w:t>
      </w:r>
      <w:r>
        <w:rPr>
          <w:rFonts w:hint="eastAsia" w:hAnsi="宋体" w:eastAsia="宋体" w:cs="宋体"/>
          <w:b/>
          <w:bCs/>
          <w:color w:val="auto"/>
          <w:sz w:val="24"/>
          <w:szCs w:val="24"/>
          <w:highlight w:val="none"/>
          <w:u w:val="dotted"/>
        </w:rPr>
        <w:t xml:space="preserve">                                                                                                        </w:t>
      </w:r>
    </w:p>
    <w:p w14:paraId="1E97A004">
      <w:pPr>
        <w:pStyle w:val="22"/>
        <w:tabs>
          <w:tab w:val="left" w:pos="1202"/>
        </w:tabs>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承包人应遵守有关交通法规，严格按照道路和桥梁的限制荷重安全行驶，并服从交通管理部门的检查和监督。承包人车辆外出行驶所需的场外公共道路的通行费、养路费和税款等，由承包人承担。</w:t>
      </w:r>
    </w:p>
    <w:p w14:paraId="39E14DD0">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94080"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1060" name="0000f7"/>
                <wp:cNvGraphicFramePr/>
                <a:graphic xmlns:a="http://schemas.openxmlformats.org/drawingml/2006/main">
                  <a:graphicData uri="http://schemas.microsoft.com/office/word/2010/wordprocessingShape">
                    <wps:wsp>
                      <wps:cNvSpPr/>
                      <wps:spPr>
                        <a:xfrm>
                          <a:off x="0" y="0"/>
                          <a:ext cx="1028700" cy="466090"/>
                        </a:xfrm>
                        <a:prstGeom prst="rect">
                          <a:avLst/>
                        </a:prstGeom>
                        <a:ln>
                          <a:noFill/>
                        </a:ln>
                      </wps:spPr>
                      <wps:txbx>
                        <w:txbxContent>
                          <w:p w14:paraId="418BD464">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超大件和超重</w:t>
                            </w:r>
                          </w:p>
                          <w:p w14:paraId="6764F5F1">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件的运输</w:t>
                            </w:r>
                          </w:p>
                        </w:txbxContent>
                      </wps:txbx>
                      <wps:bodyPr wrap="square"/>
                    </wps:wsp>
                  </a:graphicData>
                </a:graphic>
              </wp:anchor>
            </w:drawing>
          </mc:Choice>
          <mc:Fallback>
            <w:pict>
              <v:rect id="0000f7" o:spid="_x0000_s1026" o:spt="1" style="position:absolute;left:0pt;margin-left:-9pt;margin-top:17.7pt;height:36.7pt;width:81pt;z-index:251694080;mso-width-relative:page;mso-height-relative:page;" filled="f" stroked="f" coordsize="21600,21600" o:gfxdata="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GbfVhtsAAAAKAQAADwAAAAAAAAABACAAAAAi&#10;AAAAZHJzL2Rvd25yZXYueG1sUEsBAhQAFAAAAAgAh07iQOgONmOVAQAAOQMAAA4AAAAAAAAAAQAg&#10;AAAAKgEAAGRycy9lMm9Eb2MueG1sUEsFBgAAAAAGAAYAWQEAADEFAAAAAA==&#10;">
                <v:fill on="f" focussize="0,0"/>
                <v:stroke on="f"/>
                <v:imagedata o:title=""/>
                <o:lock v:ext="edit" aspectratio="f"/>
                <v:textbox>
                  <w:txbxContent>
                    <w:p w14:paraId="418BD464">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超大件和超重</w:t>
                      </w:r>
                    </w:p>
                    <w:p w14:paraId="6764F5F1">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件的运输</w:t>
                      </w:r>
                    </w:p>
                  </w:txbxContent>
                </v:textbox>
              </v:rect>
            </w:pict>
          </mc:Fallback>
        </mc:AlternateContent>
      </w:r>
      <w:r>
        <w:rPr>
          <w:rFonts w:hint="eastAsia" w:hAnsi="宋体" w:eastAsia="宋体" w:cs="宋体"/>
          <w:b/>
          <w:bCs/>
          <w:color w:val="auto"/>
          <w:sz w:val="24"/>
          <w:szCs w:val="24"/>
          <w:highlight w:val="none"/>
        </w:rPr>
        <w:t xml:space="preserve">13.4  </w:t>
      </w:r>
      <w:r>
        <w:rPr>
          <w:rFonts w:hint="eastAsia" w:hAnsi="宋体" w:eastAsia="宋体" w:cs="宋体"/>
          <w:b/>
          <w:bCs/>
          <w:color w:val="auto"/>
          <w:sz w:val="24"/>
          <w:szCs w:val="24"/>
          <w:highlight w:val="none"/>
          <w:u w:val="dotted"/>
        </w:rPr>
        <w:t xml:space="preserve">                                                                                                        </w:t>
      </w:r>
    </w:p>
    <w:p w14:paraId="3DF379A7">
      <w:pPr>
        <w:pStyle w:val="22"/>
        <w:tabs>
          <w:tab w:val="left" w:pos="1202"/>
        </w:tabs>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14:paraId="0C1B1558">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9510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1061" name="0000f8"/>
                <wp:cNvGraphicFramePr/>
                <a:graphic xmlns:a="http://schemas.openxmlformats.org/drawingml/2006/main">
                  <a:graphicData uri="http://schemas.microsoft.com/office/word/2010/wordprocessingShape">
                    <wps:wsp>
                      <wps:cNvSpPr/>
                      <wps:spPr>
                        <a:xfrm>
                          <a:off x="0" y="0"/>
                          <a:ext cx="1028700" cy="466090"/>
                        </a:xfrm>
                        <a:prstGeom prst="rect">
                          <a:avLst/>
                        </a:prstGeom>
                        <a:ln>
                          <a:noFill/>
                        </a:ln>
                      </wps:spPr>
                      <wps:txbx>
                        <w:txbxContent>
                          <w:p w14:paraId="7DBAFD75">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道路和桥梁的</w:t>
                            </w:r>
                          </w:p>
                          <w:p w14:paraId="09F26FB0">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损坏责任</w:t>
                            </w:r>
                          </w:p>
                        </w:txbxContent>
                      </wps:txbx>
                      <wps:bodyPr wrap="square"/>
                    </wps:wsp>
                  </a:graphicData>
                </a:graphic>
              </wp:anchor>
            </w:drawing>
          </mc:Choice>
          <mc:Fallback>
            <w:pict>
              <v:rect id="0000f8" o:spid="_x0000_s1026" o:spt="1" style="position:absolute;left:0pt;margin-left:-9pt;margin-top:17.7pt;height:36.7pt;width:81pt;z-index:251695104;mso-width-relative:page;mso-height-relative:page;" filled="f" stroked="f" coordsize="21600,21600" o:gfxdata="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GbfVhtsAAAAKAQAADwAAAAAAAAABACAAAAAi&#10;AAAAZHJzL2Rvd25yZXYueG1sUEsBAhQAFAAAAAgAh07iQLrElHqVAQAAOQMAAA4AAAAAAAAAAQAg&#10;AAAAKgEAAGRycy9lMm9Eb2MueG1sUEsFBgAAAAAGAAYAWQEAADEFAAAAAA==&#10;">
                <v:fill on="f" focussize="0,0"/>
                <v:stroke on="f"/>
                <v:imagedata o:title=""/>
                <o:lock v:ext="edit" aspectratio="f"/>
                <v:textbox>
                  <w:txbxContent>
                    <w:p w14:paraId="7DBAFD75">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道路和桥梁的</w:t>
                      </w:r>
                    </w:p>
                    <w:p w14:paraId="09F26FB0">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损坏责任</w:t>
                      </w:r>
                    </w:p>
                  </w:txbxContent>
                </v:textbox>
              </v:rect>
            </w:pict>
          </mc:Fallback>
        </mc:AlternateContent>
      </w:r>
      <w:r>
        <w:rPr>
          <w:rFonts w:hint="eastAsia" w:hAnsi="宋体" w:eastAsia="宋体" w:cs="宋体"/>
          <w:b/>
          <w:bCs/>
          <w:color w:val="auto"/>
          <w:sz w:val="24"/>
          <w:szCs w:val="24"/>
          <w:highlight w:val="none"/>
        </w:rPr>
        <w:t xml:space="preserve">13.5  </w:t>
      </w:r>
      <w:r>
        <w:rPr>
          <w:rFonts w:hint="eastAsia" w:hAnsi="宋体" w:eastAsia="宋体" w:cs="宋体"/>
          <w:b/>
          <w:bCs/>
          <w:color w:val="auto"/>
          <w:sz w:val="24"/>
          <w:szCs w:val="24"/>
          <w:highlight w:val="none"/>
          <w:u w:val="dotted"/>
        </w:rPr>
        <w:t xml:space="preserve">                                                                                                        </w:t>
      </w:r>
    </w:p>
    <w:p w14:paraId="2D7CAC3D">
      <w:pPr>
        <w:pStyle w:val="22"/>
        <w:tabs>
          <w:tab w:val="left" w:pos="1202"/>
        </w:tabs>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因承包人运输造成施工场地内外公共道路和桥梁损坏的，由承包人承担修复损坏的全部费用和可能引起的赔偿。</w:t>
      </w:r>
    </w:p>
    <w:p w14:paraId="77E76B37">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96128"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1062" name="0000f9"/>
                <wp:cNvGraphicFramePr/>
                <a:graphic xmlns:a="http://schemas.openxmlformats.org/drawingml/2006/main">
                  <a:graphicData uri="http://schemas.microsoft.com/office/word/2010/wordprocessingShape">
                    <wps:wsp>
                      <wps:cNvSpPr/>
                      <wps:spPr>
                        <a:xfrm>
                          <a:off x="0" y="0"/>
                          <a:ext cx="1028700" cy="608330"/>
                        </a:xfrm>
                        <a:prstGeom prst="rect">
                          <a:avLst/>
                        </a:prstGeom>
                        <a:ln>
                          <a:noFill/>
                        </a:ln>
                      </wps:spPr>
                      <wps:txbx>
                        <w:txbxContent>
                          <w:p w14:paraId="23321AFD">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水路和航空运</w:t>
                            </w:r>
                          </w:p>
                          <w:p w14:paraId="0AE5CE55">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输</w:t>
                            </w:r>
                          </w:p>
                        </w:txbxContent>
                      </wps:txbx>
                      <wps:bodyPr wrap="square"/>
                    </wps:wsp>
                  </a:graphicData>
                </a:graphic>
              </wp:anchor>
            </w:drawing>
          </mc:Choice>
          <mc:Fallback>
            <w:pict>
              <v:rect id="0000f9" o:spid="_x0000_s1026" o:spt="1" style="position:absolute;left:0pt;margin-left:-9pt;margin-top:17.7pt;height:47.9pt;width:81pt;z-index:251696128;mso-width-relative:page;mso-height-relative:page;" filled="f" stroked="f" coordsize="21600,21600" o:gfxdata="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esNieNsAAAAKAQAADwAAAAAAAAABACAAAAAi&#10;AAAAZHJzL2Rvd25yZXYueG1sUEsBAhQAFAAAAAgAh07iQGTeAEqVAQAAOQMAAA4AAAAAAAAAAQAg&#10;AAAAKgEAAGRycy9lMm9Eb2MueG1sUEsFBgAAAAAGAAYAWQEAADEFAAAAAA==&#10;">
                <v:fill on="f" focussize="0,0"/>
                <v:stroke on="f"/>
                <v:imagedata o:title=""/>
                <o:lock v:ext="edit" aspectratio="f"/>
                <v:textbox>
                  <w:txbxContent>
                    <w:p w14:paraId="23321AFD">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水路和航空运</w:t>
                      </w:r>
                    </w:p>
                    <w:p w14:paraId="0AE5CE55">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输</w:t>
                      </w:r>
                    </w:p>
                  </w:txbxContent>
                </v:textbox>
              </v:rect>
            </w:pict>
          </mc:Fallback>
        </mc:AlternateContent>
      </w:r>
      <w:r>
        <w:rPr>
          <w:rFonts w:hint="eastAsia" w:hAnsi="宋体" w:eastAsia="宋体" w:cs="宋体"/>
          <w:b/>
          <w:bCs/>
          <w:color w:val="auto"/>
          <w:sz w:val="24"/>
          <w:szCs w:val="24"/>
          <w:highlight w:val="none"/>
        </w:rPr>
        <w:t xml:space="preserve">13.6 </w:t>
      </w:r>
      <w:r>
        <w:rPr>
          <w:rFonts w:hint="eastAsia" w:hAnsi="宋体" w:eastAsia="宋体" w:cs="宋体"/>
          <w:b/>
          <w:bCs/>
          <w:color w:val="auto"/>
          <w:sz w:val="24"/>
          <w:szCs w:val="24"/>
          <w:highlight w:val="none"/>
          <w:u w:val="dotted"/>
        </w:rPr>
        <w:t xml:space="preserve">                                                                                                        </w:t>
      </w:r>
    </w:p>
    <w:p w14:paraId="4AD0BB05">
      <w:pPr>
        <w:pStyle w:val="22"/>
        <w:tabs>
          <w:tab w:val="left" w:pos="1202"/>
        </w:tabs>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本条内容适用于水路运输和航空运输，其中“道路”包括河道、航线、船闸、机场、码头、堤防以及水路或航空运输中其他相似结构物；“车辆”包括船舶和飞机等。</w:t>
      </w:r>
    </w:p>
    <w:p w14:paraId="5181B27A">
      <w:pPr>
        <w:pStyle w:val="22"/>
        <w:tabs>
          <w:tab w:val="left" w:pos="1202"/>
        </w:tabs>
        <w:adjustRightInd w:val="0"/>
        <w:snapToGrid w:val="0"/>
        <w:spacing w:line="300" w:lineRule="auto"/>
        <w:jc w:val="left"/>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u w:val="single"/>
        </w:rPr>
        <w:t xml:space="preserve">                                                                              </w:t>
      </w:r>
      <w:r>
        <w:rPr>
          <w:rFonts w:hint="eastAsia" w:hAnsi="宋体" w:eastAsia="宋体" w:cs="宋体"/>
          <w:b/>
          <w:bCs/>
          <w:color w:val="auto"/>
          <w:sz w:val="24"/>
          <w:szCs w:val="24"/>
          <w:highlight w:val="none"/>
        </w:rPr>
        <w:t xml:space="preserve">  </w:t>
      </w:r>
    </w:p>
    <w:p w14:paraId="38C0C10E">
      <w:pPr>
        <w:pStyle w:val="22"/>
        <w:tabs>
          <w:tab w:val="left" w:pos="3818"/>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42" w:name="_Toc469383993"/>
      <w:bookmarkStart w:id="43" w:name="_Toc46860814"/>
      <w:r>
        <w:rPr>
          <w:rFonts w:hint="eastAsia" w:hAnsi="宋体" w:eastAsia="宋体" w:cs="宋体"/>
          <w:b/>
          <w:bCs/>
          <w:color w:val="auto"/>
          <w:sz w:val="24"/>
          <w:szCs w:val="24"/>
          <w:highlight w:val="none"/>
        </w:rPr>
        <w:t>14  专项批准事件的签认</w:t>
      </w:r>
      <w:bookmarkEnd w:id="42"/>
      <w:bookmarkEnd w:id="43"/>
      <w:r>
        <w:rPr>
          <w:rFonts w:hint="eastAsia" w:hAnsi="宋体" w:eastAsia="宋体" w:cs="宋体"/>
          <w:b/>
          <w:bCs/>
          <w:color w:val="auto"/>
          <w:sz w:val="24"/>
          <w:szCs w:val="24"/>
          <w:highlight w:val="none"/>
        </w:rPr>
        <w:tab/>
      </w:r>
    </w:p>
    <w:p w14:paraId="3CAC2ACD">
      <w:pPr>
        <w:pStyle w:val="22"/>
        <w:tabs>
          <w:tab w:val="left" w:pos="1202"/>
        </w:tabs>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97152" behindDoc="0" locked="0" layoutInCell="1" allowOverlap="1">
                <wp:simplePos x="0" y="0"/>
                <wp:positionH relativeFrom="column">
                  <wp:posOffset>-114300</wp:posOffset>
                </wp:positionH>
                <wp:positionV relativeFrom="paragraph">
                  <wp:posOffset>245745</wp:posOffset>
                </wp:positionV>
                <wp:extent cx="914400" cy="875665"/>
                <wp:effectExtent l="0" t="0" r="0" b="0"/>
                <wp:wrapNone/>
                <wp:docPr id="1063" name="0000fa"/>
                <wp:cNvGraphicFramePr/>
                <a:graphic xmlns:a="http://schemas.openxmlformats.org/drawingml/2006/main">
                  <a:graphicData uri="http://schemas.microsoft.com/office/word/2010/wordprocessingShape">
                    <wps:wsp>
                      <wps:cNvSpPr/>
                      <wps:spPr>
                        <a:xfrm>
                          <a:off x="0" y="0"/>
                          <a:ext cx="914400" cy="875665"/>
                        </a:xfrm>
                        <a:prstGeom prst="rect">
                          <a:avLst/>
                        </a:prstGeom>
                        <a:ln>
                          <a:noFill/>
                        </a:ln>
                      </wps:spPr>
                      <wps:txbx>
                        <w:txbxContent>
                          <w:p w14:paraId="22B32DAA">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专项批准事件的签认</w:t>
                            </w:r>
                          </w:p>
                        </w:txbxContent>
                      </wps:txbx>
                      <wps:bodyPr wrap="square"/>
                    </wps:wsp>
                  </a:graphicData>
                </a:graphic>
              </wp:anchor>
            </w:drawing>
          </mc:Choice>
          <mc:Fallback>
            <w:pict>
              <v:rect id="0000fa" o:spid="_x0000_s1026" o:spt="1" style="position:absolute;left:0pt;margin-left:-9pt;margin-top:19.35pt;height:68.95pt;width:72pt;z-index:251697152;mso-width-relative:page;mso-height-relative:page;" filled="f" stroked="f" coordsize="21600,21600" o:gfxdata="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l1HCFtsAAAAKAQAADwAAAAAAAAABACAAAAAi&#10;AAAAZHJzL2Rvd25yZXYueG1sUEsBAhQAFAAAAAgAh07iQN/iE1CVAQAAOAMAAA4AAAAAAAAAAQAg&#10;AAAAKgEAAGRycy9lMm9Eb2MueG1sUEsFBgAAAAAGAAYAWQEAADEFAAAAAA==&#10;">
                <v:fill on="f" focussize="0,0"/>
                <v:stroke on="f"/>
                <v:imagedata o:title=""/>
                <o:lock v:ext="edit" aspectratio="f"/>
                <v:textbox>
                  <w:txbxContent>
                    <w:p w14:paraId="22B32DAA">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专项批准事件的签认</w:t>
                      </w:r>
                    </w:p>
                  </w:txbxContent>
                </v:textbox>
              </v:rect>
            </w:pict>
          </mc:Fallback>
        </mc:AlternateContent>
      </w:r>
      <w:r>
        <w:rPr>
          <w:rFonts w:hint="eastAsia" w:hAnsi="宋体" w:eastAsia="宋体" w:cs="宋体"/>
          <w:b/>
          <w:bCs/>
          <w:color w:val="auto"/>
          <w:sz w:val="24"/>
          <w:szCs w:val="24"/>
          <w:highlight w:val="none"/>
        </w:rPr>
        <w:t xml:space="preserve">14.1      </w:t>
      </w:r>
    </w:p>
    <w:p w14:paraId="7BB40A3B">
      <w:pPr>
        <w:pStyle w:val="22"/>
        <w:tabs>
          <w:tab w:val="left" w:pos="1202"/>
        </w:tabs>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合同履行期间，合同工程发生第23.3款、第24.3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14:paraId="71E68457">
      <w:pPr>
        <w:pStyle w:val="22"/>
        <w:tabs>
          <w:tab w:val="left" w:pos="1202"/>
        </w:tabs>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合同双方当事人应按照第14.2款规定对发生的专项批准事件予以签认，并及时将发生事件的相关资料整理、归档，同时按第23.2款、第24.2款规定职权将其中一份送监理工程师和（或）造价工程师留存。</w:t>
      </w:r>
    </w:p>
    <w:p w14:paraId="5BE35863">
      <w:pPr>
        <w:pStyle w:val="22"/>
        <w:tabs>
          <w:tab w:val="left" w:pos="2160"/>
        </w:tabs>
        <w:spacing w:before="192" w:beforeLines="80"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14.2  </w:t>
      </w:r>
      <w:r>
        <w:rPr>
          <w:rFonts w:hint="eastAsia" w:hAnsi="宋体" w:eastAsia="宋体" w:cs="宋体"/>
          <w:b/>
          <w:bCs/>
          <w:color w:val="auto"/>
          <w:sz w:val="24"/>
          <w:szCs w:val="24"/>
          <w:highlight w:val="none"/>
          <w:u w:val="dotted"/>
        </w:rPr>
        <w:t xml:space="preserve">                                                                                 </w:t>
      </w:r>
    </w:p>
    <w:p w14:paraId="1B7E4253">
      <w:pPr>
        <w:pStyle w:val="22"/>
        <w:tabs>
          <w:tab w:val="left" w:pos="1620"/>
        </w:tabs>
        <w:spacing w:line="300" w:lineRule="auto"/>
        <w:ind w:left="1618" w:leftChars="770" w:hanging="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98176"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1064" name="0000fb"/>
                <wp:cNvGraphicFramePr/>
                <a:graphic xmlns:a="http://schemas.openxmlformats.org/drawingml/2006/main">
                  <a:graphicData uri="http://schemas.microsoft.com/office/word/2010/wordprocessingShape">
                    <wps:wsp>
                      <wps:cNvSpPr/>
                      <wps:spPr>
                        <a:xfrm>
                          <a:off x="0" y="0"/>
                          <a:ext cx="914400" cy="875665"/>
                        </a:xfrm>
                        <a:prstGeom prst="rect">
                          <a:avLst/>
                        </a:prstGeom>
                        <a:ln>
                          <a:noFill/>
                        </a:ln>
                      </wps:spPr>
                      <wps:txbx>
                        <w:txbxContent>
                          <w:p w14:paraId="150932DC">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专项批准事件签认人的要求</w:t>
                            </w:r>
                          </w:p>
                        </w:txbxContent>
                      </wps:txbx>
                      <wps:bodyPr wrap="square"/>
                    </wps:wsp>
                  </a:graphicData>
                </a:graphic>
              </wp:anchor>
            </w:drawing>
          </mc:Choice>
          <mc:Fallback>
            <w:pict>
              <v:rect id="0000fb" o:spid="_x0000_s1026" o:spt="1" style="position:absolute;left:0pt;margin-left:0pt;margin-top:0.85pt;height:68.95pt;width:72pt;z-index:251698176;mso-width-relative:page;mso-height-relative:page;" filled="f" stroked="f" coordsize="21600,21600" o:gfxdata="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GpzEMvWAAAABgEAAA8AAAAAAAAAAQAgAAAAIgAAAGRy&#10;cy9kb3ducmV2LnhtbFBLAQIUABQAAAAIAIdO4kAy58CulQEAADgDAAAOAAAAAAAAAAEAIAAAACUB&#10;AABkcnMvZTJvRG9jLnhtbFBLBQYAAAAABgAGAFkBAAAsBQAAAAA=&#10;">
                <v:fill on="f" focussize="0,0"/>
                <v:stroke on="f"/>
                <v:imagedata o:title=""/>
                <o:lock v:ext="edit" aspectratio="f"/>
                <v:textbox>
                  <w:txbxContent>
                    <w:p w14:paraId="150932DC">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专项批准事件签认人的要求</w:t>
                      </w:r>
                    </w:p>
                  </w:txbxContent>
                </v:textbox>
              </v:rect>
            </w:pict>
          </mc:Fallback>
        </mc:AlternateContent>
      </w:r>
      <w:r>
        <w:rPr>
          <w:rFonts w:hint="eastAsia" w:hAnsi="宋体" w:eastAsia="宋体" w:cs="宋体"/>
          <w:color w:val="auto"/>
          <w:sz w:val="24"/>
          <w:szCs w:val="24"/>
          <w:highlight w:val="none"/>
        </w:rPr>
        <w:t>合同双方当事人应按照第23.1款、第24.1款和第25.1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14:paraId="07428A1D">
      <w:pPr>
        <w:pStyle w:val="22"/>
        <w:adjustRightInd w:val="0"/>
        <w:snapToGrid w:val="0"/>
        <w:spacing w:line="300" w:lineRule="auto"/>
        <w:ind w:right="-238"/>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76AA8FE3">
      <w:pPr>
        <w:pStyle w:val="22"/>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44" w:name="_Toc469383994"/>
      <w:bookmarkStart w:id="45" w:name="_Toc46860815"/>
      <w:r>
        <w:rPr>
          <w:rFonts w:hint="eastAsia" w:hAnsi="宋体" w:eastAsia="宋体" w:cs="宋体"/>
          <w:b/>
          <w:bCs/>
          <w:color w:val="auto"/>
          <w:sz w:val="24"/>
          <w:szCs w:val="24"/>
          <w:highlight w:val="none"/>
        </w:rPr>
        <w:t>15  专利技术</w:t>
      </w:r>
      <w:bookmarkEnd w:id="44"/>
      <w:bookmarkEnd w:id="45"/>
    </w:p>
    <w:p w14:paraId="3CA28AE8">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15.1                                                                                   </w:t>
      </w:r>
      <w:r>
        <w:rPr>
          <w:rFonts w:hint="eastAsia" w:hAnsi="宋体" w:eastAsia="宋体" w:cs="宋体"/>
          <w:b/>
          <w:bCs/>
          <w:color w:val="auto"/>
          <w:sz w:val="24"/>
          <w:szCs w:val="24"/>
          <w:highlight w:val="none"/>
          <w:u w:val="dotted"/>
        </w:rPr>
        <w:t xml:space="preserve">                                                                                                </w:t>
      </w:r>
    </w:p>
    <w:p w14:paraId="67BB6903">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99200"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1065" name="0000fc"/>
                <wp:cNvGraphicFramePr/>
                <a:graphic xmlns:a="http://schemas.openxmlformats.org/drawingml/2006/main">
                  <a:graphicData uri="http://schemas.microsoft.com/office/word/2010/wordprocessingShape">
                    <wps:wsp>
                      <wps:cNvSpPr/>
                      <wps:spPr>
                        <a:xfrm>
                          <a:off x="0" y="0"/>
                          <a:ext cx="914400" cy="471804"/>
                        </a:xfrm>
                        <a:prstGeom prst="rect">
                          <a:avLst/>
                        </a:prstGeom>
                        <a:ln>
                          <a:noFill/>
                        </a:ln>
                      </wps:spPr>
                      <wps:txbx>
                        <w:txbxContent>
                          <w:p w14:paraId="5193C8DE">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侵犯专利技术责任</w:t>
                            </w:r>
                          </w:p>
                        </w:txbxContent>
                      </wps:txbx>
                      <wps:bodyPr wrap="square"/>
                    </wps:wsp>
                  </a:graphicData>
                </a:graphic>
              </wp:anchor>
            </w:drawing>
          </mc:Choice>
          <mc:Fallback>
            <w:pict>
              <v:rect id="0000fc" o:spid="_x0000_s1026" o:spt="1" style="position:absolute;left:0pt;margin-left:-9pt;margin-top:1.8pt;height:37.15pt;width:72pt;z-index:251699200;mso-width-relative:page;mso-height-relative:page;" filled="f" stroked="f" coordsize="21600,21600" o:gfxdata="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9FQSK9kAAAAIAQAADwAAAAAAAAABACAAAAAiAAAA&#10;ZHJzL2Rvd25yZXYueG1sUEsBAhQAFAAAAAgAh07iQDJJZXCUAQAAOAMAAA4AAAAAAAAAAQAgAAAA&#10;KAEAAGRycy9lMm9Eb2MueG1sUEsFBgAAAAAGAAYAWQEAAC4FAAAAAA==&#10;">
                <v:fill on="f" focussize="0,0"/>
                <v:stroke on="f"/>
                <v:imagedata o:title=""/>
                <o:lock v:ext="edit" aspectratio="f"/>
                <v:textbox>
                  <w:txbxContent>
                    <w:p w14:paraId="5193C8DE">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侵犯专利技术责任</w:t>
                      </w:r>
                    </w:p>
                  </w:txbxContent>
                </v:textbox>
              </v:rect>
            </w:pict>
          </mc:Fallback>
        </mc:AlternateContent>
      </w:r>
      <w:r>
        <w:rPr>
          <w:rFonts w:hint="eastAsia" w:hAnsi="宋体" w:eastAsia="宋体" w:cs="宋体"/>
          <w:color w:val="auto"/>
          <w:sz w:val="24"/>
          <w:szCs w:val="24"/>
          <w:highlight w:val="none"/>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14:paraId="728C9CCE">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15.2</w:t>
      </w:r>
      <w:r>
        <w:rPr>
          <w:rFonts w:hint="eastAsia" w:hAnsi="宋体" w:eastAsia="宋体" w:cs="宋体"/>
          <w:b/>
          <w:bCs/>
          <w:color w:val="auto"/>
          <w:sz w:val="24"/>
          <w:szCs w:val="24"/>
          <w:highlight w:val="none"/>
          <w:u w:val="dotted"/>
        </w:rPr>
        <w:t xml:space="preserve">                                                                             </w:t>
      </w:r>
      <w:r>
        <w:rPr>
          <w:rFonts w:hint="eastAsia" w:hAnsi="宋体" w:eastAsia="宋体" w:cs="宋体"/>
          <w:b/>
          <w:bCs/>
          <w:color w:val="auto"/>
          <w:sz w:val="24"/>
          <w:szCs w:val="24"/>
          <w:highlight w:val="none"/>
        </w:rPr>
        <w:t xml:space="preserve">    </w:t>
      </w:r>
      <w:r>
        <w:rPr>
          <w:rFonts w:hint="eastAsia" w:hAnsi="宋体" w:eastAsia="宋体" w:cs="宋体"/>
          <w:b/>
          <w:bCs/>
          <w:color w:val="auto"/>
          <w:sz w:val="24"/>
          <w:szCs w:val="24"/>
          <w:highlight w:val="none"/>
          <w:u w:val="dotted"/>
        </w:rPr>
        <w:t xml:space="preserve">                                                                                                </w:t>
      </w:r>
    </w:p>
    <w:p w14:paraId="73FDDB46">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700224"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1066" name="0000fd"/>
                <wp:cNvGraphicFramePr/>
                <a:graphic xmlns:a="http://schemas.openxmlformats.org/drawingml/2006/main">
                  <a:graphicData uri="http://schemas.microsoft.com/office/word/2010/wordprocessingShape">
                    <wps:wsp>
                      <wps:cNvSpPr/>
                      <wps:spPr>
                        <a:xfrm>
                          <a:off x="0" y="0"/>
                          <a:ext cx="914400" cy="471804"/>
                        </a:xfrm>
                        <a:prstGeom prst="rect">
                          <a:avLst/>
                        </a:prstGeom>
                        <a:ln>
                          <a:noFill/>
                        </a:ln>
                      </wps:spPr>
                      <wps:txbx>
                        <w:txbxContent>
                          <w:p w14:paraId="6D634162">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专利技术的使用</w:t>
                            </w:r>
                          </w:p>
                        </w:txbxContent>
                      </wps:txbx>
                      <wps:bodyPr wrap="square"/>
                    </wps:wsp>
                  </a:graphicData>
                </a:graphic>
              </wp:anchor>
            </w:drawing>
          </mc:Choice>
          <mc:Fallback>
            <w:pict>
              <v:rect id="0000fd" o:spid="_x0000_s1026" o:spt="1" style="position:absolute;left:0pt;margin-left:-9pt;margin-top:1.8pt;height:37.15pt;width:72pt;z-index:251700224;mso-width-relative:page;mso-height-relative:page;" filled="f" stroked="f" coordsize="21600,21600" o:gfxdata="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9FQSK9kAAAAIAQAADwAAAAAAAAABACAAAAAiAAAA&#10;ZHJzL2Rvd25yZXYueG1sUEsBAhQAFAAAAAgAh07iQFI8Mv+UAQAAOAMAAA4AAAAAAAAAAQAgAAAA&#10;KAEAAGRycy9lMm9Eb2MueG1sUEsFBgAAAAAGAAYAWQEAAC4FAAAAAA==&#10;">
                <v:fill on="f" focussize="0,0"/>
                <v:stroke on="f"/>
                <v:imagedata o:title=""/>
                <o:lock v:ext="edit" aspectratio="f"/>
                <v:textbox>
                  <w:txbxContent>
                    <w:p w14:paraId="6D634162">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专利技术的使用</w:t>
                      </w:r>
                    </w:p>
                  </w:txbxContent>
                </v:textbox>
              </v:rect>
            </w:pict>
          </mc:Fallback>
        </mc:AlternateContent>
      </w:r>
      <w:r>
        <w:rPr>
          <w:rFonts w:hint="eastAsia" w:hAnsi="宋体" w:eastAsia="宋体" w:cs="宋体"/>
          <w:color w:val="auto"/>
          <w:sz w:val="24"/>
          <w:szCs w:val="24"/>
          <w:highlight w:val="none"/>
        </w:rPr>
        <w:t>承包人在投标文件中采用专利技术的，其发生的费用已包含在投标报价内。承包人的技术秘密和第91条规定的保密信息、资料等，发包人应严格按照第91条规定不得为合同以外的目的泄露给第三方。</w:t>
      </w:r>
    </w:p>
    <w:p w14:paraId="39BD0FDD">
      <w:pPr>
        <w:pStyle w:val="22"/>
        <w:tabs>
          <w:tab w:val="left" w:pos="1680"/>
        </w:tabs>
        <w:adjustRightInd w:val="0"/>
        <w:snapToGrid w:val="0"/>
        <w:spacing w:line="300" w:lineRule="auto"/>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701248"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1067" name="0000fe"/>
                <wp:cNvGraphicFramePr/>
                <a:graphic xmlns:a="http://schemas.openxmlformats.org/drawingml/2006/main">
                  <a:graphicData uri="http://schemas.microsoft.com/office/word/2010/wordprocessingShape">
                    <wps:wsp>
                      <wps:cNvSpPr/>
                      <wps:spPr>
                        <a:xfrm>
                          <a:off x="0" y="0"/>
                          <a:ext cx="914400" cy="497840"/>
                        </a:xfrm>
                        <a:prstGeom prst="rect">
                          <a:avLst/>
                        </a:prstGeom>
                        <a:ln>
                          <a:noFill/>
                        </a:ln>
                      </wps:spPr>
                      <wps:txbx>
                        <w:txbxContent>
                          <w:p w14:paraId="60E22ED2">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版权和知识产权</w:t>
                            </w:r>
                          </w:p>
                        </w:txbxContent>
                      </wps:txbx>
                      <wps:bodyPr wrap="square"/>
                    </wps:wsp>
                  </a:graphicData>
                </a:graphic>
              </wp:anchor>
            </w:drawing>
          </mc:Choice>
          <mc:Fallback>
            <w:pict>
              <v:rect id="0000fe" o:spid="_x0000_s1026" o:spt="1" style="position:absolute;left:0pt;margin-left:-9pt;margin-top:19pt;height:39.2pt;width:72pt;z-index:251701248;mso-width-relative:page;mso-height-relative:page;" filled="f" stroked="f" coordsize="21600,21600" o:gfxdata="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fzt5oNkAAAAKAQAADwAAAAAAAAABACAAAAAiAAAA&#10;ZHJzL2Rvd25yZXYueG1sUEsBAhQAFAAAAAgAh07iQJQvoneUAQAAOAMAAA4AAAAAAAAAAQAgAAAA&#10;KAEAAGRycy9lMm9Eb2MueG1sUEsFBgAAAAAGAAYAWQEAAC4FAAAAAA==&#10;">
                <v:fill on="f" focussize="0,0"/>
                <v:stroke on="f"/>
                <v:imagedata o:title=""/>
                <o:lock v:ext="edit" aspectratio="f"/>
                <v:textbox>
                  <w:txbxContent>
                    <w:p w14:paraId="60E22ED2">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版权和知识产权</w:t>
                      </w:r>
                    </w:p>
                  </w:txbxContent>
                </v:textbox>
              </v:rect>
            </w:pict>
          </mc:Fallback>
        </mc:AlternateContent>
      </w:r>
      <w:r>
        <w:rPr>
          <w:rFonts w:hint="eastAsia" w:hAnsi="宋体" w:eastAsia="宋体" w:cs="宋体"/>
          <w:color w:val="auto"/>
          <w:sz w:val="24"/>
          <w:szCs w:val="24"/>
          <w:highlight w:val="none"/>
        </w:rPr>
        <w:t xml:space="preserve">15.3  </w:t>
      </w:r>
      <w:r>
        <w:rPr>
          <w:rFonts w:hint="eastAsia" w:hAnsi="宋体" w:eastAsia="宋体" w:cs="宋体"/>
          <w:color w:val="auto"/>
          <w:sz w:val="24"/>
          <w:szCs w:val="24"/>
          <w:highlight w:val="none"/>
          <w:u w:val="dotted"/>
        </w:rPr>
        <w:t xml:space="preserve">                                                                                                       </w:t>
      </w:r>
    </w:p>
    <w:p w14:paraId="32D2C04C">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14:paraId="1BB9DF68">
      <w:pPr>
        <w:pStyle w:val="22"/>
        <w:adjustRightInd w:val="0"/>
        <w:snapToGrid w:val="0"/>
        <w:spacing w:line="300" w:lineRule="auto"/>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03DD77FC">
      <w:pPr>
        <w:pStyle w:val="22"/>
        <w:adjustRightInd w:val="0"/>
        <w:snapToGrid w:val="0"/>
        <w:spacing w:line="300" w:lineRule="auto"/>
        <w:outlineLvl w:val="2"/>
        <w:rPr>
          <w:rFonts w:hint="eastAsia" w:hAnsi="宋体" w:eastAsia="宋体" w:cs="宋体"/>
          <w:b/>
          <w:bCs/>
          <w:color w:val="auto"/>
          <w:sz w:val="24"/>
          <w:szCs w:val="24"/>
          <w:highlight w:val="none"/>
        </w:rPr>
      </w:pPr>
      <w:bookmarkStart w:id="46" w:name="_Toc469383995"/>
      <w:bookmarkStart w:id="47" w:name="_Toc46860816"/>
      <w:r>
        <w:rPr>
          <w:rFonts w:hint="eastAsia" w:hAnsi="宋体" w:eastAsia="宋体" w:cs="宋体"/>
          <w:b/>
          <w:bCs/>
          <w:color w:val="auto"/>
          <w:sz w:val="24"/>
          <w:szCs w:val="24"/>
          <w:highlight w:val="none"/>
        </w:rPr>
        <w:t>16  联合的责任</w:t>
      </w:r>
      <w:bookmarkEnd w:id="46"/>
      <w:bookmarkEnd w:id="47"/>
    </w:p>
    <w:p w14:paraId="68AE15B0">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702272"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1068" name="0000ff"/>
                <wp:cNvGraphicFramePr/>
                <a:graphic xmlns:a="http://schemas.openxmlformats.org/drawingml/2006/main">
                  <a:graphicData uri="http://schemas.microsoft.com/office/word/2010/wordprocessingShape">
                    <wps:wsp>
                      <wps:cNvSpPr/>
                      <wps:spPr>
                        <a:xfrm>
                          <a:off x="0" y="0"/>
                          <a:ext cx="914400" cy="461010"/>
                        </a:xfrm>
                        <a:prstGeom prst="rect">
                          <a:avLst/>
                        </a:prstGeom>
                        <a:ln>
                          <a:noFill/>
                        </a:ln>
                      </wps:spPr>
                      <wps:txbx>
                        <w:txbxContent>
                          <w:p w14:paraId="2B447388">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共同的和各自的责任</w:t>
                            </w:r>
                          </w:p>
                        </w:txbxContent>
                      </wps:txbx>
                      <wps:bodyPr wrap="square"/>
                    </wps:wsp>
                  </a:graphicData>
                </a:graphic>
              </wp:anchor>
            </w:drawing>
          </mc:Choice>
          <mc:Fallback>
            <w:pict>
              <v:rect id="0000ff" o:spid="_x0000_s1026" o:spt="1" style="position:absolute;left:0pt;margin-left:-9pt;margin-top:18.5pt;height:36.3pt;width:72pt;z-index:251702272;mso-width-relative:page;mso-height-relative:page;" filled="f" stroked="f" coordsize="21600,21600" o:gfxdata="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&#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LybGW2gAAAAoBAAAPAAAAAAAAAAEAIAAAACIAAABk&#10;cnMvZG93bnJldi54bWxQSwECFAAUAAAACACHTuJA2t8AlZIBAAA4AwAADgAAAAAAAAABACAAAAAp&#10;AQAAZHJzL2Uyb0RvYy54bWxQSwUGAAAAAAYABgBZAQAALQUAAAAA&#10;">
                <v:fill on="f" focussize="0,0"/>
                <v:stroke on="f"/>
                <v:imagedata o:title=""/>
                <o:lock v:ext="edit" aspectratio="f"/>
                <v:textbox>
                  <w:txbxContent>
                    <w:p w14:paraId="2B447388">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共同的和各自的责任</w:t>
                      </w:r>
                    </w:p>
                  </w:txbxContent>
                </v:textbox>
              </v:rect>
            </w:pict>
          </mc:Fallback>
        </mc:AlternateContent>
      </w:r>
      <w:r>
        <w:rPr>
          <w:rFonts w:hint="eastAsia" w:hAnsi="宋体" w:eastAsia="宋体" w:cs="宋体"/>
          <w:b/>
          <w:bCs/>
          <w:color w:val="auto"/>
          <w:sz w:val="24"/>
          <w:szCs w:val="24"/>
          <w:highlight w:val="none"/>
        </w:rPr>
        <w:t xml:space="preserve">16.1                     </w:t>
      </w:r>
    </w:p>
    <w:p w14:paraId="0252652D">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如果承包人是联合体经营，则联合体各方应共同与发包人签订合同协议书，并在工程开工前签订联合体施工协议书，作为本合同的附件。该联合体各方都应在合同履行期间对发包人负有共同的和各自的责任。</w:t>
      </w:r>
    </w:p>
    <w:p w14:paraId="14F010AF">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703296"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1069" name="000100"/>
                <wp:cNvGraphicFramePr/>
                <a:graphic xmlns:a="http://schemas.openxmlformats.org/drawingml/2006/main">
                  <a:graphicData uri="http://schemas.microsoft.com/office/word/2010/wordprocessingShape">
                    <wps:wsp>
                      <wps:cNvSpPr/>
                      <wps:spPr>
                        <a:xfrm>
                          <a:off x="0" y="0"/>
                          <a:ext cx="914400" cy="495300"/>
                        </a:xfrm>
                        <a:prstGeom prst="rect">
                          <a:avLst/>
                        </a:prstGeom>
                        <a:ln>
                          <a:noFill/>
                        </a:ln>
                      </wps:spPr>
                      <wps:txbx>
                        <w:txbxContent>
                          <w:p w14:paraId="6F01956A">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联合体文件签暑</w:t>
                            </w:r>
                          </w:p>
                        </w:txbxContent>
                      </wps:txbx>
                      <wps:bodyPr wrap="square"/>
                    </wps:wsp>
                  </a:graphicData>
                </a:graphic>
              </wp:anchor>
            </w:drawing>
          </mc:Choice>
          <mc:Fallback>
            <w:pict>
              <v:rect id="000100" o:spid="_x0000_s1026" o:spt="1" style="position:absolute;left:0pt;margin-left:-9pt;margin-top:19.35pt;height:39pt;width:72pt;z-index:251703296;mso-width-relative:page;mso-height-relative:page;" filled="f" stroked="f" coordsize="21600,21600" o:gfxdata="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AnUHTfbAAAACgEAAA8AAAAAAAAAAQAgAAAAIgAA&#10;AGRycy9kb3ducmV2LnhtbFBLAQIUABQAAAAIAIdO4kCoNTfZkwEAADgDAAAOAAAAAAAAAAEAIAAA&#10;ACoBAABkcnMvZTJvRG9jLnhtbFBLBQYAAAAABgAGAFkBAAAvBQAAAAA=&#10;">
                <v:fill on="f" focussize="0,0"/>
                <v:stroke on="f"/>
                <v:imagedata o:title=""/>
                <o:lock v:ext="edit" aspectratio="f"/>
                <v:textbox>
                  <w:txbxContent>
                    <w:p w14:paraId="6F01956A">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联合体文件签暑</w:t>
                      </w:r>
                    </w:p>
                  </w:txbxContent>
                </v:textbox>
              </v:rect>
            </w:pict>
          </mc:Fallback>
        </mc:AlternateContent>
      </w:r>
      <w:r>
        <w:rPr>
          <w:rFonts w:hint="eastAsia" w:hAnsi="宋体" w:eastAsia="宋体" w:cs="宋体"/>
          <w:b/>
          <w:bCs/>
          <w:color w:val="auto"/>
          <w:sz w:val="24"/>
          <w:szCs w:val="24"/>
          <w:highlight w:val="none"/>
        </w:rPr>
        <w:t xml:space="preserve">16.2  </w:t>
      </w:r>
      <w:r>
        <w:rPr>
          <w:rFonts w:hint="eastAsia" w:hAnsi="宋体" w:eastAsia="宋体" w:cs="宋体"/>
          <w:b/>
          <w:bCs/>
          <w:color w:val="auto"/>
          <w:sz w:val="24"/>
          <w:szCs w:val="24"/>
          <w:highlight w:val="none"/>
          <w:u w:val="dotted"/>
        </w:rPr>
        <w:t xml:space="preserve">                                                                                                       </w:t>
      </w:r>
    </w:p>
    <w:p w14:paraId="643929D2">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14:paraId="1C01D37A">
      <w:pPr>
        <w:tabs>
          <w:tab w:val="left" w:pos="1620"/>
        </w:tabs>
        <w:spacing w:line="300" w:lineRule="auto"/>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7582E4EF">
      <w:pPr>
        <w:pStyle w:val="22"/>
        <w:tabs>
          <w:tab w:val="left" w:pos="105"/>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48" w:name="_Toc469383996"/>
      <w:bookmarkStart w:id="49" w:name="_Toc46860817"/>
      <w:r>
        <w:rPr>
          <w:rFonts w:hint="eastAsia" w:hAnsi="宋体" w:eastAsia="宋体" w:cs="宋体"/>
          <w:b/>
          <w:bCs/>
          <w:color w:val="auto"/>
          <w:sz w:val="24"/>
          <w:szCs w:val="24"/>
          <w:highlight w:val="none"/>
        </w:rPr>
        <w:t>17  保障</w:t>
      </w:r>
      <w:bookmarkEnd w:id="48"/>
      <w:bookmarkEnd w:id="49"/>
    </w:p>
    <w:p w14:paraId="3BC43699">
      <w:pPr>
        <w:pStyle w:val="22"/>
        <w:tabs>
          <w:tab w:val="left" w:pos="1202"/>
        </w:tabs>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704320" behindDoc="0" locked="0" layoutInCell="1" allowOverlap="1">
                <wp:simplePos x="0" y="0"/>
                <wp:positionH relativeFrom="column">
                  <wp:posOffset>0</wp:posOffset>
                </wp:positionH>
                <wp:positionV relativeFrom="paragraph">
                  <wp:posOffset>181610</wp:posOffset>
                </wp:positionV>
                <wp:extent cx="914400" cy="594360"/>
                <wp:effectExtent l="0" t="0" r="0" b="0"/>
                <wp:wrapNone/>
                <wp:docPr id="1070" name="000101"/>
                <wp:cNvGraphicFramePr/>
                <a:graphic xmlns:a="http://schemas.openxmlformats.org/drawingml/2006/main">
                  <a:graphicData uri="http://schemas.microsoft.com/office/word/2010/wordprocessingShape">
                    <wps:wsp>
                      <wps:cNvSpPr/>
                      <wps:spPr>
                        <a:xfrm>
                          <a:off x="0" y="0"/>
                          <a:ext cx="914400" cy="594360"/>
                        </a:xfrm>
                        <a:prstGeom prst="rect">
                          <a:avLst/>
                        </a:prstGeom>
                        <a:ln>
                          <a:noFill/>
                        </a:ln>
                      </wps:spPr>
                      <wps:txbx>
                        <w:txbxContent>
                          <w:p w14:paraId="707FEF43">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合同双方相互保障</w:t>
                            </w:r>
                          </w:p>
                        </w:txbxContent>
                      </wps:txbx>
                      <wps:bodyPr wrap="square"/>
                    </wps:wsp>
                  </a:graphicData>
                </a:graphic>
              </wp:anchor>
            </w:drawing>
          </mc:Choice>
          <mc:Fallback>
            <w:pict>
              <v:rect id="000101" o:spid="_x0000_s1026" o:spt="1" style="position:absolute;left:0pt;margin-left:0pt;margin-top:14.3pt;height:46.8pt;width:72pt;z-index:251704320;mso-width-relative:page;mso-height-relative:page;" filled="f" stroked="f" coordsize="21600,21600" o:gfxdata="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jScd01wAAAAcBAAAPAAAAAAAAAAEAIAAAACIAAABk&#10;cnMvZG93bnJldi54bWxQSwECFAAUAAAACACHTuJALjAHF5UBAAA4AwAADgAAAAAAAAABACAAAAAm&#10;AQAAZHJzL2Uyb0RvYy54bWxQSwUGAAAAAAYABgBZAQAALQUAAAAA&#10;">
                <v:fill on="f" focussize="0,0"/>
                <v:stroke on="f"/>
                <v:imagedata o:title=""/>
                <o:lock v:ext="edit" aspectratio="f"/>
                <v:textbox>
                  <w:txbxContent>
                    <w:p w14:paraId="707FEF43">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合同双方相互保障</w:t>
                      </w:r>
                    </w:p>
                  </w:txbxContent>
                </v:textbox>
              </v:rect>
            </w:pict>
          </mc:Fallback>
        </mc:AlternateContent>
      </w:r>
      <w:r>
        <w:rPr>
          <w:rFonts w:hint="eastAsia" w:hAnsi="宋体" w:eastAsia="宋体" w:cs="宋体"/>
          <w:b/>
          <w:bCs/>
          <w:color w:val="auto"/>
          <w:sz w:val="24"/>
          <w:szCs w:val="24"/>
          <w:highlight w:val="none"/>
        </w:rPr>
        <w:t xml:space="preserve">17.1      </w:t>
      </w:r>
    </w:p>
    <w:p w14:paraId="2912108C">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14:paraId="31B8CE99">
      <w:pPr>
        <w:pStyle w:val="22"/>
        <w:tabs>
          <w:tab w:val="left" w:pos="1202"/>
        </w:tabs>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705344"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1071" name="000102"/>
                <wp:cNvGraphicFramePr/>
                <a:graphic xmlns:a="http://schemas.openxmlformats.org/drawingml/2006/main">
                  <a:graphicData uri="http://schemas.microsoft.com/office/word/2010/wordprocessingShape">
                    <wps:wsp>
                      <wps:cNvSpPr/>
                      <wps:spPr>
                        <a:xfrm>
                          <a:off x="0" y="0"/>
                          <a:ext cx="914400" cy="534670"/>
                        </a:xfrm>
                        <a:prstGeom prst="rect">
                          <a:avLst/>
                        </a:prstGeom>
                        <a:ln>
                          <a:noFill/>
                        </a:ln>
                      </wps:spPr>
                      <wps:txbx>
                        <w:txbxContent>
                          <w:p w14:paraId="78255651">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承包人对建设单位的保障</w:t>
                            </w:r>
                          </w:p>
                        </w:txbxContent>
                      </wps:txbx>
                      <wps:bodyPr wrap="square"/>
                    </wps:wsp>
                  </a:graphicData>
                </a:graphic>
              </wp:anchor>
            </w:drawing>
          </mc:Choice>
          <mc:Fallback>
            <w:pict>
              <v:rect id="000102" o:spid="_x0000_s1026" o:spt="1" style="position:absolute;left:0pt;margin-left:-9pt;margin-top:18.95pt;height:42.1pt;width:72pt;z-index:251705344;mso-width-relative:page;mso-height-relative:page;" filled="f" stroked="f" coordsize="21600,21600" o:gfxdata="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pGJvVtoAAAAKAQAADwAAAAAAAAABACAAAAAi&#10;AAAAZHJzL2Rvd25yZXYueG1sUEsBAhQAFAAAAAgAh07iQK/eJneWAQAAOAMAAA4AAAAAAAAAAQAg&#10;AAAAKQEAAGRycy9lMm9Eb2MueG1sUEsFBgAAAAAGAAYAWQEAADEFAAAAAA==&#10;">
                <v:fill on="f" focussize="0,0"/>
                <v:stroke on="f"/>
                <v:imagedata o:title=""/>
                <o:lock v:ext="edit" aspectratio="f"/>
                <v:textbox>
                  <w:txbxContent>
                    <w:p w14:paraId="78255651">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承包人对建设单位的保障</w:t>
                      </w:r>
                    </w:p>
                  </w:txbxContent>
                </v:textbox>
              </v:rect>
            </w:pict>
          </mc:Fallback>
        </mc:AlternateContent>
      </w:r>
      <w:r>
        <w:rPr>
          <w:rFonts w:hint="eastAsia" w:hAnsi="宋体" w:eastAsia="宋体" w:cs="宋体"/>
          <w:b/>
          <w:bCs/>
          <w:color w:val="auto"/>
          <w:sz w:val="24"/>
          <w:szCs w:val="24"/>
          <w:highlight w:val="none"/>
        </w:rPr>
        <w:t xml:space="preserve">17.2  </w:t>
      </w:r>
      <w:r>
        <w:rPr>
          <w:rFonts w:hint="eastAsia" w:hAnsi="宋体" w:eastAsia="宋体" w:cs="宋体"/>
          <w:b/>
          <w:bCs/>
          <w:color w:val="auto"/>
          <w:sz w:val="24"/>
          <w:szCs w:val="24"/>
          <w:highlight w:val="none"/>
          <w:u w:val="dotted"/>
        </w:rPr>
        <w:t xml:space="preserve">                                                                                                       </w:t>
      </w:r>
    </w:p>
    <w:p w14:paraId="50FBF432">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承包人应保障发包人不承担因承包人移动或使用施工场地外的施工设备和临时设施所造成的损害而引起的赔偿。</w:t>
      </w:r>
    </w:p>
    <w:p w14:paraId="619B4F3C">
      <w:pPr>
        <w:pStyle w:val="22"/>
        <w:adjustRightInd w:val="0"/>
        <w:snapToGrid w:val="0"/>
        <w:spacing w:line="300" w:lineRule="auto"/>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7B90A9CC">
      <w:pPr>
        <w:pStyle w:val="22"/>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50" w:name="_Toc469383997"/>
      <w:bookmarkStart w:id="51" w:name="_Toc46860818"/>
      <w:r>
        <w:rPr>
          <w:rFonts w:hint="eastAsia" w:hAnsi="宋体" w:eastAsia="宋体" w:cs="宋体"/>
          <w:b/>
          <w:bCs/>
          <w:color w:val="auto"/>
          <w:sz w:val="24"/>
          <w:szCs w:val="24"/>
          <w:highlight w:val="none"/>
        </w:rPr>
        <w:t>18  财产</w:t>
      </w:r>
      <w:bookmarkEnd w:id="50"/>
      <w:bookmarkEnd w:id="51"/>
    </w:p>
    <w:p w14:paraId="799DD59B">
      <w:pPr>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18.1                       </w:t>
      </w:r>
    </w:p>
    <w:p w14:paraId="243DEDB3">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706368"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1072" name="000103"/>
                <wp:cNvGraphicFramePr/>
                <a:graphic xmlns:a="http://schemas.openxmlformats.org/drawingml/2006/main">
                  <a:graphicData uri="http://schemas.microsoft.com/office/word/2010/wordprocessingShape">
                    <wps:wsp>
                      <wps:cNvSpPr/>
                      <wps:spPr>
                        <a:xfrm>
                          <a:off x="0" y="0"/>
                          <a:ext cx="914400" cy="724535"/>
                        </a:xfrm>
                        <a:prstGeom prst="rect">
                          <a:avLst/>
                        </a:prstGeom>
                        <a:ln>
                          <a:noFill/>
                        </a:ln>
                      </wps:spPr>
                      <wps:txbx>
                        <w:txbxContent>
                          <w:p w14:paraId="363AA198">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wps:txbx>
                      <wps:bodyPr wrap="square"/>
                    </wps:wsp>
                  </a:graphicData>
                </a:graphic>
              </wp:anchor>
            </w:drawing>
          </mc:Choice>
          <mc:Fallback>
            <w:pict>
              <v:rect id="000103" o:spid="_x0000_s1026" o:spt="1" style="position:absolute;left:0pt;margin-left:-9pt;margin-top:0pt;height:57.05pt;width:72pt;z-index:251706368;mso-width-relative:page;mso-height-relative:page;" filled="f" stroked="f" coordsize="21600,21600" o:gfxdata="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WmtJNtgAAAAIAQAADwAAAAAAAAABACAAAAAiAAAA&#10;ZHJzL2Rvd25yZXYueG1sUEsBAhQAFAAAAAgAh07iQKp1YbGVAQAAOAMAAA4AAAAAAAAAAQAgAAAA&#10;JwEAAGRycy9lMm9Eb2MueG1sUEsFBgAAAAAGAAYAWQEAAC4FAAAAAA==&#10;">
                <v:fill on="f" focussize="0,0"/>
                <v:stroke on="f"/>
                <v:imagedata o:title=""/>
                <o:lock v:ext="edit" aspectratio="f"/>
                <v:textbox>
                  <w:txbxContent>
                    <w:p w14:paraId="363AA198">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v:textbox>
              </v:rect>
            </w:pict>
          </mc:Fallback>
        </mc:AlternateContent>
      </w:r>
      <w:r>
        <w:rPr>
          <w:rFonts w:hint="eastAsia" w:ascii="宋体" w:hAnsi="宋体" w:eastAsia="宋体" w:cs="宋体"/>
          <w:color w:val="auto"/>
          <w:sz w:val="24"/>
          <w:highlight w:val="none"/>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14:paraId="5B916ACF">
      <w:pPr>
        <w:spacing w:line="300"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707392"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1073" name="000104"/>
                <wp:cNvGraphicFramePr/>
                <a:graphic xmlns:a="http://schemas.openxmlformats.org/drawingml/2006/main">
                  <a:graphicData uri="http://schemas.microsoft.com/office/word/2010/wordprocessingShape">
                    <wps:wsp>
                      <wps:cNvSpPr/>
                      <wps:spPr>
                        <a:xfrm>
                          <a:off x="0" y="0"/>
                          <a:ext cx="914400" cy="460375"/>
                        </a:xfrm>
                        <a:prstGeom prst="rect">
                          <a:avLst/>
                        </a:prstGeom>
                        <a:ln>
                          <a:noFill/>
                        </a:ln>
                      </wps:spPr>
                      <wps:txbx>
                        <w:txbxContent>
                          <w:p w14:paraId="0929F5C4">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建设单位财产及其使用</w:t>
                            </w:r>
                          </w:p>
                        </w:txbxContent>
                      </wps:txbx>
                      <wps:bodyPr wrap="square"/>
                    </wps:wsp>
                  </a:graphicData>
                </a:graphic>
              </wp:anchor>
            </w:drawing>
          </mc:Choice>
          <mc:Fallback>
            <w:pict>
              <v:rect id="000104" o:spid="_x0000_s1026" o:spt="1" style="position:absolute;left:0pt;margin-left:-9pt;margin-top:22.25pt;height:36.25pt;width:72pt;z-index:251707392;mso-width-relative:page;mso-height-relative:page;" filled="f" stroked="f" coordsize="21600,21600" o:gfxdata="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uH/KHNsAAAAKAQAADwAAAAAAAAABACAAAAAi&#10;AAAAZHJzL2Rvd25yZXYueG1sUEsBAhQAFAAAAAgAh07iQOCPHS6VAQAAOAMAAA4AAAAAAAAAAQAg&#10;AAAAKgEAAGRycy9lMm9Eb2MueG1sUEsFBgAAAAAGAAYAWQEAADEFAAAAAA==&#10;">
                <v:fill on="f" focussize="0,0"/>
                <v:stroke on="f"/>
                <v:imagedata o:title=""/>
                <o:lock v:ext="edit" aspectratio="f"/>
                <v:textbox>
                  <w:txbxContent>
                    <w:p w14:paraId="0929F5C4">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建设单位财产及其使用</w:t>
                      </w:r>
                    </w:p>
                  </w:txbxContent>
                </v:textbox>
              </v:rect>
            </w:pict>
          </mc:Fallback>
        </mc:AlternateContent>
      </w:r>
      <w:r>
        <w:rPr>
          <w:rFonts w:hint="eastAsia" w:ascii="宋体" w:hAnsi="宋体" w:eastAsia="宋体" w:cs="宋体"/>
          <w:b/>
          <w:bCs/>
          <w:color w:val="auto"/>
          <w:sz w:val="24"/>
          <w:highlight w:val="none"/>
        </w:rPr>
        <w:t xml:space="preserve">18.2  </w:t>
      </w:r>
      <w:r>
        <w:rPr>
          <w:rFonts w:hint="eastAsia" w:ascii="宋体" w:hAnsi="宋体" w:eastAsia="宋体" w:cs="宋体"/>
          <w:b/>
          <w:bCs/>
          <w:color w:val="auto"/>
          <w:sz w:val="24"/>
          <w:highlight w:val="none"/>
          <w:u w:val="dotted"/>
        </w:rPr>
        <w:t xml:space="preserve">                                                                                                       </w:t>
      </w:r>
    </w:p>
    <w:p w14:paraId="69EBF4F7">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如果发包人依据第87.3款规定的情形解除合同，则合同工程和临时工程，应认为是发包人的财产。</w:t>
      </w:r>
    </w:p>
    <w:p w14:paraId="7794D98D">
      <w:pPr>
        <w:spacing w:line="300"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708416"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1074" name="000105"/>
                <wp:cNvGraphicFramePr/>
                <a:graphic xmlns:a="http://schemas.openxmlformats.org/drawingml/2006/main">
                  <a:graphicData uri="http://schemas.microsoft.com/office/word/2010/wordprocessingShape">
                    <wps:wsp>
                      <wps:cNvSpPr/>
                      <wps:spPr>
                        <a:xfrm>
                          <a:off x="0" y="0"/>
                          <a:ext cx="914400" cy="544195"/>
                        </a:xfrm>
                        <a:prstGeom prst="rect">
                          <a:avLst/>
                        </a:prstGeom>
                        <a:ln>
                          <a:noFill/>
                        </a:ln>
                      </wps:spPr>
                      <wps:txbx>
                        <w:txbxContent>
                          <w:p w14:paraId="35B499CD">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承包人财产及其使用</w:t>
                            </w:r>
                          </w:p>
                        </w:txbxContent>
                      </wps:txbx>
                      <wps:bodyPr wrap="square"/>
                    </wps:wsp>
                  </a:graphicData>
                </a:graphic>
              </wp:anchor>
            </w:drawing>
          </mc:Choice>
          <mc:Fallback>
            <w:pict>
              <v:rect id="000105" o:spid="_x0000_s1026" o:spt="1" style="position:absolute;left:0pt;margin-left:-9pt;margin-top:22.25pt;height:42.85pt;width:72pt;z-index:251708416;mso-width-relative:page;mso-height-relative:page;" filled="f" stroked="f" coordsize="21600,21600" o:gfxdata="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p97+bdsAAAAKAQAADwAAAAAAAAABACAAAAAi&#10;AAAAZHJzL2Rvd25yZXYueG1sUEsBAhQAFAAAAAgAh07iQL1MviGVAQAAOAMAAA4AAAAAAAAAAQAg&#10;AAAAKgEAAGRycy9lMm9Eb2MueG1sUEsFBgAAAAAGAAYAWQEAADEFAAAAAA==&#10;">
                <v:fill on="f" focussize="0,0"/>
                <v:stroke on="f"/>
                <v:imagedata o:title=""/>
                <o:lock v:ext="edit" aspectratio="f"/>
                <v:textbox>
                  <w:txbxContent>
                    <w:p w14:paraId="35B499CD">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承包人财产及其使用</w:t>
                      </w:r>
                    </w:p>
                  </w:txbxContent>
                </v:textbox>
              </v:rect>
            </w:pict>
          </mc:Fallback>
        </mc:AlternateContent>
      </w:r>
      <w:r>
        <w:rPr>
          <w:rFonts w:hint="eastAsia" w:ascii="宋体" w:hAnsi="宋体" w:eastAsia="宋体" w:cs="宋体"/>
          <w:b/>
          <w:bCs/>
          <w:color w:val="auto"/>
          <w:sz w:val="24"/>
          <w:highlight w:val="none"/>
        </w:rPr>
        <w:t xml:space="preserve">18.3  </w:t>
      </w:r>
      <w:r>
        <w:rPr>
          <w:rFonts w:hint="eastAsia" w:ascii="宋体" w:hAnsi="宋体" w:eastAsia="宋体" w:cs="宋体"/>
          <w:b/>
          <w:bCs/>
          <w:color w:val="auto"/>
          <w:sz w:val="24"/>
          <w:highlight w:val="none"/>
          <w:u w:val="dotted"/>
        </w:rPr>
        <w:t xml:space="preserve">                                                                                                       </w:t>
      </w:r>
    </w:p>
    <w:p w14:paraId="5365D193">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如果承包人依据第87.4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14:paraId="1D4A199F">
      <w:pPr>
        <w:spacing w:line="30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u w:val="single"/>
        </w:rPr>
        <w:t xml:space="preserve">                                                                                                              </w:t>
      </w:r>
    </w:p>
    <w:p w14:paraId="03B68CD1">
      <w:pPr>
        <w:spacing w:line="300" w:lineRule="auto"/>
        <w:ind w:firstLine="2879" w:firstLineChars="1195"/>
        <w:outlineLvl w:val="1"/>
        <w:rPr>
          <w:rFonts w:hint="eastAsia" w:ascii="宋体" w:hAnsi="宋体" w:eastAsia="宋体" w:cs="宋体"/>
          <w:b/>
          <w:bCs/>
          <w:color w:val="auto"/>
          <w:sz w:val="24"/>
          <w:highlight w:val="none"/>
        </w:rPr>
      </w:pPr>
      <w:bookmarkStart w:id="52" w:name="_Toc469383998"/>
      <w:bookmarkStart w:id="53" w:name="_Toc46860819"/>
      <w:r>
        <w:rPr>
          <w:rFonts w:hint="eastAsia" w:ascii="宋体" w:hAnsi="宋体" w:eastAsia="宋体" w:cs="宋体"/>
          <w:b/>
          <w:bCs/>
          <w:color w:val="auto"/>
          <w:sz w:val="24"/>
          <w:highlight w:val="none"/>
        </w:rPr>
        <w:t>二、合同主体</w:t>
      </w:r>
      <w:bookmarkEnd w:id="52"/>
      <w:bookmarkEnd w:id="53"/>
    </w:p>
    <w:p w14:paraId="723F87BC">
      <w:pPr>
        <w:pStyle w:val="4"/>
        <w:tabs>
          <w:tab w:val="left" w:pos="420"/>
        </w:tabs>
        <w:spacing w:line="300" w:lineRule="auto"/>
        <w:ind w:left="720"/>
        <w:rPr>
          <w:rFonts w:hint="eastAsia" w:ascii="宋体" w:hAnsi="宋体" w:eastAsia="宋体" w:cs="宋体"/>
          <w:color w:val="auto"/>
          <w:sz w:val="24"/>
          <w:szCs w:val="24"/>
          <w:highlight w:val="none"/>
        </w:rPr>
      </w:pPr>
      <w:bookmarkStart w:id="54" w:name="_Toc469383999"/>
      <w:bookmarkStart w:id="55" w:name="_Toc46860820"/>
      <w:r>
        <w:rPr>
          <w:rFonts w:hint="eastAsia" w:ascii="宋体" w:hAnsi="宋体" w:eastAsia="宋体" w:cs="宋体"/>
          <w:color w:val="auto"/>
          <w:sz w:val="24"/>
          <w:szCs w:val="24"/>
          <w:highlight w:val="none"/>
        </w:rPr>
        <w:t xml:space="preserve">19  </w:t>
      </w:r>
      <w:bookmarkEnd w:id="54"/>
      <w:r>
        <w:rPr>
          <w:rFonts w:hint="eastAsia" w:ascii="宋体" w:hAnsi="宋体" w:eastAsia="宋体" w:cs="宋体"/>
          <w:color w:val="auto"/>
          <w:sz w:val="24"/>
          <w:szCs w:val="24"/>
          <w:highlight w:val="none"/>
        </w:rPr>
        <w:t>发包人</w:t>
      </w:r>
      <w:bookmarkEnd w:id="55"/>
    </w:p>
    <w:p w14:paraId="15D15D33">
      <w:pPr>
        <w:tabs>
          <w:tab w:val="left" w:pos="1620"/>
        </w:tabs>
        <w:spacing w:line="300" w:lineRule="auto"/>
        <w:ind w:left="-2" w:leftChars="-1" w:firstLine="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19.1                                                        </w:t>
      </w:r>
    </w:p>
    <w:p w14:paraId="5616435D">
      <w:pPr>
        <w:tabs>
          <w:tab w:val="left" w:pos="1620"/>
        </w:tabs>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709440"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1075" name="000106"/>
                <wp:cNvGraphicFramePr/>
                <a:graphic xmlns:a="http://schemas.openxmlformats.org/drawingml/2006/main">
                  <a:graphicData uri="http://schemas.microsoft.com/office/word/2010/wordprocessingShape">
                    <wps:wsp>
                      <wps:cNvSpPr/>
                      <wps:spPr>
                        <a:xfrm>
                          <a:off x="0" y="0"/>
                          <a:ext cx="914400" cy="429895"/>
                        </a:xfrm>
                        <a:prstGeom prst="rect">
                          <a:avLst/>
                        </a:prstGeom>
                        <a:ln>
                          <a:noFill/>
                        </a:ln>
                      </wps:spPr>
                      <wps:txbx>
                        <w:txbxContent>
                          <w:p w14:paraId="5022190F">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wps:wsp>
                  </a:graphicData>
                </a:graphic>
              </wp:anchor>
            </w:drawing>
          </mc:Choice>
          <mc:Fallback>
            <w:pict>
              <v:rect id="000106" o:spid="_x0000_s1026" o:spt="1" style="position:absolute;left:0pt;margin-left:-9pt;margin-top:0.35pt;height:33.85pt;width:72pt;z-index:251709440;mso-width-relative:page;mso-height-relative:page;" filled="f" stroked="f" coordsize="21600,21600" o:gfxdata="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&#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Zpy2A1wAAAAcBAAAPAAAAAAAAAAEAIAAAACIAAABk&#10;cnMvZG93bnJldi54bWxQSwECFAAUAAAACACHTuJAmQI3B5UBAAA4AwAADgAAAAAAAAABACAAAAAm&#10;AQAAZHJzL2Uyb0RvYy54bWxQSwUGAAAAAAYABgBZAQAALQUAAAAA&#10;">
                <v:fill on="f" focussize="0,0"/>
                <v:stroke on="f"/>
                <v:imagedata o:title=""/>
                <o:lock v:ext="edit" aspectratio="f"/>
                <v:textbox>
                  <w:txbxContent>
                    <w:p w14:paraId="5022190F">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v:textbox>
              </v:rect>
            </w:pict>
          </mc:Fallback>
        </mc:AlternateContent>
      </w:r>
      <w:r>
        <w:rPr>
          <w:rFonts w:hint="eastAsia" w:ascii="宋体" w:hAnsi="宋体" w:eastAsia="宋体" w:cs="宋体"/>
          <w:color w:val="auto"/>
          <w:sz w:val="24"/>
          <w:highlight w:val="none"/>
        </w:rPr>
        <w:t>发包人在履行合同期间应遵守法律，并保证承包人免于承担因发包人违反法律而引起的任何责任；遵守国家、省、市有关社会信用体系建设工作的法律、行政法规、规章、规范性文件，严格执行信用承诺制度，违背信用承诺约定时，承担违约责任，并依法承担相应法律责任。</w:t>
      </w:r>
    </w:p>
    <w:p w14:paraId="32D3D47D">
      <w:pPr>
        <w:tabs>
          <w:tab w:val="left" w:pos="1620"/>
        </w:tabs>
        <w:spacing w:line="300" w:lineRule="auto"/>
        <w:ind w:left="-2" w:leftChars="-1" w:firstLine="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19.2 </w:t>
      </w:r>
      <w:r>
        <w:rPr>
          <w:rFonts w:hint="eastAsia" w:ascii="宋体" w:hAnsi="宋体" w:eastAsia="宋体" w:cs="宋体"/>
          <w:b/>
          <w:bCs/>
          <w:color w:val="auto"/>
          <w:sz w:val="24"/>
          <w:highlight w:val="none"/>
          <w:u w:val="dotted"/>
        </w:rPr>
        <w:t xml:space="preserve">                                                                             </w:t>
      </w:r>
      <w:r>
        <w:rPr>
          <w:rFonts w:hint="eastAsia" w:ascii="宋体" w:hAnsi="宋体" w:eastAsia="宋体" w:cs="宋体"/>
          <w:b/>
          <w:bCs/>
          <w:color w:val="auto"/>
          <w:sz w:val="24"/>
          <w:highlight w:val="none"/>
        </w:rPr>
        <w:t xml:space="preserve">                                                       </w:t>
      </w:r>
    </w:p>
    <w:p w14:paraId="39E275B0">
      <w:pPr>
        <w:spacing w:line="300" w:lineRule="auto"/>
        <w:ind w:left="162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71046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1076" name="000107"/>
                <wp:cNvGraphicFramePr/>
                <a:graphic xmlns:a="http://schemas.openxmlformats.org/drawingml/2006/main">
                  <a:graphicData uri="http://schemas.microsoft.com/office/word/2010/wordprocessingShape">
                    <wps:wsp>
                      <wps:cNvSpPr/>
                      <wps:spPr>
                        <a:xfrm>
                          <a:off x="0" y="0"/>
                          <a:ext cx="914400" cy="429895"/>
                        </a:xfrm>
                        <a:prstGeom prst="rect">
                          <a:avLst/>
                        </a:prstGeom>
                        <a:ln>
                          <a:noFill/>
                        </a:ln>
                      </wps:spPr>
                      <wps:txbx>
                        <w:txbxContent>
                          <w:p w14:paraId="53E4A6E3">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建设单位工作</w:t>
                            </w:r>
                          </w:p>
                        </w:txbxContent>
                      </wps:txbx>
                      <wps:bodyPr wrap="square"/>
                    </wps:wsp>
                  </a:graphicData>
                </a:graphic>
              </wp:anchor>
            </w:drawing>
          </mc:Choice>
          <mc:Fallback>
            <w:pict>
              <v:rect id="000107" o:spid="_x0000_s1026" o:spt="1" style="position:absolute;left:0pt;margin-left:-9pt;margin-top:0.35pt;height:33.85pt;width:72pt;z-index:251710464;mso-width-relative:page;mso-height-relative:page;" filled="f" stroked="f" coordsize="21600,21600" o:gfxdata="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Zpy2A1wAAAAcBAAAPAAAAAAAAAAEAIAAAACIAAABk&#10;cnMvZG93bnJldi54bWxQSwECFAAUAAAACACHTuJAti4ATZUBAAA4AwAADgAAAAAAAAABACAAAAAm&#10;AQAAZHJzL2Uyb0RvYy54bWxQSwUGAAAAAAYABgBZAQAALQUAAAAA&#10;">
                <v:fill on="f" focussize="0,0"/>
                <v:stroke on="f"/>
                <v:imagedata o:title=""/>
                <o:lock v:ext="edit" aspectratio="f"/>
                <v:textbox>
                  <w:txbxContent>
                    <w:p w14:paraId="53E4A6E3">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建设单位工作</w:t>
                      </w:r>
                    </w:p>
                  </w:txbxContent>
                </v:textbox>
              </v:rect>
            </w:pict>
          </mc:Fallback>
        </mc:AlternateContent>
      </w:r>
      <w:r>
        <w:rPr>
          <w:rFonts w:hint="eastAsia" w:ascii="宋体" w:hAnsi="宋体" w:eastAsia="宋体" w:cs="宋体"/>
          <w:color w:val="auto"/>
          <w:sz w:val="24"/>
          <w:highlight w:val="none"/>
        </w:rPr>
        <w:t>发包人应按照合同约定完成下列工作，包括但不限于：</w:t>
      </w:r>
    </w:p>
    <w:p w14:paraId="1C53D24D">
      <w:pPr>
        <w:numPr>
          <w:ilvl w:val="0"/>
          <w:numId w:val="8"/>
        </w:numPr>
        <w:spacing w:line="300" w:lineRule="auto"/>
        <w:ind w:left="1616" w:leftChars="749" w:hanging="43" w:hangingChars="18"/>
        <w:rPr>
          <w:rFonts w:hint="eastAsia" w:ascii="宋体" w:hAnsi="宋体" w:eastAsia="宋体" w:cs="宋体"/>
          <w:color w:val="auto"/>
          <w:sz w:val="24"/>
          <w:highlight w:val="none"/>
        </w:rPr>
      </w:pPr>
      <w:r>
        <w:rPr>
          <w:rFonts w:hint="eastAsia" w:ascii="宋体" w:hAnsi="宋体" w:eastAsia="宋体" w:cs="宋体"/>
          <w:color w:val="auto"/>
          <w:sz w:val="24"/>
          <w:highlight w:val="none"/>
        </w:rPr>
        <w:t>办理土地征用、拆迁、平整施工场地等工作，使施工场地具备施工条件，并在开工后继续负责解决上述工作遗留的问题；</w:t>
      </w:r>
    </w:p>
    <w:p w14:paraId="4953196B">
      <w:pPr>
        <w:numPr>
          <w:ilvl w:val="0"/>
          <w:numId w:val="8"/>
        </w:numPr>
        <w:spacing w:line="300" w:lineRule="auto"/>
        <w:ind w:left="1635" w:leftChars="750" w:hanging="60" w:hangingChars="25"/>
        <w:rPr>
          <w:rFonts w:hint="eastAsia" w:ascii="宋体" w:hAnsi="宋体" w:eastAsia="宋体" w:cs="宋体"/>
          <w:color w:val="auto"/>
          <w:sz w:val="24"/>
          <w:highlight w:val="none"/>
        </w:rPr>
      </w:pPr>
      <w:r>
        <w:rPr>
          <w:rFonts w:hint="eastAsia" w:ascii="宋体" w:hAnsi="宋体" w:eastAsia="宋体" w:cs="宋体"/>
          <w:color w:val="auto"/>
          <w:sz w:val="24"/>
          <w:highlight w:val="none"/>
        </w:rPr>
        <w:t>将施工所需水、电、通讯线路从施工场地外部接驳至专用条款约定的地点，</w:t>
      </w:r>
    </w:p>
    <w:p w14:paraId="2B0E85D0">
      <w:pPr>
        <w:tabs>
          <w:tab w:val="left" w:pos="1980"/>
        </w:tabs>
        <w:spacing w:line="300" w:lineRule="auto"/>
        <w:ind w:left="1575" w:leftChars="750" w:firstLine="43" w:firstLineChars="18"/>
        <w:rPr>
          <w:rFonts w:hint="eastAsia" w:ascii="宋体" w:hAnsi="宋体" w:eastAsia="宋体" w:cs="宋体"/>
          <w:color w:val="auto"/>
          <w:sz w:val="24"/>
          <w:highlight w:val="none"/>
        </w:rPr>
      </w:pPr>
      <w:r>
        <w:rPr>
          <w:rFonts w:hint="eastAsia" w:ascii="宋体" w:hAnsi="宋体" w:eastAsia="宋体" w:cs="宋体"/>
          <w:color w:val="auto"/>
          <w:sz w:val="24"/>
          <w:highlight w:val="none"/>
        </w:rPr>
        <w:t>保证施工期间的需要；</w:t>
      </w:r>
    </w:p>
    <w:p w14:paraId="4888D869">
      <w:pPr>
        <w:numPr>
          <w:ilvl w:val="0"/>
          <w:numId w:val="8"/>
        </w:numPr>
        <w:spacing w:line="300" w:lineRule="auto"/>
        <w:ind w:left="1635" w:leftChars="750" w:hanging="60" w:hangingChars="25"/>
        <w:rPr>
          <w:rFonts w:hint="eastAsia" w:ascii="宋体" w:hAnsi="宋体" w:eastAsia="宋体" w:cs="宋体"/>
          <w:color w:val="auto"/>
          <w:sz w:val="24"/>
          <w:highlight w:val="none"/>
        </w:rPr>
      </w:pPr>
      <w:r>
        <w:rPr>
          <w:rFonts w:hint="eastAsia" w:ascii="宋体" w:hAnsi="宋体" w:eastAsia="宋体" w:cs="宋体"/>
          <w:color w:val="auto"/>
          <w:sz w:val="24"/>
          <w:highlight w:val="none"/>
        </w:rPr>
        <w:t>开通施工场地与城乡公共道路间的通道，满足第13条交通运输的需要；</w:t>
      </w:r>
    </w:p>
    <w:p w14:paraId="66971471">
      <w:pPr>
        <w:numPr>
          <w:ilvl w:val="0"/>
          <w:numId w:val="8"/>
        </w:numPr>
        <w:spacing w:line="300" w:lineRule="auto"/>
        <w:ind w:left="1616" w:leftChars="749" w:hanging="43" w:hangingChars="18"/>
        <w:rPr>
          <w:rFonts w:hint="eastAsia" w:ascii="宋体" w:hAnsi="宋体" w:eastAsia="宋体" w:cs="宋体"/>
          <w:color w:val="auto"/>
          <w:sz w:val="24"/>
          <w:highlight w:val="none"/>
        </w:rPr>
      </w:pPr>
      <w:r>
        <w:rPr>
          <w:rFonts w:hint="eastAsia" w:ascii="宋体" w:hAnsi="宋体" w:eastAsia="宋体" w:cs="宋体"/>
          <w:color w:val="auto"/>
          <w:sz w:val="24"/>
          <w:highlight w:val="none"/>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14:paraId="06A93202">
      <w:pPr>
        <w:numPr>
          <w:ilvl w:val="0"/>
          <w:numId w:val="8"/>
        </w:numPr>
        <w:spacing w:line="300" w:lineRule="auto"/>
        <w:ind w:left="1616" w:leftChars="748" w:hanging="45" w:hangingChars="19"/>
        <w:rPr>
          <w:rFonts w:hint="eastAsia" w:ascii="宋体" w:hAnsi="宋体" w:eastAsia="宋体" w:cs="宋体"/>
          <w:color w:val="auto"/>
          <w:sz w:val="24"/>
          <w:highlight w:val="none"/>
        </w:rPr>
      </w:pPr>
      <w:r>
        <w:rPr>
          <w:rFonts w:hint="eastAsia" w:ascii="宋体" w:hAnsi="宋体" w:eastAsia="宋体" w:cs="宋体"/>
          <w:color w:val="auto"/>
          <w:sz w:val="24"/>
          <w:highlight w:val="none"/>
        </w:rPr>
        <w:t>办理施工许可及其他所需证件、批准文件和办理临时用地、停水、停电、中断道路交通、爆破作业等的申请批准手续（承包人自身施工资质的证件除外）；</w:t>
      </w:r>
    </w:p>
    <w:p w14:paraId="091AF09A">
      <w:pPr>
        <w:numPr>
          <w:ilvl w:val="0"/>
          <w:numId w:val="8"/>
        </w:numPr>
        <w:spacing w:line="300" w:lineRule="auto"/>
        <w:ind w:left="1635" w:leftChars="750" w:hanging="60" w:hangingChars="25"/>
        <w:rPr>
          <w:rFonts w:hint="eastAsia" w:ascii="宋体" w:hAnsi="宋体" w:eastAsia="宋体" w:cs="宋体"/>
          <w:color w:val="auto"/>
          <w:sz w:val="24"/>
          <w:highlight w:val="none"/>
        </w:rPr>
      </w:pPr>
      <w:r>
        <w:rPr>
          <w:rFonts w:hint="eastAsia" w:ascii="宋体" w:hAnsi="宋体" w:eastAsia="宋体" w:cs="宋体"/>
          <w:color w:val="auto"/>
          <w:sz w:val="24"/>
          <w:highlight w:val="none"/>
        </w:rPr>
        <w:t>确定水准点与坐标控制点，组织现场交验并以书面形式移交给承包人；</w:t>
      </w:r>
    </w:p>
    <w:p w14:paraId="29CFA5A4">
      <w:pPr>
        <w:tabs>
          <w:tab w:val="left" w:pos="1980"/>
        </w:tabs>
        <w:spacing w:line="300" w:lineRule="auto"/>
        <w:ind w:left="1640" w:leftChars="781"/>
        <w:rPr>
          <w:rFonts w:hint="eastAsia" w:ascii="宋体" w:hAnsi="宋体" w:eastAsia="宋体" w:cs="宋体"/>
          <w:color w:val="auto"/>
          <w:sz w:val="24"/>
          <w:highlight w:val="none"/>
        </w:rPr>
      </w:pPr>
      <w:r>
        <w:rPr>
          <w:rFonts w:hint="eastAsia" w:ascii="宋体" w:hAnsi="宋体" w:eastAsia="宋体" w:cs="宋体"/>
          <w:color w:val="auto"/>
          <w:sz w:val="24"/>
          <w:highlight w:val="none"/>
        </w:rPr>
        <w:t>(7) 按照专用条款约定的时间向承包人提供一式两份约定的标准与规范；</w:t>
      </w:r>
    </w:p>
    <w:p w14:paraId="6EED00B6">
      <w:pPr>
        <w:tabs>
          <w:tab w:val="left" w:pos="1080"/>
          <w:tab w:val="left" w:pos="1980"/>
        </w:tabs>
        <w:spacing w:line="300" w:lineRule="auto"/>
        <w:ind w:left="1575"/>
        <w:rPr>
          <w:rFonts w:hint="eastAsia" w:ascii="宋体" w:hAnsi="宋体" w:eastAsia="宋体" w:cs="宋体"/>
          <w:color w:val="auto"/>
          <w:sz w:val="24"/>
          <w:highlight w:val="none"/>
        </w:rPr>
      </w:pPr>
      <w:r>
        <w:rPr>
          <w:rFonts w:hint="eastAsia" w:ascii="宋体" w:hAnsi="宋体" w:eastAsia="宋体" w:cs="宋体"/>
          <w:color w:val="auto"/>
          <w:sz w:val="24"/>
          <w:highlight w:val="none"/>
        </w:rPr>
        <w:t>(8) 组织承包人和设计人进行图纸会审和设计交底；</w:t>
      </w:r>
    </w:p>
    <w:p w14:paraId="14C92D74">
      <w:pPr>
        <w:tabs>
          <w:tab w:val="left" w:pos="1980"/>
        </w:tabs>
        <w:spacing w:line="300" w:lineRule="auto"/>
        <w:ind w:left="1575"/>
        <w:rPr>
          <w:rFonts w:hint="eastAsia" w:ascii="宋体" w:hAnsi="宋体" w:eastAsia="宋体" w:cs="宋体"/>
          <w:color w:val="auto"/>
          <w:sz w:val="24"/>
          <w:highlight w:val="none"/>
        </w:rPr>
      </w:pPr>
      <w:r>
        <w:rPr>
          <w:rFonts w:hint="eastAsia" w:ascii="宋体" w:hAnsi="宋体" w:eastAsia="宋体" w:cs="宋体"/>
          <w:color w:val="auto"/>
          <w:sz w:val="24"/>
          <w:highlight w:val="none"/>
        </w:rPr>
        <w:t>(9)协调处理施工场地周围地形关系问题和做好邻近建筑物、构筑物（包括文物保护建筑）、古树名木等的保护工作；</w:t>
      </w:r>
    </w:p>
    <w:p w14:paraId="33620D9F">
      <w:pPr>
        <w:tabs>
          <w:tab w:val="left" w:pos="1980"/>
        </w:tabs>
        <w:spacing w:line="300" w:lineRule="auto"/>
        <w:ind w:left="480" w:firstLine="1140" w:firstLineChars="475"/>
        <w:rPr>
          <w:rFonts w:hint="eastAsia" w:ascii="宋体" w:hAnsi="宋体" w:eastAsia="宋体" w:cs="宋体"/>
          <w:color w:val="auto"/>
          <w:sz w:val="24"/>
          <w:highlight w:val="none"/>
        </w:rPr>
      </w:pPr>
      <w:r>
        <w:rPr>
          <w:rFonts w:hint="eastAsia" w:ascii="宋体" w:hAnsi="宋体" w:eastAsia="宋体" w:cs="宋体"/>
          <w:color w:val="auto"/>
          <w:sz w:val="24"/>
          <w:highlight w:val="none"/>
        </w:rPr>
        <w:t>(10)及时接收已完工程，并按照合同约定及时支付工程款及其</w:t>
      </w:r>
    </w:p>
    <w:p w14:paraId="23A8A72D">
      <w:pPr>
        <w:tabs>
          <w:tab w:val="left" w:pos="1980"/>
        </w:tabs>
        <w:spacing w:line="300" w:lineRule="auto"/>
        <w:ind w:left="480" w:firstLine="1140" w:firstLineChars="475"/>
        <w:rPr>
          <w:rFonts w:hint="eastAsia" w:ascii="宋体" w:hAnsi="宋体" w:eastAsia="宋体" w:cs="宋体"/>
          <w:color w:val="auto"/>
          <w:sz w:val="24"/>
          <w:highlight w:val="none"/>
        </w:rPr>
      </w:pPr>
      <w:r>
        <w:rPr>
          <w:rFonts w:hint="eastAsia" w:ascii="宋体" w:hAnsi="宋体" w:eastAsia="宋体" w:cs="宋体"/>
          <w:color w:val="auto"/>
          <w:sz w:val="24"/>
          <w:highlight w:val="none"/>
        </w:rPr>
        <w:t>他各种款项。</w:t>
      </w:r>
    </w:p>
    <w:p w14:paraId="0A6A7DDF">
      <w:pPr>
        <w:pStyle w:val="25"/>
        <w:tabs>
          <w:tab w:val="left" w:pos="1980"/>
        </w:tabs>
        <w:spacing w:line="300" w:lineRule="auto"/>
        <w:ind w:left="1619" w:leftChars="771" w:firstLine="1" w:firstLineChars="0"/>
        <w:rPr>
          <w:rFonts w:hint="eastAsia" w:ascii="宋体" w:hAnsi="宋体" w:eastAsia="宋体" w:cs="宋体"/>
          <w:color w:val="auto"/>
          <w:highlight w:val="none"/>
        </w:rPr>
      </w:pPr>
      <w:r>
        <w:rPr>
          <w:rFonts w:hint="eastAsia" w:ascii="宋体" w:hAnsi="宋体" w:eastAsia="宋体" w:cs="宋体"/>
          <w:color w:val="auto"/>
          <w:highlight w:val="none"/>
        </w:rPr>
        <w:t>发包人可将其中部分工作委托给承包人办理，具体由合同双方当事人在专用条款中约定。除合同价款已包括外，由发包人承担所需费用，并向承包人支付合理利润。</w:t>
      </w:r>
    </w:p>
    <w:p w14:paraId="7E647E05">
      <w:pPr>
        <w:spacing w:line="30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19.3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14F6C4DA">
      <w:pPr>
        <w:spacing w:line="300" w:lineRule="auto"/>
        <w:ind w:left="1619" w:leftChars="771" w:firstLine="2"/>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711488"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1077" name="000108"/>
                <wp:cNvGraphicFramePr/>
                <a:graphic xmlns:a="http://schemas.openxmlformats.org/drawingml/2006/main">
                  <a:graphicData uri="http://schemas.microsoft.com/office/word/2010/wordprocessingShape">
                    <wps:wsp>
                      <wps:cNvSpPr/>
                      <wps:spPr>
                        <a:xfrm>
                          <a:off x="0" y="0"/>
                          <a:ext cx="914400" cy="495300"/>
                        </a:xfrm>
                        <a:prstGeom prst="rect">
                          <a:avLst/>
                        </a:prstGeom>
                        <a:ln>
                          <a:noFill/>
                        </a:ln>
                      </wps:spPr>
                      <wps:txbx>
                        <w:txbxContent>
                          <w:p w14:paraId="4EA9AEA6">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建设单位提供施工场地</w:t>
                            </w:r>
                          </w:p>
                        </w:txbxContent>
                      </wps:txbx>
                      <wps:bodyPr wrap="square"/>
                    </wps:wsp>
                  </a:graphicData>
                </a:graphic>
              </wp:anchor>
            </w:drawing>
          </mc:Choice>
          <mc:Fallback>
            <w:pict>
              <v:rect id="000108" o:spid="_x0000_s1026" o:spt="1" style="position:absolute;left:0pt;margin-left:-9pt;margin-top:0pt;height:39pt;width:72pt;z-index:251711488;mso-width-relative:page;mso-height-relative:page;" filled="f" stroked="f" coordsize="21600,21600" o:gfxdata="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&#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EwKL6rXAAAABwEAAA8AAAAAAAAAAQAgAAAAIgAAAGRy&#10;cy9kb3ducmV2LnhtbFBLAQIUABQAAAAIAIdO4kCZ7G0nlAEAADgDAAAOAAAAAAAAAAEAIAAAACYB&#10;AABkcnMvZTJvRG9jLnhtbFBLBQYAAAAABgAGAFkBAAAsBQAAAAA=&#10;">
                <v:fill on="f" focussize="0,0"/>
                <v:stroke on="f"/>
                <v:imagedata o:title=""/>
                <o:lock v:ext="edit" aspectratio="f"/>
                <v:textbox>
                  <w:txbxContent>
                    <w:p w14:paraId="4EA9AEA6">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建设单位提供施工场地</w:t>
                      </w:r>
                    </w:p>
                  </w:txbxContent>
                </v:textbox>
              </v:rect>
            </w:pict>
          </mc:Fallback>
        </mc:AlternateContent>
      </w:r>
      <w:r>
        <w:rPr>
          <w:rFonts w:hint="eastAsia" w:ascii="宋体" w:hAnsi="宋体" w:eastAsia="宋体" w:cs="宋体"/>
          <w:color w:val="auto"/>
          <w:sz w:val="24"/>
          <w:highlight w:val="none"/>
        </w:rPr>
        <w:t>发包人应按照专用条款约定的时间提供施工场地，并在确保承包人按照计划进度顺利开工的时间内给予承包人进入和使用施工场地的权利。</w:t>
      </w:r>
    </w:p>
    <w:p w14:paraId="4025826D">
      <w:pPr>
        <w:spacing w:line="300" w:lineRule="auto"/>
        <w:ind w:left="1619" w:leftChars="771" w:firstLine="2"/>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发包人保留其工作人员、雇员和相关执法人员进入和使用施工场地的权利。</w:t>
      </w:r>
    </w:p>
    <w:p w14:paraId="24071898">
      <w:pPr>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19.4  </w:t>
      </w:r>
      <w:r>
        <w:rPr>
          <w:rFonts w:hint="eastAsia" w:ascii="宋体" w:hAnsi="宋体" w:eastAsia="宋体" w:cs="宋体"/>
          <w:b/>
          <w:bCs/>
          <w:color w:val="auto"/>
          <w:sz w:val="24"/>
          <w:highlight w:val="none"/>
          <w:u w:val="dotted"/>
        </w:rPr>
        <w:t xml:space="preserve">                                                                                                       </w:t>
      </w:r>
    </w:p>
    <w:p w14:paraId="6E811925">
      <w:pPr>
        <w:spacing w:line="300" w:lineRule="auto"/>
        <w:ind w:left="1619" w:leftChars="771"/>
        <w:rPr>
          <w:rFonts w:hint="eastAsia"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712512"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1078" name="000109"/>
                <wp:cNvGraphicFramePr/>
                <a:graphic xmlns:a="http://schemas.openxmlformats.org/drawingml/2006/main">
                  <a:graphicData uri="http://schemas.microsoft.com/office/word/2010/wordprocessingShape">
                    <wps:wsp>
                      <wps:cNvSpPr/>
                      <wps:spPr>
                        <a:xfrm>
                          <a:off x="0" y="0"/>
                          <a:ext cx="914400" cy="715645"/>
                        </a:xfrm>
                        <a:prstGeom prst="rect">
                          <a:avLst/>
                        </a:prstGeom>
                        <a:ln>
                          <a:noFill/>
                        </a:ln>
                      </wps:spPr>
                      <wps:txbx>
                        <w:txbxContent>
                          <w:p w14:paraId="46B471CD">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建设单位支付款项</w:t>
                            </w:r>
                          </w:p>
                        </w:txbxContent>
                      </wps:txbx>
                      <wps:bodyPr wrap="square"/>
                    </wps:wsp>
                  </a:graphicData>
                </a:graphic>
              </wp:anchor>
            </w:drawing>
          </mc:Choice>
          <mc:Fallback>
            <w:pict>
              <v:rect id="000109" o:spid="_x0000_s1026" o:spt="1" style="position:absolute;left:0pt;margin-left:-9pt;margin-top:1.2pt;height:56.35pt;width:72pt;z-index:251712512;mso-width-relative:page;mso-height-relative:page;" filled="f" stroked="f" coordsize="21600,21600" o:gfxdata="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u+GlddkAAAAJAQAADwAAAAAAAAABACAAAAAiAAAA&#10;ZHJzL2Rvd25yZXYueG1sUEsBAhQAFAAAAAgAh07iQJbYWOqUAQAAOAMAAA4AAAAAAAAAAQAgAAAA&#10;KAEAAGRycy9lMm9Eb2MueG1sUEsFBgAAAAAGAAYAWQEAAC4FAAAAAA==&#10;">
                <v:fill on="f" focussize="0,0"/>
                <v:stroke on="f"/>
                <v:imagedata o:title=""/>
                <o:lock v:ext="edit" aspectratio="f"/>
                <v:textbox>
                  <w:txbxContent>
                    <w:p w14:paraId="46B471CD">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建设单位支付款项</w:t>
                      </w:r>
                    </w:p>
                  </w:txbxContent>
                </v:textbox>
              </v:rect>
            </w:pict>
          </mc:Fallback>
        </mc:AlternateContent>
      </w:r>
      <w:r>
        <w:rPr>
          <w:rFonts w:hint="eastAsia" w:ascii="宋体" w:hAnsi="宋体" w:eastAsia="宋体" w:cs="宋体"/>
          <w:color w:val="auto"/>
          <w:sz w:val="24"/>
          <w:highlight w:val="none"/>
        </w:rPr>
        <w:t>发包人应按照合同约定的期限和方式向承包人支付工程款及其他应支付的款项。</w:t>
      </w:r>
    </w:p>
    <w:p w14:paraId="42B07055">
      <w:pPr>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19.5  </w:t>
      </w:r>
      <w:r>
        <w:rPr>
          <w:rFonts w:hint="eastAsia" w:ascii="宋体" w:hAnsi="宋体" w:eastAsia="宋体" w:cs="宋体"/>
          <w:b/>
          <w:bCs/>
          <w:color w:val="auto"/>
          <w:sz w:val="24"/>
          <w:highlight w:val="none"/>
          <w:u w:val="dotted"/>
        </w:rPr>
        <w:t xml:space="preserve">                                                                                                       </w:t>
      </w:r>
    </w:p>
    <w:p w14:paraId="1DA971D6">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713536"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1079" name="00010a"/>
                <wp:cNvGraphicFramePr/>
                <a:graphic xmlns:a="http://schemas.openxmlformats.org/drawingml/2006/main">
                  <a:graphicData uri="http://schemas.microsoft.com/office/word/2010/wordprocessingShape">
                    <wps:wsp>
                      <wps:cNvSpPr/>
                      <wps:spPr>
                        <a:xfrm>
                          <a:off x="0" y="0"/>
                          <a:ext cx="914400" cy="852170"/>
                        </a:xfrm>
                        <a:prstGeom prst="rect">
                          <a:avLst/>
                        </a:prstGeom>
                        <a:ln>
                          <a:noFill/>
                        </a:ln>
                      </wps:spPr>
                      <wps:txbx>
                        <w:txbxContent>
                          <w:p w14:paraId="7AE0EEB6">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建设单位组织竣工验收</w:t>
                            </w:r>
                          </w:p>
                        </w:txbxContent>
                      </wps:txbx>
                      <wps:bodyPr wrap="square"/>
                    </wps:wsp>
                  </a:graphicData>
                </a:graphic>
              </wp:anchor>
            </w:drawing>
          </mc:Choice>
          <mc:Fallback>
            <w:pict>
              <v:rect id="00010a" o:spid="_x0000_s1026" o:spt="1" style="position:absolute;left:0pt;margin-left:-9pt;margin-top:1.2pt;height:67.1pt;width:72pt;z-index:251713536;mso-width-relative:page;mso-height-relative:page;" filled="f" stroked="f" coordsize="21600,21600" o:gfxdata="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Ecm9nTZAAAACQEAAA8AAAAAAAAAAQAgAAAAIgAA&#10;AGRycy9kb3ducmV2LnhtbFBLAQIUABQAAAAIAIdO4kChF+21lQEAADgDAAAOAAAAAAAAAAEAIAAA&#10;ACgBAABkcnMvZTJvRG9jLnhtbFBLBQYAAAAABgAGAFkBAAAvBQAAAAA=&#10;">
                <v:fill on="f" focussize="0,0"/>
                <v:stroke on="f"/>
                <v:imagedata o:title=""/>
                <o:lock v:ext="edit" aspectratio="f"/>
                <v:textbox>
                  <w:txbxContent>
                    <w:p w14:paraId="7AE0EEB6">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建设单位组织竣工验收</w:t>
                      </w:r>
                    </w:p>
                  </w:txbxContent>
                </v:textbox>
              </v:rect>
            </w:pict>
          </mc:Fallback>
        </mc:AlternateContent>
      </w:r>
      <w:r>
        <w:rPr>
          <w:rFonts w:hint="eastAsia" w:ascii="宋体" w:hAnsi="宋体" w:eastAsia="宋体" w:cs="宋体"/>
          <w:color w:val="auto"/>
          <w:sz w:val="24"/>
          <w:highlight w:val="none"/>
        </w:rPr>
        <w:t>发包人应按照第58条规定组织承包人、设计人、监理人和工程造价咨询人（如有）等进行竣工验收。</w:t>
      </w:r>
    </w:p>
    <w:p w14:paraId="35020F7A">
      <w:pPr>
        <w:spacing w:line="300"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714560"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1080" name="00010b"/>
                <wp:cNvGraphicFramePr/>
                <a:graphic xmlns:a="http://schemas.openxmlformats.org/drawingml/2006/main">
                  <a:graphicData uri="http://schemas.microsoft.com/office/word/2010/wordprocessingShape">
                    <wps:wsp>
                      <wps:cNvSpPr/>
                      <wps:spPr>
                        <a:xfrm>
                          <a:off x="0" y="0"/>
                          <a:ext cx="914400" cy="1162685"/>
                        </a:xfrm>
                        <a:prstGeom prst="rect">
                          <a:avLst/>
                        </a:prstGeom>
                        <a:ln>
                          <a:noFill/>
                        </a:ln>
                      </wps:spPr>
                      <wps:txbx>
                        <w:txbxContent>
                          <w:p w14:paraId="0C4C1461">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建设单位供应材料和工程设备要求</w:t>
                            </w:r>
                          </w:p>
                        </w:txbxContent>
                      </wps:txbx>
                      <wps:bodyPr wrap="square"/>
                    </wps:wsp>
                  </a:graphicData>
                </a:graphic>
              </wp:anchor>
            </w:drawing>
          </mc:Choice>
          <mc:Fallback>
            <w:pict>
              <v:rect id="00010b" o:spid="_x0000_s1026" o:spt="1" style="position:absolute;left:0pt;margin-left:-9pt;margin-top:21.5pt;height:91.55pt;width:72pt;z-index:251714560;mso-width-relative:page;mso-height-relative:page;" filled="f" stroked="f" coordsize="21600,21600" o:gfxdata="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IlX0hTaAAAACgEAAA8AAAAAAAAAAQAgAAAAIgAA&#10;AGRycy9kb3ducmV2LnhtbFBLAQIUABQAAAAIAIdO4kBlv3tglAEAADkDAAAOAAAAAAAAAAEAIAAA&#10;ACkBAABkcnMvZTJvRG9jLnhtbFBLBQYAAAAABgAGAFkBAAAvBQAAAAA=&#10;">
                <v:fill on="f" focussize="0,0"/>
                <v:stroke on="f"/>
                <v:imagedata o:title=""/>
                <o:lock v:ext="edit" aspectratio="f"/>
                <v:textbox>
                  <w:txbxContent>
                    <w:p w14:paraId="0C4C1461">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建设单位供应材料和工程设备要求</w:t>
                      </w:r>
                    </w:p>
                  </w:txbxContent>
                </v:textbox>
              </v:rect>
            </w:pict>
          </mc:Fallback>
        </mc:AlternateContent>
      </w:r>
      <w:r>
        <w:rPr>
          <w:rFonts w:hint="eastAsia" w:ascii="宋体" w:hAnsi="宋体" w:eastAsia="宋体" w:cs="宋体"/>
          <w:b/>
          <w:bCs/>
          <w:color w:val="auto"/>
          <w:sz w:val="24"/>
          <w:highlight w:val="none"/>
        </w:rPr>
        <w:t xml:space="preserve">19.6  </w:t>
      </w:r>
      <w:r>
        <w:rPr>
          <w:rFonts w:hint="eastAsia" w:ascii="宋体" w:hAnsi="宋体" w:eastAsia="宋体" w:cs="宋体"/>
          <w:b/>
          <w:bCs/>
          <w:color w:val="auto"/>
          <w:sz w:val="24"/>
          <w:highlight w:val="none"/>
          <w:u w:val="dotted"/>
        </w:rPr>
        <w:t xml:space="preserve">                                                                                                       </w:t>
      </w:r>
    </w:p>
    <w:p w14:paraId="105E47E1">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发包人供应材料和工程设备的，发包人应按照第48条规定向承包人提供材料和工程设备。</w:t>
      </w:r>
    </w:p>
    <w:p w14:paraId="303482D7">
      <w:pPr>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19.7  </w:t>
      </w:r>
      <w:r>
        <w:rPr>
          <w:rFonts w:hint="eastAsia" w:ascii="宋体" w:hAnsi="宋体" w:eastAsia="宋体" w:cs="宋体"/>
          <w:b/>
          <w:bCs/>
          <w:color w:val="auto"/>
          <w:sz w:val="24"/>
          <w:highlight w:val="none"/>
          <w:u w:val="dotted"/>
        </w:rPr>
        <w:t xml:space="preserve">                                                                                                       </w:t>
      </w:r>
    </w:p>
    <w:p w14:paraId="72D7DF0C">
      <w:pPr>
        <w:spacing w:line="300" w:lineRule="auto"/>
        <w:ind w:left="1619" w:leftChars="771" w:firstLine="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715584"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1081" name="00010c"/>
                <wp:cNvGraphicFramePr/>
                <a:graphic xmlns:a="http://schemas.openxmlformats.org/drawingml/2006/main">
                  <a:graphicData uri="http://schemas.microsoft.com/office/word/2010/wordprocessingShape">
                    <wps:wsp>
                      <wps:cNvSpPr/>
                      <wps:spPr>
                        <a:xfrm>
                          <a:off x="0" y="0"/>
                          <a:ext cx="914400" cy="449580"/>
                        </a:xfrm>
                        <a:prstGeom prst="rect">
                          <a:avLst/>
                        </a:prstGeom>
                        <a:ln>
                          <a:noFill/>
                        </a:ln>
                      </wps:spPr>
                      <wps:txbx>
                        <w:txbxContent>
                          <w:p w14:paraId="437F7C51">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建设单位未尽义务的责任</w:t>
                            </w:r>
                          </w:p>
                        </w:txbxContent>
                      </wps:txbx>
                      <wps:bodyPr wrap="square"/>
                    </wps:wsp>
                  </a:graphicData>
                </a:graphic>
              </wp:anchor>
            </w:drawing>
          </mc:Choice>
          <mc:Fallback>
            <w:pict>
              <v:rect id="00010c" o:spid="_x0000_s1026" o:spt="1" style="position:absolute;left:0pt;margin-left:-9pt;margin-top:0pt;height:35.4pt;width:72pt;z-index:251715584;mso-width-relative:page;mso-height-relative:page;" filled="f" stroked="f" coordsize="21600,21600" o:gfxdata="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e8FVPtgAAAAHAQAADwAAAAAAAAABACAAAAAiAAAA&#10;ZHJzL2Rvd25yZXYueG1sUEsBAhQAFAAAAAgAh07iQPWwOmiVAQAAOAMAAA4AAAAAAAAAAQAgAAAA&#10;JwEAAGRycy9lMm9Eb2MueG1sUEsFBgAAAAAGAAYAWQEAAC4FAAAAAA==&#10;">
                <v:fill on="f" focussize="0,0"/>
                <v:stroke on="f"/>
                <v:imagedata o:title=""/>
                <o:lock v:ext="edit" aspectratio="f"/>
                <v:textbox>
                  <w:txbxContent>
                    <w:p w14:paraId="437F7C51">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建设单位未尽义务的责任</w:t>
                      </w:r>
                    </w:p>
                  </w:txbxContent>
                </v:textbox>
              </v:rect>
            </w:pict>
          </mc:Fallback>
        </mc:AlternateContent>
      </w:r>
      <w:r>
        <w:rPr>
          <w:rFonts w:hint="eastAsia" w:ascii="宋体" w:hAnsi="宋体" w:eastAsia="宋体" w:cs="宋体"/>
          <w:color w:val="auto"/>
          <w:sz w:val="24"/>
          <w:highlight w:val="none"/>
        </w:rPr>
        <w:t>发包人未能正确完成本合同约定的全部义务，导致费用的增加和（或）延误的工期，由发包人承担；给承包人造成损失的，发包人应予赔偿。</w:t>
      </w:r>
    </w:p>
    <w:p w14:paraId="6A582F8C">
      <w:pPr>
        <w:spacing w:line="300" w:lineRule="auto"/>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5CA04254">
      <w:pPr>
        <w:pStyle w:val="4"/>
        <w:tabs>
          <w:tab w:val="left" w:pos="420"/>
        </w:tabs>
        <w:spacing w:line="300" w:lineRule="auto"/>
        <w:ind w:left="720"/>
        <w:rPr>
          <w:rFonts w:hint="eastAsia" w:ascii="宋体" w:hAnsi="宋体" w:eastAsia="宋体" w:cs="宋体"/>
          <w:color w:val="auto"/>
          <w:sz w:val="24"/>
          <w:szCs w:val="24"/>
          <w:highlight w:val="none"/>
        </w:rPr>
      </w:pPr>
      <w:bookmarkStart w:id="56" w:name="_Toc46860821"/>
      <w:bookmarkStart w:id="57" w:name="_Toc469384000"/>
      <w:r>
        <w:rPr>
          <w:rFonts w:hint="eastAsia" w:ascii="宋体" w:hAnsi="宋体" w:eastAsia="宋体" w:cs="宋体"/>
          <w:color w:val="auto"/>
          <w:sz w:val="24"/>
          <w:szCs w:val="24"/>
          <w:highlight w:val="none"/>
        </w:rPr>
        <w:t>20  承包人</w:t>
      </w:r>
      <w:bookmarkEnd w:id="56"/>
      <w:bookmarkEnd w:id="57"/>
    </w:p>
    <w:p w14:paraId="5ABC5F00">
      <w:pPr>
        <w:tabs>
          <w:tab w:val="left" w:pos="1620"/>
        </w:tabs>
        <w:spacing w:line="300" w:lineRule="auto"/>
        <w:ind w:left="-2" w:leftChars="-1" w:firstLine="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20.1                                                        </w:t>
      </w:r>
    </w:p>
    <w:p w14:paraId="5CBA9D9C">
      <w:pPr>
        <w:tabs>
          <w:tab w:val="left" w:pos="1620"/>
        </w:tabs>
        <w:spacing w:line="300" w:lineRule="auto"/>
        <w:ind w:left="1470" w:leftChars="70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716608"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1082" name="00010d"/>
                <wp:cNvGraphicFramePr/>
                <a:graphic xmlns:a="http://schemas.openxmlformats.org/drawingml/2006/main">
                  <a:graphicData uri="http://schemas.microsoft.com/office/word/2010/wordprocessingShape">
                    <wps:wsp>
                      <wps:cNvSpPr/>
                      <wps:spPr>
                        <a:xfrm>
                          <a:off x="0" y="0"/>
                          <a:ext cx="914400" cy="429895"/>
                        </a:xfrm>
                        <a:prstGeom prst="rect">
                          <a:avLst/>
                        </a:prstGeom>
                        <a:ln>
                          <a:noFill/>
                        </a:ln>
                      </wps:spPr>
                      <wps:txbx>
                        <w:txbxContent>
                          <w:p w14:paraId="20C72E57">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wps:wsp>
                  </a:graphicData>
                </a:graphic>
              </wp:anchor>
            </w:drawing>
          </mc:Choice>
          <mc:Fallback>
            <w:pict>
              <v:rect id="00010d" o:spid="_x0000_s1026" o:spt="1" style="position:absolute;left:0pt;margin-left:-9pt;margin-top:0.35pt;height:33.85pt;width:72pt;z-index:251716608;mso-width-relative:page;mso-height-relative:page;" filled="f" stroked="f" coordsize="21600,21600" o:gfxdata="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FmnLYDXAAAABwEAAA8AAAAAAAAAAQAgAAAAIgAAAGRy&#10;cy9kb3ducmV2LnhtbFBLAQIUABQAAAAIAIdO4kAZECQDlAEAADgDAAAOAAAAAAAAAAEAIAAAACYB&#10;AABkcnMvZTJvRG9jLnhtbFBLBQYAAAAABgAGAFkBAAAsBQAAAAA=&#10;">
                <v:fill on="f" focussize="0,0"/>
                <v:stroke on="f"/>
                <v:imagedata o:title=""/>
                <o:lock v:ext="edit" aspectratio="f"/>
                <v:textbox>
                  <w:txbxContent>
                    <w:p w14:paraId="20C72E57">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v:textbox>
              </v:rect>
            </w:pict>
          </mc:Fallback>
        </mc:AlternateContent>
      </w:r>
      <w:r>
        <w:rPr>
          <w:rFonts w:hint="eastAsia" w:ascii="宋体" w:hAnsi="宋体" w:eastAsia="宋体" w:cs="宋体"/>
          <w:color w:val="auto"/>
          <w:sz w:val="24"/>
          <w:highlight w:val="none"/>
        </w:rPr>
        <w:t>承包人在履行合同期间应遵守法律，并保证发包人免于承担因承包人违反法律而引起的任何责任。遵守国家、省、市有关社会信用体系建设工作的法律、行政法规、 部门规章，严格执行信用承诺制度，违背信用承诺约定时，承担违约责任，并依法承担相应法律责任。</w:t>
      </w:r>
    </w:p>
    <w:p w14:paraId="6C52DF5A">
      <w:pPr>
        <w:pStyle w:val="139"/>
        <w:spacing w:before="0" w:beforeAutospacing="0" w:after="0" w:afterAutospacing="0" w:line="300" w:lineRule="auto"/>
        <w:ind w:left="1470" w:leftChars="700"/>
        <w:rPr>
          <w:rFonts w:hint="eastAsia" w:eastAsia="宋体"/>
          <w:color w:val="auto"/>
          <w:kern w:val="2"/>
          <w:highlight w:val="none"/>
        </w:rPr>
      </w:pPr>
      <w:r>
        <w:rPr>
          <w:rFonts w:hint="eastAsia" w:eastAsia="宋体"/>
          <w:color w:val="auto"/>
          <w:kern w:val="2"/>
          <w:highlight w:val="none"/>
        </w:rPr>
        <w:t>承包人在本项目发包人的工程项目中存在下列行为的，将被拒绝参与发包人后续工程投标。拒绝投标时限由发包人（招标人）视严重程度确定，并在专用条款中约定。</w:t>
      </w:r>
    </w:p>
    <w:p w14:paraId="7ABB250B">
      <w:pPr>
        <w:pStyle w:val="139"/>
        <w:spacing w:before="0" w:beforeAutospacing="0" w:after="0" w:afterAutospacing="0" w:line="300" w:lineRule="auto"/>
        <w:ind w:firstLine="1440" w:firstLineChars="600"/>
        <w:rPr>
          <w:rFonts w:hint="eastAsia" w:eastAsia="宋体"/>
          <w:color w:val="auto"/>
          <w:kern w:val="2"/>
          <w:highlight w:val="none"/>
        </w:rPr>
      </w:pPr>
      <w:r>
        <w:rPr>
          <w:rFonts w:hint="eastAsia" w:eastAsia="宋体"/>
          <w:color w:val="auto"/>
          <w:kern w:val="2"/>
          <w:highlight w:val="none"/>
        </w:rPr>
        <w:t>1.将中标工程转包或者违法分包的；</w:t>
      </w:r>
    </w:p>
    <w:p w14:paraId="4DB490C9">
      <w:pPr>
        <w:pStyle w:val="139"/>
        <w:spacing w:before="0" w:beforeAutospacing="0" w:after="0" w:afterAutospacing="0" w:line="300" w:lineRule="auto"/>
        <w:ind w:firstLine="1440" w:firstLineChars="600"/>
        <w:rPr>
          <w:rFonts w:hint="eastAsia" w:eastAsia="宋体"/>
          <w:color w:val="auto"/>
          <w:kern w:val="2"/>
          <w:highlight w:val="none"/>
        </w:rPr>
      </w:pPr>
      <w:r>
        <w:rPr>
          <w:rFonts w:hint="eastAsia" w:eastAsia="宋体"/>
          <w:color w:val="auto"/>
          <w:kern w:val="2"/>
          <w:highlight w:val="none"/>
        </w:rPr>
        <w:t>2.在中标工程中不执行质量、安全生产相关规定的，造成质量或</w:t>
      </w:r>
    </w:p>
    <w:p w14:paraId="0622E263">
      <w:pPr>
        <w:pStyle w:val="139"/>
        <w:spacing w:before="0" w:beforeAutospacing="0" w:after="0" w:afterAutospacing="0" w:line="300" w:lineRule="auto"/>
        <w:ind w:firstLine="1440" w:firstLineChars="600"/>
        <w:rPr>
          <w:rFonts w:hint="eastAsia" w:eastAsia="宋体"/>
          <w:color w:val="auto"/>
          <w:kern w:val="2"/>
          <w:highlight w:val="none"/>
        </w:rPr>
      </w:pPr>
      <w:r>
        <w:rPr>
          <w:rFonts w:hint="eastAsia" w:eastAsia="宋体"/>
          <w:color w:val="auto"/>
          <w:kern w:val="2"/>
          <w:highlight w:val="none"/>
        </w:rPr>
        <w:t>安全事故的；</w:t>
      </w:r>
    </w:p>
    <w:p w14:paraId="5274A5C0">
      <w:pPr>
        <w:pStyle w:val="139"/>
        <w:spacing w:before="0" w:beforeAutospacing="0" w:after="0" w:afterAutospacing="0" w:line="300" w:lineRule="auto"/>
        <w:ind w:firstLine="1440" w:firstLineChars="600"/>
        <w:rPr>
          <w:rFonts w:hint="eastAsia" w:eastAsia="宋体"/>
          <w:color w:val="auto"/>
          <w:kern w:val="2"/>
          <w:highlight w:val="none"/>
        </w:rPr>
      </w:pPr>
      <w:r>
        <w:rPr>
          <w:rFonts w:hint="eastAsia" w:eastAsia="宋体"/>
          <w:color w:val="auto"/>
          <w:kern w:val="2"/>
          <w:highlight w:val="none"/>
        </w:rPr>
        <w:t>3.存在围标或串标情形的；</w:t>
      </w:r>
    </w:p>
    <w:p w14:paraId="03D731D9">
      <w:pPr>
        <w:pStyle w:val="139"/>
        <w:spacing w:before="0" w:beforeAutospacing="0" w:after="0" w:afterAutospacing="0" w:line="300" w:lineRule="auto"/>
        <w:ind w:firstLine="1440" w:firstLineChars="600"/>
        <w:rPr>
          <w:rFonts w:hint="eastAsia" w:eastAsia="宋体"/>
          <w:color w:val="auto"/>
          <w:kern w:val="2"/>
          <w:highlight w:val="none"/>
        </w:rPr>
      </w:pPr>
      <w:r>
        <w:rPr>
          <w:rFonts w:hint="eastAsia" w:eastAsia="宋体"/>
          <w:color w:val="auto"/>
          <w:kern w:val="2"/>
          <w:highlight w:val="none"/>
        </w:rPr>
        <w:t>4.存在弄虚作假骗取中标情形的；</w:t>
      </w:r>
    </w:p>
    <w:p w14:paraId="4F2662DC">
      <w:pPr>
        <w:pStyle w:val="139"/>
        <w:spacing w:before="0" w:beforeAutospacing="0" w:after="0" w:afterAutospacing="0" w:line="300" w:lineRule="auto"/>
        <w:ind w:firstLine="1440" w:firstLineChars="600"/>
        <w:rPr>
          <w:rFonts w:hint="eastAsia" w:eastAsia="宋体"/>
          <w:color w:val="auto"/>
          <w:kern w:val="2"/>
          <w:highlight w:val="none"/>
        </w:rPr>
      </w:pPr>
      <w:r>
        <w:rPr>
          <w:rFonts w:hint="eastAsia" w:eastAsia="宋体"/>
          <w:color w:val="auto"/>
          <w:kern w:val="2"/>
          <w:highlight w:val="none"/>
        </w:rPr>
        <w:t>5.存在因过错行为被生效法律文书认定承担违约或侵权责任的。</w:t>
      </w:r>
    </w:p>
    <w:p w14:paraId="322BD7F1">
      <w:pPr>
        <w:tabs>
          <w:tab w:val="left" w:pos="1620"/>
        </w:tabs>
        <w:spacing w:line="300" w:lineRule="auto"/>
        <w:ind w:left="1619" w:leftChars="771"/>
        <w:rPr>
          <w:rFonts w:hint="eastAsia" w:ascii="宋体" w:hAnsi="宋体" w:eastAsia="宋体" w:cs="宋体"/>
          <w:color w:val="auto"/>
          <w:sz w:val="24"/>
          <w:highlight w:val="none"/>
        </w:rPr>
      </w:pPr>
    </w:p>
    <w:p w14:paraId="685FA8B1">
      <w:pPr>
        <w:spacing w:line="30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20.2</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2170BBAC">
      <w:pPr>
        <w:tabs>
          <w:tab w:val="left" w:pos="1620"/>
        </w:tabs>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717632"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1083" name="00010e"/>
                <wp:cNvGraphicFramePr/>
                <a:graphic xmlns:a="http://schemas.openxmlformats.org/drawingml/2006/main">
                  <a:graphicData uri="http://schemas.microsoft.com/office/word/2010/wordprocessingShape">
                    <wps:wsp>
                      <wps:cNvSpPr/>
                      <wps:spPr>
                        <a:xfrm>
                          <a:off x="0" y="0"/>
                          <a:ext cx="914400" cy="373380"/>
                        </a:xfrm>
                        <a:prstGeom prst="rect">
                          <a:avLst/>
                        </a:prstGeom>
                        <a:ln>
                          <a:noFill/>
                        </a:ln>
                      </wps:spPr>
                      <wps:txbx>
                        <w:txbxContent>
                          <w:p w14:paraId="65AA8971">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承包人工作</w:t>
                            </w:r>
                          </w:p>
                        </w:txbxContent>
                      </wps:txbx>
                      <wps:bodyPr wrap="square"/>
                    </wps:wsp>
                  </a:graphicData>
                </a:graphic>
              </wp:anchor>
            </w:drawing>
          </mc:Choice>
          <mc:Fallback>
            <w:pict>
              <v:rect id="00010e" o:spid="_x0000_s1026" o:spt="1" style="position:absolute;left:0pt;margin-left:-9pt;margin-top:0pt;height:29.4pt;width:72pt;z-index:251717632;mso-width-relative:page;mso-height-relative:page;" filled="f" stroked="f" coordsize="21600,21600" o:gfxdata="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&#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LQWSkfXAAAABwEAAA8AAAAAAAAAAQAgAAAAIgAAAGRy&#10;cy9kb3ducmV2LnhtbFBLAQIUABQAAAAIAIdO4kBxrk1ZlAEAADgDAAAOAAAAAAAAAAEAIAAAACYB&#10;AABkcnMvZTJvRG9jLnhtbFBLBQYAAAAABgAGAFkBAAAsBQAAAAA=&#10;">
                <v:fill on="f" focussize="0,0"/>
                <v:stroke on="f"/>
                <v:imagedata o:title=""/>
                <o:lock v:ext="edit" aspectratio="f"/>
                <v:textbox>
                  <w:txbxContent>
                    <w:p w14:paraId="65AA8971">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承包人工作</w:t>
                      </w:r>
                    </w:p>
                  </w:txbxContent>
                </v:textbox>
              </v:rect>
            </w:pict>
          </mc:Fallback>
        </mc:AlternateContent>
      </w:r>
      <w:r>
        <w:rPr>
          <w:rFonts w:hint="eastAsia" w:ascii="宋体" w:hAnsi="宋体" w:eastAsia="宋体" w:cs="宋体"/>
          <w:color w:val="auto"/>
          <w:sz w:val="24"/>
          <w:highlight w:val="none"/>
        </w:rPr>
        <w:t>承包人应按照合同约定完成下列工作，包括但不限于：</w:t>
      </w:r>
    </w:p>
    <w:p w14:paraId="0F84885B">
      <w:pPr>
        <w:numPr>
          <w:ilvl w:val="0"/>
          <w:numId w:val="9"/>
        </w:numPr>
        <w:tabs>
          <w:tab w:val="left" w:pos="1980"/>
        </w:tabs>
        <w:spacing w:line="300" w:lineRule="auto"/>
        <w:ind w:left="1619" w:leftChars="771"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按照合同约定和监理工程师的指令实施、完成并保修合同工程；</w:t>
      </w:r>
    </w:p>
    <w:p w14:paraId="09EC7E58">
      <w:pPr>
        <w:numPr>
          <w:ilvl w:val="0"/>
          <w:numId w:val="9"/>
        </w:numPr>
        <w:tabs>
          <w:tab w:val="left" w:pos="1980"/>
        </w:tabs>
        <w:spacing w:line="300" w:lineRule="auto"/>
        <w:ind w:left="1619" w:leftChars="771"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按照合同约定和监理工程师的要求提交工程进度报告和进度计划；</w:t>
      </w:r>
    </w:p>
    <w:p w14:paraId="06309F74">
      <w:pPr>
        <w:numPr>
          <w:ilvl w:val="0"/>
          <w:numId w:val="9"/>
        </w:numPr>
        <w:tabs>
          <w:tab w:val="left" w:pos="1980"/>
        </w:tabs>
        <w:spacing w:line="300" w:lineRule="auto"/>
        <w:ind w:left="1619" w:leftChars="771"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按照合同约定和造价工程师的要求提交支付申请和工程款报告，包括绿色施工安全防护费、进度款、结算款和调整合同价款等；</w:t>
      </w:r>
    </w:p>
    <w:p w14:paraId="04CDE691">
      <w:pPr>
        <w:numPr>
          <w:ilvl w:val="0"/>
          <w:numId w:val="9"/>
        </w:numPr>
        <w:tabs>
          <w:tab w:val="left" w:pos="1980"/>
        </w:tabs>
        <w:spacing w:line="300" w:lineRule="auto"/>
        <w:ind w:left="1619" w:leftChars="771"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负责施工场地安全保卫工作，防止因工程施工造成的人身伤害和财产损失，提供和维修非夜间施工使用的照明、围栏设施等安全标志；</w:t>
      </w:r>
    </w:p>
    <w:p w14:paraId="592D328E">
      <w:pPr>
        <w:numPr>
          <w:ilvl w:val="0"/>
          <w:numId w:val="9"/>
        </w:numPr>
        <w:tabs>
          <w:tab w:val="left" w:pos="1980"/>
        </w:tabs>
        <w:spacing w:line="300" w:lineRule="auto"/>
        <w:ind w:left="1619" w:leftChars="771"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按照专用条款约定的数量和要求，向发包人提供施工场地办公和生活的房屋及设施，并在施工现场保留本合同、约定的标准与规范、变更资料等各一份，供监理工程师、造价工程师需要时使用；</w:t>
      </w:r>
    </w:p>
    <w:p w14:paraId="4FF70DB6">
      <w:pPr>
        <w:numPr>
          <w:ilvl w:val="0"/>
          <w:numId w:val="9"/>
        </w:numPr>
        <w:spacing w:line="300" w:lineRule="auto"/>
        <w:ind w:left="1618" w:leftChars="770" w:hanging="1"/>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遵守政府部门有关施工场地交通、环境保护、施工噪声、绿色施工安全防护等的管理规定，办理有关手续，并以书面形式通知发包人，费用按政府有关部门相关文件规定由发（承）包人各自承担； </w:t>
      </w:r>
    </w:p>
    <w:p w14:paraId="373E4B42">
      <w:pPr>
        <w:numPr>
          <w:ilvl w:val="0"/>
          <w:numId w:val="9"/>
        </w:numPr>
        <w:spacing w:line="300" w:lineRule="auto"/>
        <w:ind w:left="1618" w:leftChars="770" w:hanging="1"/>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14:paraId="6BA06DFC">
      <w:pPr>
        <w:numPr>
          <w:ilvl w:val="0"/>
          <w:numId w:val="9"/>
        </w:numPr>
        <w:tabs>
          <w:tab w:val="left" w:pos="1980"/>
          <w:tab w:val="left" w:pos="2520"/>
        </w:tabs>
        <w:spacing w:line="300" w:lineRule="auto"/>
        <w:ind w:left="1619" w:leftChars="771"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做好施工场地地下管线和邻近建筑物、构筑物（包括文物保护建筑）、古树</w:t>
      </w:r>
    </w:p>
    <w:p w14:paraId="0CBFD27C">
      <w:pPr>
        <w:tabs>
          <w:tab w:val="left" w:pos="1980"/>
          <w:tab w:val="left" w:pos="2520"/>
        </w:tabs>
        <w:spacing w:line="300" w:lineRule="auto"/>
        <w:ind w:left="1138" w:leftChars="54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名木的保护工作；</w:t>
      </w:r>
    </w:p>
    <w:p w14:paraId="6D93EF72">
      <w:pPr>
        <w:numPr>
          <w:ilvl w:val="0"/>
          <w:numId w:val="9"/>
        </w:numPr>
        <w:spacing w:line="300" w:lineRule="auto"/>
        <w:ind w:left="1618" w:leftChars="770" w:hanging="1"/>
        <w:rPr>
          <w:rFonts w:hint="eastAsia" w:ascii="宋体" w:hAnsi="宋体" w:eastAsia="宋体" w:cs="宋体"/>
          <w:color w:val="auto"/>
          <w:sz w:val="24"/>
          <w:highlight w:val="none"/>
        </w:rPr>
      </w:pPr>
      <w:r>
        <w:rPr>
          <w:rFonts w:hint="eastAsia" w:ascii="宋体" w:hAnsi="宋体" w:eastAsia="宋体" w:cs="宋体"/>
          <w:color w:val="auto"/>
          <w:sz w:val="24"/>
          <w:highlight w:val="none"/>
        </w:rPr>
        <w:t>遵守政府部门有关环境卫生的管理规定，保证施工场地的清洁和做好交工前施工现场的清理工作，并承担因自身责任造成的损失和罚款；</w:t>
      </w:r>
    </w:p>
    <w:p w14:paraId="1E21B9EB">
      <w:pPr>
        <w:numPr>
          <w:ilvl w:val="0"/>
          <w:numId w:val="9"/>
        </w:numPr>
        <w:spacing w:line="300" w:lineRule="auto"/>
        <w:ind w:left="1619" w:leftChars="771"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工程完工后，应按照合同约定提交竣工验收申请报告和竣工结算文件。</w:t>
      </w:r>
    </w:p>
    <w:p w14:paraId="54EAD60B">
      <w:pPr>
        <w:tabs>
          <w:tab w:val="left" w:pos="4970"/>
        </w:tabs>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20.3   </w:t>
      </w:r>
      <w:r>
        <w:rPr>
          <w:rFonts w:hint="eastAsia" w:ascii="宋体" w:hAnsi="宋体" w:eastAsia="宋体" w:cs="宋体"/>
          <w:b/>
          <w:bCs/>
          <w:color w:val="auto"/>
          <w:sz w:val="24"/>
          <w:highlight w:val="none"/>
          <w:u w:val="dotted"/>
        </w:rPr>
        <w:t xml:space="preserve">                                                                                                       </w:t>
      </w:r>
    </w:p>
    <w:p w14:paraId="1E510367">
      <w:pPr>
        <w:tabs>
          <w:tab w:val="left" w:pos="4970"/>
        </w:tabs>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718656"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1084" name="00010f"/>
                <wp:cNvGraphicFramePr/>
                <a:graphic xmlns:a="http://schemas.openxmlformats.org/drawingml/2006/main">
                  <a:graphicData uri="http://schemas.microsoft.com/office/word/2010/wordprocessingShape">
                    <wps:wsp>
                      <wps:cNvSpPr/>
                      <wps:spPr>
                        <a:xfrm>
                          <a:off x="0" y="0"/>
                          <a:ext cx="914400" cy="594360"/>
                        </a:xfrm>
                        <a:prstGeom prst="rect">
                          <a:avLst/>
                        </a:prstGeom>
                        <a:ln>
                          <a:noFill/>
                        </a:ln>
                      </wps:spPr>
                      <wps:txbx>
                        <w:txbxContent>
                          <w:p w14:paraId="7F5AFA7A">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承包人实施工作</w:t>
                            </w:r>
                          </w:p>
                        </w:txbxContent>
                      </wps:txbx>
                      <wps:bodyPr wrap="square"/>
                    </wps:wsp>
                  </a:graphicData>
                </a:graphic>
              </wp:anchor>
            </w:drawing>
          </mc:Choice>
          <mc:Fallback>
            <w:pict>
              <v:rect id="00010f" o:spid="_x0000_s1026" o:spt="1" style="position:absolute;left:0pt;margin-left:-9pt;margin-top:0pt;height:46.8pt;width:72pt;z-index:251718656;mso-width-relative:page;mso-height-relative:page;" filled="f" stroked="f" coordsize="21600,21600" o:gfxdata="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l5ZO1tgAAAAHAQAADwAAAAAAAAABACAAAAAiAAAA&#10;ZHJzL2Rvd25yZXYueG1sUEsBAhQAFAAAAAgAh07iQDSds2mVAQAAOAMAAA4AAAAAAAAAAQAgAAAA&#10;JwEAAGRycy9lMm9Eb2MueG1sUEsFBgAAAAAGAAYAWQEAAC4FAAAAAA==&#10;">
                <v:fill on="f" focussize="0,0"/>
                <v:stroke on="f"/>
                <v:imagedata o:title=""/>
                <o:lock v:ext="edit" aspectratio="f"/>
                <v:textbox>
                  <w:txbxContent>
                    <w:p w14:paraId="7F5AFA7A">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承包人实施工作</w:t>
                      </w:r>
                    </w:p>
                  </w:txbxContent>
                </v:textbox>
              </v:rect>
            </w:pict>
          </mc:Fallback>
        </mc:AlternateContent>
      </w:r>
      <w:r>
        <w:rPr>
          <w:rFonts w:hint="eastAsia" w:ascii="宋体" w:hAnsi="宋体" w:eastAsia="宋体" w:cs="宋体"/>
          <w:color w:val="auto"/>
          <w:sz w:val="24"/>
          <w:highlight w:val="none"/>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7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14:paraId="7848FFAB">
      <w:pPr>
        <w:tabs>
          <w:tab w:val="left" w:pos="4970"/>
        </w:tabs>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20.4   </w:t>
      </w:r>
      <w:r>
        <w:rPr>
          <w:rFonts w:hint="eastAsia" w:ascii="宋体" w:hAnsi="宋体" w:eastAsia="宋体" w:cs="宋体"/>
          <w:b/>
          <w:bCs/>
          <w:color w:val="auto"/>
          <w:sz w:val="24"/>
          <w:highlight w:val="none"/>
          <w:u w:val="dotted"/>
        </w:rPr>
        <w:t xml:space="preserve">                                                                                                      </w:t>
      </w:r>
    </w:p>
    <w:p w14:paraId="6DB60B9D">
      <w:pPr>
        <w:tabs>
          <w:tab w:val="left" w:pos="4970"/>
        </w:tabs>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719680"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1085" name="000110"/>
                <wp:cNvGraphicFramePr/>
                <a:graphic xmlns:a="http://schemas.openxmlformats.org/drawingml/2006/main">
                  <a:graphicData uri="http://schemas.microsoft.com/office/word/2010/wordprocessingShape">
                    <wps:wsp>
                      <wps:cNvSpPr/>
                      <wps:spPr>
                        <a:xfrm>
                          <a:off x="0" y="0"/>
                          <a:ext cx="914400" cy="1003935"/>
                        </a:xfrm>
                        <a:prstGeom prst="rect">
                          <a:avLst/>
                        </a:prstGeom>
                        <a:ln>
                          <a:noFill/>
                        </a:ln>
                      </wps:spPr>
                      <wps:txbx>
                        <w:txbxContent>
                          <w:p w14:paraId="28E102CF">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wps:txbx>
                      <wps:bodyPr wrap="square"/>
                    </wps:wsp>
                  </a:graphicData>
                </a:graphic>
              </wp:anchor>
            </w:drawing>
          </mc:Choice>
          <mc:Fallback>
            <w:pict>
              <v:rect id="000110" o:spid="_x0000_s1026" o:spt="1" style="position:absolute;left:0pt;margin-left:-9pt;margin-top:1.8pt;height:79.05pt;width:72pt;z-index:251719680;mso-width-relative:page;mso-height-relative:page;" filled="f" stroked="f" coordsize="21600,21600" o:gfxdata="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DRSapjZAAAACQEAAA8AAAAAAAAAAQAgAAAAIgAA&#10;AGRycy9kb3ducmV2LnhtbFBLAQIUABQAAAAIAIdO4kDti6dvlQEAADkDAAAOAAAAAAAAAAEAIAAA&#10;ACgBAABkcnMvZTJvRG9jLnhtbFBLBQYAAAAABgAGAFkBAAAvBQAAAAA=&#10;">
                <v:fill on="f" focussize="0,0"/>
                <v:stroke on="f"/>
                <v:imagedata o:title=""/>
                <o:lock v:ext="edit" aspectratio="f"/>
                <v:textbox>
                  <w:txbxContent>
                    <w:p w14:paraId="28E102CF">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v:textbox>
              </v:rect>
            </w:pict>
          </mc:Fallback>
        </mc:AlternateContent>
      </w:r>
      <w:r>
        <w:rPr>
          <w:rFonts w:hint="eastAsia" w:ascii="宋体" w:hAnsi="宋体" w:eastAsia="宋体" w:cs="宋体"/>
          <w:color w:val="auto"/>
          <w:sz w:val="24"/>
          <w:highlight w:val="none"/>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14:paraId="74B75C15">
      <w:pPr>
        <w:tabs>
          <w:tab w:val="left" w:pos="4970"/>
        </w:tabs>
        <w:spacing w:line="30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20.5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7048596A">
      <w:pPr>
        <w:pStyle w:val="35"/>
        <w:tabs>
          <w:tab w:val="left" w:pos="4970"/>
        </w:tabs>
        <w:spacing w:line="300" w:lineRule="auto"/>
        <w:ind w:left="1619" w:leftChars="771"/>
        <w:rPr>
          <w:rFonts w:hint="eastAsia" w:ascii="宋体" w:eastAsia="宋体" w:cs="宋体"/>
          <w:color w:val="auto"/>
          <w:highlight w:val="none"/>
        </w:rPr>
      </w:pPr>
      <w:r>
        <w:rPr>
          <w:rFonts w:hint="eastAsia" w:ascii="宋体" w:eastAsia="宋体" w:cs="宋体"/>
          <w:color w:val="auto"/>
          <w:highlight w:val="none"/>
        </w:rPr>
        <mc:AlternateContent>
          <mc:Choice Requires="wps">
            <w:drawing>
              <wp:anchor distT="0" distB="0" distL="0" distR="0" simplePos="0" relativeHeight="251720704"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1086" name="000111"/>
                <wp:cNvGraphicFramePr/>
                <a:graphic xmlns:a="http://schemas.openxmlformats.org/drawingml/2006/main">
                  <a:graphicData uri="http://schemas.microsoft.com/office/word/2010/wordprocessingShape">
                    <wps:wsp>
                      <wps:cNvSpPr/>
                      <wps:spPr>
                        <a:xfrm>
                          <a:off x="0" y="0"/>
                          <a:ext cx="914400" cy="657860"/>
                        </a:xfrm>
                        <a:prstGeom prst="rect">
                          <a:avLst/>
                        </a:prstGeom>
                        <a:ln>
                          <a:noFill/>
                        </a:ln>
                      </wps:spPr>
                      <wps:txbx>
                        <w:txbxContent>
                          <w:p w14:paraId="685FFA65">
                            <w:pPr>
                              <w:spacing w:line="240" w:lineRule="exact"/>
                              <w:rPr>
                                <w:rFonts w:hint="eastAsia" w:ascii="楷体_GB2312" w:hAnsi="宋体" w:eastAsia="楷体_GB2312"/>
                                <w:sz w:val="18"/>
                                <w:szCs w:val="18"/>
                              </w:rPr>
                            </w:pPr>
                            <w:r>
                              <w:rPr>
                                <w:rFonts w:hint="eastAsia" w:ascii="楷体_GB2312" w:eastAsia="楷体_GB2312" w:cs="楷体_GB2312"/>
                                <w:b/>
                                <w:bCs/>
                                <w:color w:val="000000"/>
                                <w:sz w:val="18"/>
                                <w:szCs w:val="18"/>
                              </w:rPr>
                              <w:t>承包人为建设单位的人员提供配合</w:t>
                            </w:r>
                          </w:p>
                        </w:txbxContent>
                      </wps:txbx>
                      <wps:bodyPr wrap="square"/>
                    </wps:wsp>
                  </a:graphicData>
                </a:graphic>
              </wp:anchor>
            </w:drawing>
          </mc:Choice>
          <mc:Fallback>
            <w:pict>
              <v:rect id="000111" o:spid="_x0000_s1026" o:spt="1" style="position:absolute;left:0pt;margin-left:-9pt;margin-top:1.2pt;height:51.8pt;width:72pt;z-index:251720704;mso-width-relative:page;mso-height-relative:page;" filled="f" stroked="f" coordsize="21600,21600" o:gfxdata="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LevNJLYAAAACQEAAA8AAAAAAAAAAQAgAAAAIgAA&#10;AGRycy9kb3ducmV2LnhtbFBLAQIUABQAAAAIAIdO4kCLHP//lgEAADgDAAAOAAAAAAAAAAEAIAAA&#10;ACcBAABkcnMvZTJvRG9jLnhtbFBLBQYAAAAABgAGAFkBAAAvBQAAAAA=&#10;">
                <v:fill on="f" focussize="0,0"/>
                <v:stroke on="f"/>
                <v:imagedata o:title=""/>
                <o:lock v:ext="edit" aspectratio="f"/>
                <v:textbox>
                  <w:txbxContent>
                    <w:p w14:paraId="685FFA65">
                      <w:pPr>
                        <w:spacing w:line="240" w:lineRule="exact"/>
                        <w:rPr>
                          <w:rFonts w:hint="eastAsia" w:ascii="楷体_GB2312" w:hAnsi="宋体" w:eastAsia="楷体_GB2312"/>
                          <w:sz w:val="18"/>
                          <w:szCs w:val="18"/>
                        </w:rPr>
                      </w:pPr>
                      <w:r>
                        <w:rPr>
                          <w:rFonts w:hint="eastAsia" w:ascii="楷体_GB2312" w:eastAsia="楷体_GB2312" w:cs="楷体_GB2312"/>
                          <w:b/>
                          <w:bCs/>
                          <w:color w:val="000000"/>
                          <w:sz w:val="18"/>
                          <w:szCs w:val="18"/>
                        </w:rPr>
                        <w:t>承包人为建设单位的人员提供配合</w:t>
                      </w:r>
                    </w:p>
                  </w:txbxContent>
                </v:textbox>
              </v:rect>
            </w:pict>
          </mc:Fallback>
        </mc:AlternateContent>
      </w:r>
      <w:r>
        <w:rPr>
          <w:rFonts w:hint="eastAsia" w:ascii="宋体" w:eastAsia="宋体" w:cs="宋体"/>
          <w:color w:val="auto"/>
          <w:highlight w:val="none"/>
        </w:rPr>
        <w:t>承包人应按照合同约定或监理工程师的指令，配合和协助下述人员在施工场地及其附近实施与合同工程有关的各项工作：</w:t>
      </w:r>
    </w:p>
    <w:p w14:paraId="74420584">
      <w:pPr>
        <w:tabs>
          <w:tab w:val="left" w:pos="1980"/>
          <w:tab w:val="left" w:pos="4970"/>
        </w:tabs>
        <w:spacing w:line="300" w:lineRule="auto"/>
        <w:ind w:left="1619"/>
        <w:rPr>
          <w:rFonts w:hint="eastAsia" w:ascii="宋体" w:hAnsi="宋体" w:eastAsia="宋体" w:cs="宋体"/>
          <w:color w:val="auto"/>
          <w:sz w:val="24"/>
          <w:highlight w:val="none"/>
        </w:rPr>
      </w:pPr>
      <w:r>
        <w:rPr>
          <w:rFonts w:hint="eastAsia" w:ascii="宋体" w:hAnsi="宋体" w:eastAsia="宋体" w:cs="宋体"/>
          <w:color w:val="auto"/>
          <w:sz w:val="24"/>
          <w:highlight w:val="none"/>
        </w:rPr>
        <w:t>（1）发包人的工作人员；</w:t>
      </w:r>
    </w:p>
    <w:p w14:paraId="7186B421">
      <w:pPr>
        <w:tabs>
          <w:tab w:val="left" w:pos="1980"/>
          <w:tab w:val="left" w:pos="4970"/>
        </w:tabs>
        <w:spacing w:line="300" w:lineRule="auto"/>
        <w:ind w:left="1619"/>
        <w:rPr>
          <w:rFonts w:hint="eastAsia" w:ascii="宋体" w:hAnsi="宋体" w:eastAsia="宋体" w:cs="宋体"/>
          <w:color w:val="auto"/>
          <w:sz w:val="24"/>
          <w:highlight w:val="none"/>
        </w:rPr>
      </w:pPr>
      <w:r>
        <w:rPr>
          <w:rFonts w:hint="eastAsia" w:ascii="宋体" w:hAnsi="宋体" w:eastAsia="宋体" w:cs="宋体"/>
          <w:color w:val="auto"/>
          <w:sz w:val="24"/>
          <w:highlight w:val="none"/>
        </w:rPr>
        <w:t>（2）发包人的雇员；</w:t>
      </w:r>
    </w:p>
    <w:p w14:paraId="0E300915">
      <w:pPr>
        <w:tabs>
          <w:tab w:val="left" w:pos="1980"/>
          <w:tab w:val="left" w:pos="4970"/>
        </w:tabs>
        <w:spacing w:line="300" w:lineRule="auto"/>
        <w:ind w:left="1619"/>
        <w:rPr>
          <w:rFonts w:hint="eastAsia" w:ascii="宋体" w:hAnsi="宋体" w:eastAsia="宋体" w:cs="宋体"/>
          <w:color w:val="auto"/>
          <w:sz w:val="24"/>
          <w:highlight w:val="none"/>
        </w:rPr>
      </w:pPr>
      <w:r>
        <w:rPr>
          <w:rFonts w:hint="eastAsia" w:ascii="宋体" w:hAnsi="宋体" w:eastAsia="宋体" w:cs="宋体"/>
          <w:color w:val="auto"/>
          <w:sz w:val="24"/>
          <w:highlight w:val="none"/>
        </w:rPr>
        <w:t>（3）任何监督管理机构的执法人员。</w:t>
      </w:r>
    </w:p>
    <w:p w14:paraId="27074941">
      <w:pPr>
        <w:pStyle w:val="25"/>
        <w:tabs>
          <w:tab w:val="left" w:pos="2520"/>
        </w:tabs>
        <w:spacing w:line="300" w:lineRule="auto"/>
        <w:ind w:left="1619" w:leftChars="771"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此类指令若增加了承包人的工作或支出，包括使用了承包人的设备、临时工程或通行道路等，则视为工程变更，按照第72条规定调整合同价款。</w:t>
      </w:r>
    </w:p>
    <w:p w14:paraId="51481B47">
      <w:pPr>
        <w:tabs>
          <w:tab w:val="left" w:pos="4970"/>
        </w:tabs>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20.6  </w:t>
      </w:r>
      <w:r>
        <w:rPr>
          <w:rFonts w:hint="eastAsia" w:ascii="宋体" w:hAnsi="宋体" w:eastAsia="宋体" w:cs="宋体"/>
          <w:b/>
          <w:bCs/>
          <w:color w:val="auto"/>
          <w:sz w:val="24"/>
          <w:highlight w:val="none"/>
          <w:u w:val="dotted"/>
        </w:rPr>
        <w:t xml:space="preserve">                                                                                                        </w:t>
      </w:r>
    </w:p>
    <w:p w14:paraId="4A16DD6C">
      <w:pPr>
        <w:tabs>
          <w:tab w:val="left" w:pos="4970"/>
        </w:tabs>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721728"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1087" name="000112"/>
                <wp:cNvGraphicFramePr/>
                <a:graphic xmlns:a="http://schemas.openxmlformats.org/drawingml/2006/main">
                  <a:graphicData uri="http://schemas.microsoft.com/office/word/2010/wordprocessingShape">
                    <wps:wsp>
                      <wps:cNvSpPr/>
                      <wps:spPr>
                        <a:xfrm>
                          <a:off x="0" y="0"/>
                          <a:ext cx="914400" cy="792480"/>
                        </a:xfrm>
                        <a:prstGeom prst="rect">
                          <a:avLst/>
                        </a:prstGeom>
                        <a:ln>
                          <a:noFill/>
                        </a:ln>
                      </wps:spPr>
                      <wps:txbx>
                        <w:txbxContent>
                          <w:p w14:paraId="6945ADF6">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承包人避免施工损害他人利益</w:t>
                            </w:r>
                          </w:p>
                        </w:txbxContent>
                      </wps:txbx>
                      <wps:bodyPr wrap="square"/>
                    </wps:wsp>
                  </a:graphicData>
                </a:graphic>
              </wp:anchor>
            </w:drawing>
          </mc:Choice>
          <mc:Fallback>
            <w:pict>
              <v:rect id="000112" o:spid="_x0000_s1026" o:spt="1" style="position:absolute;left:0pt;margin-left:-9pt;margin-top:0pt;height:62.4pt;width:72pt;z-index:251721728;mso-width-relative:page;mso-height-relative:page;" filled="f" stroked="f" coordsize="21600,21600" o:gfxdata="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ZHQUk9cAAAAIAQAADwAAAAAAAAABACAAAAAiAAAA&#10;ZHJzL2Rvd25yZXYueG1sUEsBAhQAFAAAAAgAh07iQCF/QquWAQAAOAMAAA4AAAAAAAAAAQAgAAAA&#10;JgEAAGRycy9lMm9Eb2MueG1sUEsFBgAAAAAGAAYAWQEAAC4FAAAAAA==&#10;">
                <v:fill on="f" focussize="0,0"/>
                <v:stroke on="f"/>
                <v:imagedata o:title=""/>
                <o:lock v:ext="edit" aspectratio="f"/>
                <v:textbox>
                  <w:txbxContent>
                    <w:p w14:paraId="6945ADF6">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承包人避免施工损害他人利益</w:t>
                      </w:r>
                    </w:p>
                  </w:txbxContent>
                </v:textbox>
              </v:rect>
            </w:pict>
          </mc:Fallback>
        </mc:AlternateContent>
      </w:r>
      <w:r>
        <w:rPr>
          <w:rFonts w:hint="eastAsia" w:ascii="宋体" w:hAnsi="宋体" w:eastAsia="宋体" w:cs="宋体"/>
          <w:color w:val="auto"/>
          <w:sz w:val="24"/>
          <w:highlight w:val="none"/>
        </w:rPr>
        <w:t>承包人在施工过程中，不得侵害发包人与他人使用公用道路、水源、市政管网等公共设施的权利，避免对邻近的公共设施产生干扰。承包人占用或使用他人的施工场地，影响他人作业或生活的，应承担相应责任。</w:t>
      </w:r>
    </w:p>
    <w:p w14:paraId="011CCE90">
      <w:pPr>
        <w:tabs>
          <w:tab w:val="left" w:pos="4970"/>
        </w:tabs>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20.7  </w:t>
      </w:r>
      <w:r>
        <w:rPr>
          <w:rFonts w:hint="eastAsia" w:ascii="宋体" w:hAnsi="宋体" w:eastAsia="宋体" w:cs="宋体"/>
          <w:b/>
          <w:bCs/>
          <w:color w:val="auto"/>
          <w:sz w:val="24"/>
          <w:highlight w:val="none"/>
          <w:u w:val="dotted"/>
        </w:rPr>
        <w:t xml:space="preserve">                                                                                                        </w:t>
      </w:r>
    </w:p>
    <w:p w14:paraId="2FA45CD4">
      <w:pPr>
        <w:tabs>
          <w:tab w:val="left" w:pos="4970"/>
        </w:tabs>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722752"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1088" name="000113"/>
                <wp:cNvGraphicFramePr/>
                <a:graphic xmlns:a="http://schemas.openxmlformats.org/drawingml/2006/main">
                  <a:graphicData uri="http://schemas.microsoft.com/office/word/2010/wordprocessingShape">
                    <wps:wsp>
                      <wps:cNvSpPr/>
                      <wps:spPr>
                        <a:xfrm>
                          <a:off x="0" y="0"/>
                          <a:ext cx="914400" cy="495300"/>
                        </a:xfrm>
                        <a:prstGeom prst="rect">
                          <a:avLst/>
                        </a:prstGeom>
                        <a:ln>
                          <a:noFill/>
                        </a:ln>
                      </wps:spPr>
                      <wps:txbx>
                        <w:txbxContent>
                          <w:p w14:paraId="1EF7D233">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承包人未尽义务的责任</w:t>
                            </w:r>
                          </w:p>
                        </w:txbxContent>
                      </wps:txbx>
                      <wps:bodyPr wrap="square"/>
                    </wps:wsp>
                  </a:graphicData>
                </a:graphic>
              </wp:anchor>
            </w:drawing>
          </mc:Choice>
          <mc:Fallback>
            <w:pict>
              <v:rect id="000113" o:spid="_x0000_s1026" o:spt="1" style="position:absolute;left:0pt;margin-left:-9pt;margin-top:0pt;height:39pt;width:72pt;z-index:251722752;mso-width-relative:page;mso-height-relative:page;" filled="f" stroked="f" coordsize="21600,21600" o:gfxdata="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MCi+q1wAAAAcBAAAPAAAAAAAAAAEAIAAAACIAAABk&#10;cnMvZG93bnJldi54bWxQSwECFAAUAAAACACHTuJAnPbp6ZUBAAA4AwAADgAAAAAAAAABACAAAAAm&#10;AQAAZHJzL2Uyb0RvYy54bWxQSwUGAAAAAAYABgBZAQAALQUAAAAA&#10;">
                <v:fill on="f" focussize="0,0"/>
                <v:stroke on="f"/>
                <v:imagedata o:title=""/>
                <o:lock v:ext="edit" aspectratio="f"/>
                <v:textbox>
                  <w:txbxContent>
                    <w:p w14:paraId="1EF7D233">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承包人未尽义务的责任</w:t>
                      </w:r>
                    </w:p>
                  </w:txbxContent>
                </v:textbox>
              </v:rect>
            </w:pict>
          </mc:Fallback>
        </mc:AlternateContent>
      </w:r>
      <w:r>
        <w:rPr>
          <w:rFonts w:hint="eastAsia" w:ascii="宋体" w:hAnsi="宋体" w:eastAsia="宋体" w:cs="宋体"/>
          <w:color w:val="auto"/>
          <w:sz w:val="24"/>
          <w:highlight w:val="none"/>
        </w:rPr>
        <w:t>承包人未能正确完成本合同约定的全部义务，导致费用的增加和（或）延误的工期，由承包人承担；给发包人造成损失的，承包人应予赔偿。</w:t>
      </w:r>
    </w:p>
    <w:p w14:paraId="53AA65BC">
      <w:pPr>
        <w:pStyle w:val="22"/>
        <w:adjustRightInd w:val="0"/>
        <w:snapToGrid w:val="0"/>
        <w:spacing w:line="300" w:lineRule="auto"/>
        <w:ind w:right="-238"/>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1F029740">
      <w:pPr>
        <w:pStyle w:val="22"/>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58" w:name="_Toc469384001"/>
      <w:bookmarkStart w:id="59" w:name="_Toc46860822"/>
      <w:r>
        <w:rPr>
          <w:rFonts w:hint="eastAsia" w:hAnsi="宋体" w:eastAsia="宋体" w:cs="宋体"/>
          <w:b/>
          <w:bCs/>
          <w:color w:val="auto"/>
          <w:sz w:val="24"/>
          <w:szCs w:val="24"/>
          <w:highlight w:val="none"/>
        </w:rPr>
        <w:t>21  现场管理人员任命和更换</w:t>
      </w:r>
      <w:bookmarkEnd w:id="58"/>
      <w:bookmarkEnd w:id="59"/>
    </w:p>
    <w:p w14:paraId="7CB81F04">
      <w:pPr>
        <w:pStyle w:val="22"/>
        <w:tabs>
          <w:tab w:val="left" w:pos="1320"/>
        </w:tabs>
        <w:adjustRightInd w:val="0"/>
        <w:snapToGrid w:val="0"/>
        <w:spacing w:line="300" w:lineRule="auto"/>
        <w:ind w:right="-240"/>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21.1</w:t>
      </w:r>
    </w:p>
    <w:p w14:paraId="18F603ED">
      <w:pPr>
        <w:pStyle w:val="22"/>
        <w:adjustRightInd w:val="0"/>
        <w:snapToGrid w:val="0"/>
        <w:spacing w:line="300" w:lineRule="auto"/>
        <w:ind w:left="1619" w:leftChars="771" w:firstLine="2"/>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723776"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1089" name="000114"/>
                <wp:cNvGraphicFramePr/>
                <a:graphic xmlns:a="http://schemas.openxmlformats.org/drawingml/2006/main">
                  <a:graphicData uri="http://schemas.microsoft.com/office/word/2010/wordprocessingShape">
                    <wps:wsp>
                      <wps:cNvSpPr/>
                      <wps:spPr>
                        <a:xfrm>
                          <a:off x="0" y="0"/>
                          <a:ext cx="914400" cy="602615"/>
                        </a:xfrm>
                        <a:prstGeom prst="rect">
                          <a:avLst/>
                        </a:prstGeom>
                        <a:ln>
                          <a:noFill/>
                        </a:ln>
                      </wps:spPr>
                      <wps:txbx>
                        <w:txbxContent>
                          <w:p w14:paraId="6763423E">
                            <w:pPr>
                              <w:spacing w:line="240" w:lineRule="exact"/>
                              <w:rPr>
                                <w:rFonts w:hint="eastAsia" w:ascii="楷体_GB2312" w:hAnsi="宋体" w:eastAsia="楷体_GB2312"/>
                                <w:sz w:val="18"/>
                                <w:szCs w:val="18"/>
                              </w:rPr>
                            </w:pPr>
                            <w:r>
                              <w:rPr>
                                <w:rFonts w:hint="eastAsia" w:ascii="楷体_GB2312" w:hAnsi="宋体" w:eastAsia="楷体_GB2312" w:cs="楷体_GB2312"/>
                                <w:b/>
                                <w:bCs/>
                                <w:color w:val="000000"/>
                                <w:sz w:val="18"/>
                                <w:szCs w:val="18"/>
                              </w:rPr>
                              <w:t>建设单位现场管理人员任命和更换</w:t>
                            </w:r>
                          </w:p>
                        </w:txbxContent>
                      </wps:txbx>
                      <wps:bodyPr wrap="square"/>
                    </wps:wsp>
                  </a:graphicData>
                </a:graphic>
              </wp:anchor>
            </w:drawing>
          </mc:Choice>
          <mc:Fallback>
            <w:pict>
              <v:rect id="000114" o:spid="_x0000_s1026" o:spt="1" style="position:absolute;left:0pt;margin-left:-9pt;margin-top:0.6pt;height:47.45pt;width:72pt;z-index:251723776;mso-width-relative:page;mso-height-relative:page;" filled="f" stroked="f" coordsize="21600,21600" o:gfxdata="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&#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vDtp21wAAAAgBAAAPAAAAAAAAAAEAIAAAACIAAABk&#10;cnMvZG93bnJldi54bWxQSwECFAAUAAAACACHTuJAueNtfpUBAAA4AwAADgAAAAAAAAABACAAAAAm&#10;AQAAZHJzL2Uyb0RvYy54bWxQSwUGAAAAAAYABgBZAQAALQUAAAAA&#10;">
                <v:fill on="f" focussize="0,0"/>
                <v:stroke on="f"/>
                <v:imagedata o:title=""/>
                <o:lock v:ext="edit" aspectratio="f"/>
                <v:textbox>
                  <w:txbxContent>
                    <w:p w14:paraId="6763423E">
                      <w:pPr>
                        <w:spacing w:line="240" w:lineRule="exact"/>
                        <w:rPr>
                          <w:rFonts w:hint="eastAsia" w:ascii="楷体_GB2312" w:hAnsi="宋体" w:eastAsia="楷体_GB2312"/>
                          <w:sz w:val="18"/>
                          <w:szCs w:val="18"/>
                        </w:rPr>
                      </w:pPr>
                      <w:r>
                        <w:rPr>
                          <w:rFonts w:hint="eastAsia" w:ascii="楷体_GB2312" w:hAnsi="宋体" w:eastAsia="楷体_GB2312" w:cs="楷体_GB2312"/>
                          <w:b/>
                          <w:bCs/>
                          <w:color w:val="000000"/>
                          <w:sz w:val="18"/>
                          <w:szCs w:val="18"/>
                        </w:rPr>
                        <w:t>建设单位现场管理人员任命和更换</w:t>
                      </w:r>
                    </w:p>
                  </w:txbxContent>
                </v:textbox>
              </v:rect>
            </w:pict>
          </mc:Fallback>
        </mc:AlternateContent>
      </w:r>
      <w:r>
        <w:rPr>
          <w:rFonts w:hint="eastAsia" w:hAnsi="宋体" w:eastAsia="宋体" w:cs="宋体"/>
          <w:color w:val="auto"/>
          <w:sz w:val="24"/>
          <w:szCs w:val="24"/>
          <w:highlight w:val="none"/>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14:paraId="568A2DB7">
      <w:pPr>
        <w:pStyle w:val="22"/>
        <w:adjustRightInd w:val="0"/>
        <w:snapToGrid w:val="0"/>
        <w:spacing w:line="300" w:lineRule="auto"/>
        <w:ind w:left="1619" w:leftChars="771" w:firstLine="2"/>
        <w:rPr>
          <w:rFonts w:hint="eastAsia" w:hAnsi="宋体" w:eastAsia="宋体" w:cs="宋体"/>
          <w:color w:val="auto"/>
          <w:sz w:val="24"/>
          <w:szCs w:val="24"/>
          <w:highlight w:val="none"/>
        </w:rPr>
      </w:pPr>
      <w:r>
        <w:rPr>
          <w:rFonts w:hint="eastAsia" w:hAnsi="宋体" w:eastAsia="宋体" w:cs="宋体"/>
          <w:color w:val="auto"/>
          <w:sz w:val="24"/>
          <w:szCs w:val="24"/>
          <w:highlight w:val="none"/>
        </w:rPr>
        <w:t>发包人如需更换现场管理人员，应至少提前7天以书面形式通知承包人，否则该项更换无效。承包人应在收到通知后7天内予以回复，否则视为已收到通知。后任现场管理人员应继续行使合同规定的前任现场管理人员的职权和履行相应的义务。</w:t>
      </w:r>
    </w:p>
    <w:p w14:paraId="12F589F9">
      <w:pPr>
        <w:pStyle w:val="22"/>
        <w:tabs>
          <w:tab w:val="left" w:pos="1320"/>
          <w:tab w:val="left" w:pos="1620"/>
        </w:tabs>
        <w:adjustRightInd w:val="0"/>
        <w:snapToGrid w:val="0"/>
        <w:spacing w:line="300" w:lineRule="auto"/>
        <w:ind w:right="-238"/>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21.2  </w:t>
      </w:r>
      <w:r>
        <w:rPr>
          <w:rFonts w:hint="eastAsia" w:hAnsi="宋体" w:eastAsia="宋体" w:cs="宋体"/>
          <w:b/>
          <w:bCs/>
          <w:color w:val="auto"/>
          <w:sz w:val="24"/>
          <w:szCs w:val="24"/>
          <w:highlight w:val="none"/>
          <w:u w:val="dotted"/>
        </w:rPr>
        <w:t xml:space="preserve">                                                                             </w:t>
      </w:r>
    </w:p>
    <w:p w14:paraId="3DB4E003">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724800"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1090" name="000115"/>
                <wp:cNvGraphicFramePr/>
                <a:graphic xmlns:a="http://schemas.openxmlformats.org/drawingml/2006/main">
                  <a:graphicData uri="http://schemas.microsoft.com/office/word/2010/wordprocessingShape">
                    <wps:wsp>
                      <wps:cNvSpPr/>
                      <wps:spPr>
                        <a:xfrm>
                          <a:off x="0" y="0"/>
                          <a:ext cx="914400" cy="457200"/>
                        </a:xfrm>
                        <a:prstGeom prst="rect">
                          <a:avLst/>
                        </a:prstGeom>
                        <a:ln>
                          <a:noFill/>
                        </a:ln>
                      </wps:spPr>
                      <wps:txbx>
                        <w:txbxContent>
                          <w:p w14:paraId="447E0942">
                            <w:pPr>
                              <w:spacing w:line="240" w:lineRule="exact"/>
                              <w:rPr>
                                <w:rFonts w:hint="eastAsia" w:ascii="楷体_GB2312" w:hAnsi="宋体" w:eastAsia="楷体_GB2312"/>
                                <w:sz w:val="18"/>
                                <w:szCs w:val="18"/>
                              </w:rPr>
                            </w:pPr>
                            <w:r>
                              <w:rPr>
                                <w:rFonts w:hint="eastAsia" w:ascii="楷体_GB2312" w:hAnsi="宋体" w:eastAsia="楷体_GB2312" w:cs="楷体_GB2312"/>
                                <w:b/>
                                <w:bCs/>
                                <w:color w:val="000000"/>
                                <w:sz w:val="18"/>
                                <w:szCs w:val="18"/>
                              </w:rPr>
                              <w:t>承包人代表任命和更换</w:t>
                            </w:r>
                          </w:p>
                        </w:txbxContent>
                      </wps:txbx>
                      <wps:bodyPr wrap="square"/>
                    </wps:wsp>
                  </a:graphicData>
                </a:graphic>
              </wp:anchor>
            </w:drawing>
          </mc:Choice>
          <mc:Fallback>
            <w:pict>
              <v:rect id="000115" o:spid="_x0000_s1026" o:spt="1" style="position:absolute;left:0pt;margin-left:-9pt;margin-top:6.65pt;height:36pt;width:72pt;z-index:251724800;mso-width-relative:page;mso-height-relative:page;" filled="f" stroked="f" coordsize="21600,21600" o:gfxdata="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X93MeNkAAAAJAQAADwAAAAAAAAABACAAAAAiAAAA&#10;ZHJzL2Rvd25yZXYueG1sUEsBAhQAFAAAAAgAh07iQGfwL+aUAQAAOAMAAA4AAAAAAAAAAQAgAAAA&#10;KAEAAGRycy9lMm9Eb2MueG1sUEsFBgAAAAAGAAYAWQEAAC4FAAAAAA==&#10;">
                <v:fill on="f" focussize="0,0"/>
                <v:stroke on="f"/>
                <v:imagedata o:title=""/>
                <o:lock v:ext="edit" aspectratio="f"/>
                <v:textbox>
                  <w:txbxContent>
                    <w:p w14:paraId="447E0942">
                      <w:pPr>
                        <w:spacing w:line="240" w:lineRule="exact"/>
                        <w:rPr>
                          <w:rFonts w:hint="eastAsia" w:ascii="楷体_GB2312" w:hAnsi="宋体" w:eastAsia="楷体_GB2312"/>
                          <w:sz w:val="18"/>
                          <w:szCs w:val="18"/>
                        </w:rPr>
                      </w:pPr>
                      <w:r>
                        <w:rPr>
                          <w:rFonts w:hint="eastAsia" w:ascii="楷体_GB2312" w:hAnsi="宋体" w:eastAsia="楷体_GB2312" w:cs="楷体_GB2312"/>
                          <w:b/>
                          <w:bCs/>
                          <w:color w:val="000000"/>
                          <w:sz w:val="18"/>
                          <w:szCs w:val="18"/>
                        </w:rPr>
                        <w:t>承包人代表任命和更换</w:t>
                      </w:r>
                    </w:p>
                  </w:txbxContent>
                </v:textbox>
              </v:rect>
            </w:pict>
          </mc:Fallback>
        </mc:AlternateContent>
      </w:r>
      <w:r>
        <w:rPr>
          <w:rFonts w:hint="eastAsia" w:hAnsi="宋体" w:eastAsia="宋体" w:cs="宋体"/>
          <w:color w:val="auto"/>
          <w:sz w:val="24"/>
          <w:szCs w:val="24"/>
          <w:highlight w:val="none"/>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14:paraId="2E31A898">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承包人如需更换承包人代表，应取得发包人的同意和遵守建设行政主管部门的规定，并至少提前7天以书面形式通知发包人，否则该项更换无效。发包人应在收到通知后的7天内予以答复，否则视为同意。后任承包人代表应继续行使合同规定的前任承包人代表的职权和履行相应的义务。</w:t>
      </w:r>
    </w:p>
    <w:p w14:paraId="0D0641A9">
      <w:pPr>
        <w:pStyle w:val="22"/>
        <w:tabs>
          <w:tab w:val="left" w:pos="1320"/>
        </w:tabs>
        <w:adjustRightInd w:val="0"/>
        <w:snapToGrid w:val="0"/>
        <w:spacing w:line="300" w:lineRule="auto"/>
        <w:ind w:right="-238"/>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21.3  </w:t>
      </w:r>
      <w:r>
        <w:rPr>
          <w:rFonts w:hint="eastAsia" w:hAnsi="宋体" w:eastAsia="宋体" w:cs="宋体"/>
          <w:b/>
          <w:bCs/>
          <w:color w:val="auto"/>
          <w:sz w:val="24"/>
          <w:szCs w:val="24"/>
          <w:highlight w:val="none"/>
          <w:u w:val="dotted"/>
        </w:rPr>
        <w:t xml:space="preserve">                                                                                                          </w:t>
      </w:r>
    </w:p>
    <w:p w14:paraId="1453194E">
      <w:pPr>
        <w:pStyle w:val="22"/>
        <w:adjustRightInd w:val="0"/>
        <w:snapToGrid w:val="0"/>
        <w:spacing w:line="300" w:lineRule="auto"/>
        <w:ind w:left="1619" w:leftChars="771"/>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725824"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1091" name="000116"/>
                <wp:cNvGraphicFramePr/>
                <a:graphic xmlns:a="http://schemas.openxmlformats.org/drawingml/2006/main">
                  <a:graphicData uri="http://schemas.microsoft.com/office/word/2010/wordprocessingShape">
                    <wps:wsp>
                      <wps:cNvSpPr/>
                      <wps:spPr>
                        <a:xfrm>
                          <a:off x="0" y="0"/>
                          <a:ext cx="1231900" cy="720725"/>
                        </a:xfrm>
                        <a:prstGeom prst="rect">
                          <a:avLst/>
                        </a:prstGeom>
                        <a:ln>
                          <a:noFill/>
                        </a:ln>
                      </wps:spPr>
                      <wps:txbx>
                        <w:txbxContent>
                          <w:p w14:paraId="1B6502BE">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w:t>
                            </w:r>
                          </w:p>
                          <w:p w14:paraId="498838E1">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造价工程师代</w:t>
                            </w:r>
                          </w:p>
                          <w:p w14:paraId="52DF229F">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表任命和撤回</w:t>
                            </w:r>
                          </w:p>
                        </w:txbxContent>
                      </wps:txbx>
                      <wps:bodyPr wrap="square"/>
                    </wps:wsp>
                  </a:graphicData>
                </a:graphic>
              </wp:anchor>
            </w:drawing>
          </mc:Choice>
          <mc:Fallback>
            <w:pict>
              <v:rect id="000116" o:spid="_x0000_s1026" o:spt="1" style="position:absolute;left:0pt;margin-left:-6.6pt;margin-top:3.65pt;height:56.75pt;width:97pt;z-index:251725824;mso-width-relative:page;mso-height-relative:page;" filled="f" stroked="f" coordsize="21600,21600" o:gfxdata="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Hr4fLLYAAAACQEAAA8AAAAAAAAAAQAgAAAAIgAA&#10;AGRycy9kb3ducmV2LnhtbFBLAQIUABQAAAAIAIdO4kCl9cFklgEAADkDAAAOAAAAAAAAAAEAIAAA&#10;ACcBAABkcnMvZTJvRG9jLnhtbFBLBQYAAAAABgAGAFkBAAAvBQAAAAA=&#10;">
                <v:fill on="f" focussize="0,0"/>
                <v:stroke on="f"/>
                <v:imagedata o:title=""/>
                <o:lock v:ext="edit" aspectratio="f"/>
                <v:textbox>
                  <w:txbxContent>
                    <w:p w14:paraId="1B6502BE">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w:t>
                      </w:r>
                    </w:p>
                    <w:p w14:paraId="498838E1">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造价工程师代</w:t>
                      </w:r>
                    </w:p>
                    <w:p w14:paraId="52DF229F">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表任命和撤回</w:t>
                      </w:r>
                    </w:p>
                  </w:txbxContent>
                </v:textbox>
              </v:rect>
            </w:pict>
          </mc:Fallback>
        </mc:AlternateContent>
      </w:r>
      <w:r>
        <w:rPr>
          <w:rFonts w:hint="eastAsia" w:hAnsi="宋体" w:eastAsia="宋体" w:cs="宋体"/>
          <w:color w:val="auto"/>
          <w:sz w:val="24"/>
          <w:szCs w:val="24"/>
          <w:highlight w:val="none"/>
        </w:rPr>
        <w:t>除合同约定或依法应由监理工程师、造价工程师行使的职权外，监理工程师、造价工程师可将其职权以书面形式授予其任命的监理工程师、造价工程师代表，亦可将其授权撤回。任何此类任命或撤回，均应至少提前7天以书面形式通知承包人。未将有关文件送交承包人之前，任何此类任命或撤回均为无效。</w:t>
      </w:r>
    </w:p>
    <w:p w14:paraId="288CB367">
      <w:pPr>
        <w:pStyle w:val="22"/>
        <w:tabs>
          <w:tab w:val="left" w:pos="1320"/>
        </w:tabs>
        <w:adjustRightInd w:val="0"/>
        <w:snapToGrid w:val="0"/>
        <w:spacing w:line="300" w:lineRule="auto"/>
        <w:ind w:right="-238"/>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 xml:space="preserve">21.4  </w:t>
      </w:r>
      <w:r>
        <w:rPr>
          <w:rFonts w:hint="eastAsia" w:hAnsi="宋体" w:eastAsia="宋体" w:cs="宋体"/>
          <w:color w:val="auto"/>
          <w:sz w:val="24"/>
          <w:szCs w:val="24"/>
          <w:highlight w:val="none"/>
          <w:u w:val="dotted"/>
        </w:rPr>
        <w:t xml:space="preserve">                                                                             </w:t>
      </w:r>
    </w:p>
    <w:p w14:paraId="39E88674">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726848"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1092" name="000117"/>
                <wp:cNvGraphicFramePr/>
                <a:graphic xmlns:a="http://schemas.openxmlformats.org/drawingml/2006/main">
                  <a:graphicData uri="http://schemas.microsoft.com/office/word/2010/wordprocessingShape">
                    <wps:wsp>
                      <wps:cNvSpPr/>
                      <wps:spPr>
                        <a:xfrm>
                          <a:off x="0" y="0"/>
                          <a:ext cx="914400" cy="559435"/>
                        </a:xfrm>
                        <a:prstGeom prst="rect">
                          <a:avLst/>
                        </a:prstGeom>
                        <a:ln>
                          <a:noFill/>
                        </a:ln>
                      </wps:spPr>
                      <wps:txbx>
                        <w:txbxContent>
                          <w:p w14:paraId="78265951">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wps:txbx>
                      <wps:bodyPr wrap="square"/>
                    </wps:wsp>
                  </a:graphicData>
                </a:graphic>
              </wp:anchor>
            </w:drawing>
          </mc:Choice>
          <mc:Fallback>
            <w:pict>
              <v:rect id="000117" o:spid="_x0000_s1026" o:spt="1" style="position:absolute;left:0pt;margin-left:-9pt;margin-top:2.8pt;height:44.05pt;width:72pt;z-index:251726848;mso-width-relative:page;mso-height-relative:page;" filled="f" stroked="f" coordsize="21600,21600" o:gfxdata="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L24+W2QAAAAgBAAAPAAAAAAAAAAEAIAAAACIA&#10;AABkcnMvZG93bnJldi54bWxQSwECFAAUAAAACACHTuJAk9OmYZYBAAA4AwAADgAAAAAAAAABACAA&#10;AAAoAQAAZHJzL2Uyb0RvYy54bWxQSwUGAAAAAAYABgBZAQAAMAUAAAAA&#10;">
                <v:fill on="f" focussize="0,0"/>
                <v:stroke on="f"/>
                <v:imagedata o:title=""/>
                <o:lock v:ext="edit" aspectratio="f"/>
                <v:textbox>
                  <w:txbxContent>
                    <w:p w14:paraId="78265951">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v:textbox>
              </v:rect>
            </w:pict>
          </mc:Fallback>
        </mc:AlternateContent>
      </w:r>
      <w:r>
        <w:rPr>
          <w:rFonts w:hint="eastAsia" w:hAnsi="宋体" w:eastAsia="宋体" w:cs="宋体"/>
          <w:color w:val="auto"/>
          <w:sz w:val="24"/>
          <w:szCs w:val="24"/>
          <w:highlight w:val="none"/>
        </w:rPr>
        <w:t>除合同约定或依法应由承包人代表行使的职权外，承包人代表可将其职权以书</w:t>
      </w:r>
    </w:p>
    <w:p w14:paraId="46A018F5">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面形式授予其任命的合格人选，亦可将其授权撤回。任何此类任命或撤回，均应至少提前7天以书面形式通知发包人和监理工程师、造价工程师。未将有关文件提交发包人和监理工程师、造价工程师之前，任何此类任命或撤回均为无效。</w:t>
      </w:r>
    </w:p>
    <w:p w14:paraId="78B8E2C4">
      <w:pPr>
        <w:spacing w:line="300" w:lineRule="auto"/>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2728141D">
      <w:pPr>
        <w:pStyle w:val="4"/>
        <w:tabs>
          <w:tab w:val="left" w:pos="420"/>
        </w:tabs>
        <w:spacing w:line="300" w:lineRule="auto"/>
        <w:ind w:left="720"/>
        <w:rPr>
          <w:rFonts w:hint="eastAsia" w:ascii="宋体" w:hAnsi="宋体" w:eastAsia="宋体" w:cs="宋体"/>
          <w:color w:val="auto"/>
          <w:sz w:val="24"/>
          <w:szCs w:val="24"/>
          <w:highlight w:val="none"/>
        </w:rPr>
      </w:pPr>
      <w:bookmarkStart w:id="60" w:name="_Toc469384002"/>
      <w:bookmarkStart w:id="61" w:name="_Toc46860823"/>
      <w:r>
        <w:rPr>
          <w:rFonts w:hint="eastAsia" w:ascii="宋体" w:hAnsi="宋体" w:eastAsia="宋体" w:cs="宋体"/>
          <w:color w:val="auto"/>
          <w:sz w:val="24"/>
          <w:szCs w:val="24"/>
          <w:highlight w:val="none"/>
        </w:rPr>
        <w:t>22  发包人代表</w:t>
      </w:r>
      <w:bookmarkEnd w:id="60"/>
      <w:bookmarkEnd w:id="61"/>
    </w:p>
    <w:p w14:paraId="2F961CD8">
      <w:pPr>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22.1                           </w:t>
      </w:r>
    </w:p>
    <w:p w14:paraId="4B301877">
      <w:pPr>
        <w:pStyle w:val="35"/>
        <w:spacing w:line="300" w:lineRule="auto"/>
        <w:ind w:left="1619" w:leftChars="771"/>
        <w:rPr>
          <w:rFonts w:hint="eastAsia" w:ascii="宋体" w:eastAsia="宋体" w:cs="宋体"/>
          <w:color w:val="auto"/>
          <w:highlight w:val="none"/>
        </w:rPr>
      </w:pPr>
      <w:r>
        <w:rPr>
          <w:rFonts w:hint="eastAsia" w:ascii="宋体" w:eastAsia="宋体" w:cs="宋体"/>
          <w:color w:val="auto"/>
          <w:highlight w:val="none"/>
        </w:rPr>
        <mc:AlternateContent>
          <mc:Choice Requires="wps">
            <w:drawing>
              <wp:anchor distT="0" distB="0" distL="0" distR="0" simplePos="0" relativeHeight="251727872" behindDoc="0" locked="0" layoutInCell="1" allowOverlap="1">
                <wp:simplePos x="0" y="0"/>
                <wp:positionH relativeFrom="column">
                  <wp:posOffset>-114300</wp:posOffset>
                </wp:positionH>
                <wp:positionV relativeFrom="paragraph">
                  <wp:posOffset>52705</wp:posOffset>
                </wp:positionV>
                <wp:extent cx="914400" cy="443230"/>
                <wp:effectExtent l="0" t="0" r="0" b="0"/>
                <wp:wrapNone/>
                <wp:docPr id="1093" name="000118"/>
                <wp:cNvGraphicFramePr/>
                <a:graphic xmlns:a="http://schemas.openxmlformats.org/drawingml/2006/main">
                  <a:graphicData uri="http://schemas.microsoft.com/office/word/2010/wordprocessingShape">
                    <wps:wsp>
                      <wps:cNvSpPr/>
                      <wps:spPr>
                        <a:xfrm>
                          <a:off x="0" y="0"/>
                          <a:ext cx="914400" cy="443230"/>
                        </a:xfrm>
                        <a:prstGeom prst="rect">
                          <a:avLst/>
                        </a:prstGeom>
                        <a:ln>
                          <a:noFill/>
                        </a:ln>
                      </wps:spPr>
                      <wps:txbx>
                        <w:txbxContent>
                          <w:p w14:paraId="0811C9B5">
                            <w:pPr>
                              <w:spacing w:line="240" w:lineRule="exact"/>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建设单位对其代表授权</w:t>
                            </w:r>
                          </w:p>
                        </w:txbxContent>
                      </wps:txbx>
                      <wps:bodyPr wrap="square"/>
                    </wps:wsp>
                  </a:graphicData>
                </a:graphic>
              </wp:anchor>
            </w:drawing>
          </mc:Choice>
          <mc:Fallback>
            <w:pict>
              <v:rect id="000118" o:spid="_x0000_s1026" o:spt="1" style="position:absolute;left:0pt;margin-left:-9pt;margin-top:4.15pt;height:34.9pt;width:72pt;z-index:251727872;mso-width-relative:page;mso-height-relative:page;" filled="f" stroked="f" coordsize="21600,21600" o:gfxdata="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Ewny3XYAAAACAEAAA8AAAAAAAAAAQAgAAAAIgAA&#10;AGRycy9kb3ducmV2LnhtbFBLAQIUABQAAAAIAIdO4kAmx/XolgEAADgDAAAOAAAAAAAAAAEAIAAA&#10;ACcBAABkcnMvZTJvRG9jLnhtbFBLBQYAAAAABgAGAFkBAAAvBQAAAAA=&#10;">
                <v:fill on="f" focussize="0,0"/>
                <v:stroke on="f"/>
                <v:imagedata o:title=""/>
                <o:lock v:ext="edit" aspectratio="f"/>
                <v:textbox>
                  <w:txbxContent>
                    <w:p w14:paraId="0811C9B5">
                      <w:pPr>
                        <w:spacing w:line="240" w:lineRule="exact"/>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建设单位对其代表授权</w:t>
                      </w:r>
                    </w:p>
                  </w:txbxContent>
                </v:textbox>
              </v:rect>
            </w:pict>
          </mc:Fallback>
        </mc:AlternateContent>
      </w:r>
      <w:r>
        <w:rPr>
          <w:rFonts w:hint="eastAsia" w:ascii="宋体" w:eastAsia="宋体" w:cs="宋体"/>
          <w:color w:val="auto"/>
          <w:highlight w:val="none"/>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14:paraId="460C4A00">
      <w:pPr>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22.2   </w:t>
      </w:r>
      <w:r>
        <w:rPr>
          <w:rFonts w:hint="eastAsia" w:ascii="宋体" w:hAnsi="宋体" w:eastAsia="宋体" w:cs="宋体"/>
          <w:b/>
          <w:bCs/>
          <w:color w:val="auto"/>
          <w:sz w:val="24"/>
          <w:highlight w:val="none"/>
          <w:u w:val="dotted"/>
        </w:rPr>
        <w:t xml:space="preserve">                                                                                                      </w:t>
      </w:r>
    </w:p>
    <w:p w14:paraId="1A3B4014">
      <w:pPr>
        <w:pStyle w:val="35"/>
        <w:spacing w:line="300" w:lineRule="auto"/>
        <w:ind w:left="1619" w:leftChars="771"/>
        <w:rPr>
          <w:rFonts w:hint="eastAsia" w:ascii="宋体" w:eastAsia="宋体" w:cs="宋体"/>
          <w:color w:val="auto"/>
          <w:highlight w:val="none"/>
        </w:rPr>
      </w:pPr>
      <w:r>
        <w:rPr>
          <w:rFonts w:hint="eastAsia" w:ascii="宋体" w:eastAsia="宋体" w:cs="宋体"/>
          <w:color w:val="auto"/>
          <w:highlight w:val="none"/>
        </w:rPr>
        <mc:AlternateContent>
          <mc:Choice Requires="wps">
            <w:drawing>
              <wp:anchor distT="0" distB="0" distL="0" distR="0" simplePos="0" relativeHeight="251728896"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1094" name="000119"/>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450AFB76">
                            <w:pPr>
                              <w:spacing w:line="240" w:lineRule="exact"/>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建设单位代表职权</w:t>
                            </w:r>
                          </w:p>
                        </w:txbxContent>
                      </wps:txbx>
                      <wps:bodyPr wrap="square"/>
                    </wps:wsp>
                  </a:graphicData>
                </a:graphic>
              </wp:anchor>
            </w:drawing>
          </mc:Choice>
          <mc:Fallback>
            <w:pict>
              <v:rect id="000119" o:spid="_x0000_s1026" o:spt="1" style="position:absolute;left:0pt;margin-left:-9pt;margin-top:6pt;height:31.2pt;width:72pt;z-index:251728896;mso-width-relative:page;mso-height-relative:page;" filled="f" stroked="f" coordsize="21600,21600" o:gfxdata="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djpD/2QAAAAkBAAAPAAAAAAAAAAEAIAAAACIA&#10;AABkcnMvZG93bnJldi54bWxQSwECFAAUAAAACACHTuJAp6uBtpYBAAA4AwAADgAAAAAAAAABACAA&#10;AAAoAQAAZHJzL2Uyb0RvYy54bWxQSwUGAAAAAAYABgBZAQAAMAUAAAAA&#10;">
                <v:fill on="f" focussize="0,0"/>
                <v:stroke on="f"/>
                <v:imagedata o:title=""/>
                <o:lock v:ext="edit" aspectratio="f"/>
                <v:textbox>
                  <w:txbxContent>
                    <w:p w14:paraId="450AFB76">
                      <w:pPr>
                        <w:spacing w:line="240" w:lineRule="exact"/>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建设单位代表职权</w:t>
                      </w:r>
                    </w:p>
                  </w:txbxContent>
                </v:textbox>
              </v:rect>
            </w:pict>
          </mc:Fallback>
        </mc:AlternateContent>
      </w:r>
      <w:r>
        <w:rPr>
          <w:rFonts w:hint="eastAsia" w:ascii="宋体" w:eastAsia="宋体" w:cs="宋体"/>
          <w:color w:val="auto"/>
          <w:highlight w:val="none"/>
        </w:rPr>
        <w:t>发包人代表应代表发包人履行合同规定的职责、行使合同明文规定和必然隐含的权力，对发包人负责。发包人代表在发包人授予职权范围内工作，发包人应予认可。</w:t>
      </w:r>
    </w:p>
    <w:p w14:paraId="0C823934">
      <w:pPr>
        <w:spacing w:line="300" w:lineRule="auto"/>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58C83892">
      <w:pPr>
        <w:pStyle w:val="4"/>
        <w:tabs>
          <w:tab w:val="left" w:pos="420"/>
        </w:tabs>
        <w:spacing w:line="300" w:lineRule="auto"/>
        <w:rPr>
          <w:rFonts w:hint="eastAsia" w:ascii="宋体" w:hAnsi="宋体" w:eastAsia="宋体" w:cs="宋体"/>
          <w:bCs w:val="0"/>
          <w:color w:val="auto"/>
          <w:sz w:val="24"/>
          <w:szCs w:val="24"/>
          <w:highlight w:val="none"/>
        </w:rPr>
      </w:pPr>
      <w:bookmarkStart w:id="62" w:name="_Toc46860824"/>
      <w:bookmarkStart w:id="63" w:name="_Toc469384003"/>
      <w:r>
        <w:rPr>
          <w:rFonts w:hint="eastAsia" w:ascii="宋体" w:hAnsi="宋体" w:eastAsia="宋体" w:cs="宋体"/>
          <w:bCs w:val="0"/>
          <w:color w:val="auto"/>
          <w:sz w:val="24"/>
          <w:szCs w:val="24"/>
          <w:highlight w:val="none"/>
        </w:rPr>
        <w:t>23  监理工程师</w:t>
      </w:r>
      <w:bookmarkEnd w:id="62"/>
      <w:bookmarkEnd w:id="63"/>
    </w:p>
    <w:p w14:paraId="66A8BB78">
      <w:pPr>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23.1  </w:t>
      </w:r>
      <w:r>
        <w:rPr>
          <w:rFonts w:hint="eastAsia" w:ascii="宋体" w:hAnsi="宋体" w:eastAsia="宋体" w:cs="宋体"/>
          <w:b/>
          <w:bCs/>
          <w:color w:val="auto"/>
          <w:sz w:val="24"/>
          <w:highlight w:val="none"/>
          <w:u w:val="dotted"/>
        </w:rPr>
        <w:t xml:space="preserve">                                                                                                        </w:t>
      </w:r>
    </w:p>
    <w:p w14:paraId="30EE59DA">
      <w:pPr>
        <w:pStyle w:val="35"/>
        <w:spacing w:line="300" w:lineRule="auto"/>
        <w:ind w:left="1619" w:leftChars="771"/>
        <w:rPr>
          <w:rFonts w:hint="eastAsia" w:ascii="宋体" w:eastAsia="宋体" w:cs="宋体"/>
          <w:color w:val="auto"/>
          <w:highlight w:val="none"/>
        </w:rPr>
      </w:pPr>
      <w:r>
        <w:rPr>
          <w:rFonts w:hint="eastAsia" w:ascii="宋体" w:eastAsia="宋体" w:cs="宋体"/>
          <w:color w:val="auto"/>
          <w:highlight w:val="none"/>
        </w:rPr>
        <mc:AlternateContent>
          <mc:Choice Requires="wps">
            <w:drawing>
              <wp:anchor distT="0" distB="0" distL="0" distR="0" simplePos="0" relativeHeight="251729920" behindDoc="0" locked="0" layoutInCell="1" allowOverlap="1">
                <wp:simplePos x="0" y="0"/>
                <wp:positionH relativeFrom="column">
                  <wp:posOffset>-114300</wp:posOffset>
                </wp:positionH>
                <wp:positionV relativeFrom="paragraph">
                  <wp:posOffset>52705</wp:posOffset>
                </wp:positionV>
                <wp:extent cx="914400" cy="389890"/>
                <wp:effectExtent l="0" t="0" r="0" b="0"/>
                <wp:wrapNone/>
                <wp:docPr id="1095" name="00011a"/>
                <wp:cNvGraphicFramePr/>
                <a:graphic xmlns:a="http://schemas.openxmlformats.org/drawingml/2006/main">
                  <a:graphicData uri="http://schemas.microsoft.com/office/word/2010/wordprocessingShape">
                    <wps:wsp>
                      <wps:cNvSpPr/>
                      <wps:spPr>
                        <a:xfrm>
                          <a:off x="0" y="0"/>
                          <a:ext cx="914400" cy="389890"/>
                        </a:xfrm>
                        <a:prstGeom prst="rect">
                          <a:avLst/>
                        </a:prstGeom>
                        <a:ln>
                          <a:noFill/>
                        </a:ln>
                      </wps:spPr>
                      <wps:txbx>
                        <w:txbxContent>
                          <w:p w14:paraId="5B430137">
                            <w:pPr>
                              <w:spacing w:line="240" w:lineRule="exact"/>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建设单位对监理工程师授权</w:t>
                            </w:r>
                          </w:p>
                        </w:txbxContent>
                      </wps:txbx>
                      <wps:bodyPr wrap="square"/>
                    </wps:wsp>
                  </a:graphicData>
                </a:graphic>
              </wp:anchor>
            </w:drawing>
          </mc:Choice>
          <mc:Fallback>
            <w:pict>
              <v:rect id="00011a" o:spid="_x0000_s1026" o:spt="1" style="position:absolute;left:0pt;margin-left:-9pt;margin-top:4.15pt;height:30.7pt;width:72pt;z-index:251729920;mso-width-relative:page;mso-height-relative:page;" filled="f" stroked="f" coordsize="21600,21600" o:gfxdata="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IeUqhLYAAAACAEAAA8AAAAAAAAAAQAgAAAAIgAA&#10;AGRycy9kb3ducmV2LnhtbFBLAQIUABQAAAAIAIdO4kD9Zm8TlgEAADgDAAAOAAAAAAAAAAEAIAAA&#10;ACcBAABkcnMvZTJvRG9jLnhtbFBLBQYAAAAABgAGAFkBAAAvBQAAAAA=&#10;">
                <v:fill on="f" focussize="0,0"/>
                <v:stroke on="f"/>
                <v:imagedata o:title=""/>
                <o:lock v:ext="edit" aspectratio="f"/>
                <v:textbox>
                  <w:txbxContent>
                    <w:p w14:paraId="5B430137">
                      <w:pPr>
                        <w:spacing w:line="240" w:lineRule="exact"/>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建设单位对监理工程师授权</w:t>
                      </w:r>
                    </w:p>
                  </w:txbxContent>
                </v:textbox>
              </v:rect>
            </w:pict>
          </mc:Fallback>
        </mc:AlternateContent>
      </w:r>
      <w:r>
        <w:rPr>
          <w:rFonts w:hint="eastAsia" w:ascii="宋体" w:eastAsia="宋体" w:cs="宋体"/>
          <w:color w:val="auto"/>
          <w:highlight w:val="none"/>
        </w:rPr>
        <w:t>发包人应在专用条款中写明负责合同工程监理专业技术的监理人名称和监理工程师具体人选，并在开工前将监理工程师任命书以书面形式通知承包人，授予其代表发包人履行合同规定职责所需的权力。</w:t>
      </w:r>
    </w:p>
    <w:p w14:paraId="2099D80F">
      <w:pPr>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23.2  </w:t>
      </w:r>
      <w:r>
        <w:rPr>
          <w:rFonts w:hint="eastAsia" w:ascii="宋体" w:hAnsi="宋体" w:eastAsia="宋体" w:cs="宋体"/>
          <w:b/>
          <w:bCs/>
          <w:color w:val="auto"/>
          <w:sz w:val="24"/>
          <w:highlight w:val="none"/>
          <w:u w:val="dotted"/>
        </w:rPr>
        <w:t xml:space="preserve">                                                                                                        </w:t>
      </w:r>
    </w:p>
    <w:p w14:paraId="2F5D05B5">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730944"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1096" name="00011b"/>
                <wp:cNvGraphicFramePr/>
                <a:graphic xmlns:a="http://schemas.openxmlformats.org/drawingml/2006/main">
                  <a:graphicData uri="http://schemas.microsoft.com/office/word/2010/wordprocessingShape">
                    <wps:wsp>
                      <wps:cNvSpPr/>
                      <wps:spPr>
                        <a:xfrm>
                          <a:off x="0" y="0"/>
                          <a:ext cx="914400" cy="483869"/>
                        </a:xfrm>
                        <a:prstGeom prst="rect">
                          <a:avLst/>
                        </a:prstGeom>
                        <a:ln>
                          <a:noFill/>
                        </a:ln>
                      </wps:spPr>
                      <wps:txbx>
                        <w:txbxContent>
                          <w:p w14:paraId="3AEA52CE">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w:t>
                            </w:r>
                          </w:p>
                        </w:txbxContent>
                      </wps:txbx>
                      <wps:bodyPr wrap="square"/>
                    </wps:wsp>
                  </a:graphicData>
                </a:graphic>
              </wp:anchor>
            </w:drawing>
          </mc:Choice>
          <mc:Fallback>
            <w:pict>
              <v:rect id="00011b" o:spid="_x0000_s1026" o:spt="1" style="position:absolute;left:0pt;margin-left:-9pt;margin-top:3pt;height:38.1pt;width:72pt;z-index:251730944;mso-width-relative:page;mso-height-relative:page;" filled="f" stroked="f" coordsize="21600,21600" o:gfxdata="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&#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1JhnB1wAAAAgBAAAPAAAAAAAAAAEAIAAAACIAAABk&#10;cnMvZG93bnJldi54bWxQSwECFAAUAAAACACHTuJAPXhd1JUBAAA4AwAADgAAAAAAAAABACAAAAAm&#10;AQAAZHJzL2Uyb0RvYy54bWxQSwUGAAAAAAYABgBZAQAALQUAAAAA&#10;">
                <v:fill on="f" focussize="0,0"/>
                <v:stroke on="f"/>
                <v:imagedata o:title=""/>
                <o:lock v:ext="edit" aspectratio="f"/>
                <v:textbox>
                  <w:txbxContent>
                    <w:p w14:paraId="3AEA52CE">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w:t>
                      </w:r>
                    </w:p>
                  </w:txbxContent>
                </v:textbox>
              </v:rect>
            </w:pict>
          </mc:Fallback>
        </mc:AlternateContent>
      </w:r>
      <w:r>
        <w:rPr>
          <w:rFonts w:hint="eastAsia" w:ascii="宋体" w:hAnsi="宋体" w:eastAsia="宋体" w:cs="宋体"/>
          <w:color w:val="auto"/>
          <w:sz w:val="24"/>
          <w:highlight w:val="none"/>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14:paraId="153D607A">
      <w:pPr>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23.3  </w:t>
      </w:r>
      <w:r>
        <w:rPr>
          <w:rFonts w:hint="eastAsia" w:ascii="宋体" w:hAnsi="宋体" w:eastAsia="宋体" w:cs="宋体"/>
          <w:b/>
          <w:bCs/>
          <w:color w:val="auto"/>
          <w:sz w:val="24"/>
          <w:highlight w:val="none"/>
          <w:u w:val="dotted"/>
        </w:rPr>
        <w:t xml:space="preserve">                                                                                                        </w:t>
      </w:r>
    </w:p>
    <w:p w14:paraId="6CD18ACB">
      <w:pPr>
        <w:spacing w:line="300" w:lineRule="auto"/>
        <w:ind w:left="1619" w:leftChars="771" w:firstLine="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731968"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1097" name="00011c"/>
                <wp:cNvGraphicFramePr/>
                <a:graphic xmlns:a="http://schemas.openxmlformats.org/drawingml/2006/main">
                  <a:graphicData uri="http://schemas.microsoft.com/office/word/2010/wordprocessingShape">
                    <wps:wsp>
                      <wps:cNvSpPr/>
                      <wps:spPr>
                        <a:xfrm>
                          <a:off x="0" y="0"/>
                          <a:ext cx="914400" cy="410210"/>
                        </a:xfrm>
                        <a:prstGeom prst="rect">
                          <a:avLst/>
                        </a:prstGeom>
                        <a:ln>
                          <a:noFill/>
                        </a:ln>
                      </wps:spPr>
                      <wps:txbx>
                        <w:txbxContent>
                          <w:p w14:paraId="206D0AEB">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监理工程师职权限制</w:t>
                            </w:r>
                          </w:p>
                        </w:txbxContent>
                      </wps:txbx>
                      <wps:bodyPr wrap="square"/>
                    </wps:wsp>
                  </a:graphicData>
                </a:graphic>
              </wp:anchor>
            </w:drawing>
          </mc:Choice>
          <mc:Fallback>
            <w:pict>
              <v:rect id="00011c" o:spid="_x0000_s1026" o:spt="1" style="position:absolute;left:0pt;margin-left:-9pt;margin-top:5.4pt;height:32.3pt;width:72pt;z-index:251731968;mso-width-relative:page;mso-height-relative:page;" filled="f" stroked="f" coordsize="21600,21600" o:gfxdata="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IosxjDZAAAACQEAAA8AAAAAAAAAAQAgAAAAIgAA&#10;AGRycy9kb3ducmV2LnhtbFBLAQIUABQAAAAIAIdO4kB1I8hDlQEAADgDAAAOAAAAAAAAAAEAIAAA&#10;ACgBAABkcnMvZTJvRG9jLnhtbFBLBQYAAAAABgAGAFkBAAAvBQAAAAA=&#10;">
                <v:fill on="f" focussize="0,0"/>
                <v:stroke on="f"/>
                <v:imagedata o:title=""/>
                <o:lock v:ext="edit" aspectratio="f"/>
                <v:textbox>
                  <w:txbxContent>
                    <w:p w14:paraId="206D0AEB">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监理工程师职权限制</w:t>
                      </w:r>
                    </w:p>
                  </w:txbxContent>
                </v:textbox>
              </v:rect>
            </w:pict>
          </mc:Fallback>
        </mc:AlternateContent>
      </w:r>
      <w:r>
        <w:rPr>
          <w:rFonts w:hint="eastAsia" w:ascii="宋体" w:hAnsi="宋体" w:eastAsia="宋体" w:cs="宋体"/>
          <w:color w:val="auto"/>
          <w:sz w:val="24"/>
          <w:highlight w:val="none"/>
        </w:rPr>
        <w:t>除属于第86条规定的争议外，监理工程师在职权范围内的工作，发包人应予认可，但下列事件应事先取得发包人的专项批准：</w:t>
      </w:r>
    </w:p>
    <w:p w14:paraId="47C977D2">
      <w:pPr>
        <w:numPr>
          <w:ilvl w:val="0"/>
          <w:numId w:val="10"/>
        </w:numPr>
        <w:spacing w:line="300" w:lineRule="auto"/>
        <w:ind w:left="1619" w:leftChars="771" w:firstLine="1"/>
        <w:rPr>
          <w:rFonts w:hint="eastAsia" w:ascii="宋体" w:hAnsi="宋体" w:eastAsia="宋体" w:cs="宋体"/>
          <w:color w:val="auto"/>
          <w:sz w:val="24"/>
          <w:highlight w:val="none"/>
        </w:rPr>
      </w:pPr>
      <w:r>
        <w:rPr>
          <w:rFonts w:hint="eastAsia" w:ascii="宋体" w:hAnsi="宋体" w:eastAsia="宋体" w:cs="宋体"/>
          <w:color w:val="auto"/>
          <w:sz w:val="24"/>
          <w:highlight w:val="none"/>
        </w:rPr>
        <w:t>根据第5.2款规定批准承包人提供的配合施工设计图纸；</w:t>
      </w:r>
    </w:p>
    <w:p w14:paraId="7E39372D">
      <w:pPr>
        <w:numPr>
          <w:ilvl w:val="0"/>
          <w:numId w:val="10"/>
        </w:numPr>
        <w:spacing w:line="300" w:lineRule="auto"/>
        <w:ind w:left="1619" w:leftChars="771" w:firstLine="1"/>
        <w:rPr>
          <w:rFonts w:hint="eastAsia" w:ascii="宋体" w:hAnsi="宋体" w:eastAsia="宋体" w:cs="宋体"/>
          <w:color w:val="auto"/>
          <w:sz w:val="24"/>
          <w:highlight w:val="none"/>
        </w:rPr>
      </w:pPr>
      <w:r>
        <w:rPr>
          <w:rFonts w:hint="eastAsia" w:ascii="宋体" w:hAnsi="宋体" w:eastAsia="宋体" w:cs="宋体"/>
          <w:color w:val="auto"/>
          <w:sz w:val="24"/>
          <w:highlight w:val="none"/>
        </w:rPr>
        <w:t>根据第7.2款规定同意承包人分包工程；</w:t>
      </w:r>
    </w:p>
    <w:p w14:paraId="5F8C3DE0">
      <w:pPr>
        <w:numPr>
          <w:ilvl w:val="0"/>
          <w:numId w:val="10"/>
        </w:numPr>
        <w:spacing w:line="300" w:lineRule="auto"/>
        <w:ind w:left="1619" w:leftChars="771" w:firstLine="1"/>
        <w:rPr>
          <w:rFonts w:hint="eastAsia" w:ascii="宋体" w:hAnsi="宋体" w:eastAsia="宋体" w:cs="宋体"/>
          <w:color w:val="auto"/>
          <w:sz w:val="24"/>
          <w:highlight w:val="none"/>
        </w:rPr>
      </w:pPr>
      <w:r>
        <w:rPr>
          <w:rFonts w:hint="eastAsia" w:ascii="宋体" w:hAnsi="宋体" w:eastAsia="宋体" w:cs="宋体"/>
          <w:color w:val="auto"/>
          <w:sz w:val="24"/>
          <w:highlight w:val="none"/>
        </w:rPr>
        <w:t>根据第18.1款规定批准承包人将材料和工程设备、施工设备移出施工场地；</w:t>
      </w:r>
    </w:p>
    <w:p w14:paraId="6506A28F">
      <w:pPr>
        <w:numPr>
          <w:ilvl w:val="0"/>
          <w:numId w:val="10"/>
        </w:numPr>
        <w:spacing w:line="300" w:lineRule="auto"/>
        <w:ind w:left="1619" w:leftChars="771" w:firstLine="1"/>
        <w:rPr>
          <w:rFonts w:hint="eastAsia" w:ascii="宋体" w:hAnsi="宋体" w:eastAsia="宋体" w:cs="宋体"/>
          <w:color w:val="auto"/>
          <w:sz w:val="24"/>
          <w:highlight w:val="none"/>
        </w:rPr>
      </w:pPr>
      <w:r>
        <w:rPr>
          <w:rFonts w:hint="eastAsia" w:ascii="宋体" w:hAnsi="宋体" w:eastAsia="宋体" w:cs="宋体"/>
          <w:color w:val="auto"/>
          <w:sz w:val="24"/>
          <w:highlight w:val="none"/>
        </w:rPr>
        <w:t>根据第33条规定批准承包人的施工组织设计和工程进度计划；</w:t>
      </w:r>
    </w:p>
    <w:p w14:paraId="2272554B">
      <w:pPr>
        <w:numPr>
          <w:ilvl w:val="0"/>
          <w:numId w:val="10"/>
        </w:numPr>
        <w:spacing w:line="300" w:lineRule="auto"/>
        <w:ind w:left="1619" w:leftChars="771" w:firstLine="1"/>
        <w:rPr>
          <w:rFonts w:hint="eastAsia" w:ascii="宋体" w:hAnsi="宋体" w:eastAsia="宋体" w:cs="宋体"/>
          <w:color w:val="auto"/>
          <w:sz w:val="24"/>
          <w:highlight w:val="none"/>
        </w:rPr>
      </w:pPr>
      <w:r>
        <w:rPr>
          <w:rFonts w:hint="eastAsia" w:ascii="宋体" w:hAnsi="宋体" w:eastAsia="宋体" w:cs="宋体"/>
          <w:color w:val="auto"/>
          <w:sz w:val="24"/>
          <w:highlight w:val="none"/>
        </w:rPr>
        <w:t>根据第34.2款规定发出的工程开工令；</w:t>
      </w:r>
    </w:p>
    <w:p w14:paraId="0655F5C1">
      <w:pPr>
        <w:numPr>
          <w:ilvl w:val="0"/>
          <w:numId w:val="10"/>
        </w:numPr>
        <w:spacing w:line="300" w:lineRule="auto"/>
        <w:ind w:left="1619" w:leftChars="771" w:firstLine="1"/>
        <w:rPr>
          <w:rFonts w:hint="eastAsia" w:ascii="宋体" w:hAnsi="宋体" w:eastAsia="宋体" w:cs="宋体"/>
          <w:color w:val="auto"/>
          <w:sz w:val="24"/>
          <w:highlight w:val="none"/>
        </w:rPr>
      </w:pPr>
      <w:r>
        <w:rPr>
          <w:rFonts w:hint="eastAsia" w:ascii="宋体" w:hAnsi="宋体" w:eastAsia="宋体" w:cs="宋体"/>
          <w:color w:val="auto"/>
          <w:sz w:val="24"/>
          <w:highlight w:val="none"/>
        </w:rPr>
        <w:t>根据第37.2款规定发出加快进度的变更指令；</w:t>
      </w:r>
    </w:p>
    <w:p w14:paraId="4EE7342F">
      <w:pPr>
        <w:numPr>
          <w:ilvl w:val="0"/>
          <w:numId w:val="10"/>
        </w:numPr>
        <w:spacing w:line="300" w:lineRule="auto"/>
        <w:ind w:left="1619" w:leftChars="771" w:firstLine="1"/>
        <w:rPr>
          <w:rFonts w:hint="eastAsia" w:ascii="宋体" w:hAnsi="宋体" w:eastAsia="宋体" w:cs="宋体"/>
          <w:color w:val="auto"/>
          <w:sz w:val="24"/>
          <w:highlight w:val="none"/>
        </w:rPr>
      </w:pPr>
      <w:r>
        <w:rPr>
          <w:rFonts w:hint="eastAsia" w:ascii="宋体" w:hAnsi="宋体" w:eastAsia="宋体" w:cs="宋体"/>
          <w:color w:val="auto"/>
          <w:sz w:val="24"/>
          <w:highlight w:val="none"/>
        </w:rPr>
        <w:t>根据第49.6款规定使用替换材料；</w:t>
      </w:r>
    </w:p>
    <w:p w14:paraId="19ABA664">
      <w:pPr>
        <w:numPr>
          <w:ilvl w:val="0"/>
          <w:numId w:val="10"/>
        </w:numPr>
        <w:spacing w:line="300" w:lineRule="auto"/>
        <w:ind w:left="1619" w:leftChars="771" w:firstLine="1"/>
        <w:rPr>
          <w:rFonts w:hint="eastAsia" w:ascii="宋体" w:hAnsi="宋体" w:eastAsia="宋体" w:cs="宋体"/>
          <w:color w:val="auto"/>
          <w:sz w:val="24"/>
          <w:highlight w:val="none"/>
        </w:rPr>
      </w:pPr>
      <w:r>
        <w:rPr>
          <w:rFonts w:hint="eastAsia" w:ascii="宋体" w:hAnsi="宋体" w:eastAsia="宋体" w:cs="宋体"/>
          <w:color w:val="auto"/>
          <w:sz w:val="24"/>
          <w:highlight w:val="none"/>
        </w:rPr>
        <w:t>根据第63条规定发出使用暂列金额的工作指令；</w:t>
      </w:r>
    </w:p>
    <w:p w14:paraId="0004ECF7">
      <w:pPr>
        <w:numPr>
          <w:ilvl w:val="0"/>
          <w:numId w:val="10"/>
        </w:numPr>
        <w:spacing w:line="300" w:lineRule="auto"/>
        <w:ind w:left="1619" w:leftChars="771" w:firstLine="1"/>
        <w:rPr>
          <w:rFonts w:hint="eastAsia" w:ascii="宋体" w:hAnsi="宋体" w:eastAsia="宋体" w:cs="宋体"/>
          <w:color w:val="auto"/>
          <w:sz w:val="24"/>
          <w:highlight w:val="none"/>
        </w:rPr>
      </w:pPr>
      <w:r>
        <w:rPr>
          <w:rFonts w:hint="eastAsia" w:ascii="宋体" w:hAnsi="宋体" w:eastAsia="宋体" w:cs="宋体"/>
          <w:color w:val="auto"/>
          <w:sz w:val="24"/>
          <w:highlight w:val="none"/>
        </w:rPr>
        <w:t>根据第64条规定发出使用计日工的工作指令；</w:t>
      </w:r>
    </w:p>
    <w:p w14:paraId="73939FA2">
      <w:pPr>
        <w:pStyle w:val="96"/>
        <w:spacing w:line="300" w:lineRule="auto"/>
        <w:ind w:firstLine="1440" w:firstLineChars="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（10）根据第56条规定指令或批准的工程变更；</w:t>
      </w:r>
    </w:p>
    <w:p w14:paraId="2CC83F4C">
      <w:pPr>
        <w:pStyle w:val="96"/>
        <w:spacing w:line="300" w:lineRule="auto"/>
        <w:ind w:firstLine="1440" w:firstLineChars="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（11）根据第75条规定指令或确认的现场签证；</w:t>
      </w:r>
    </w:p>
    <w:p w14:paraId="4C8C8143">
      <w:pPr>
        <w:spacing w:line="30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（12）专用条款约定需要发包人批准的其他事项。</w:t>
      </w:r>
    </w:p>
    <w:p w14:paraId="766D7496">
      <w:pPr>
        <w:spacing w:line="300"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732992"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1098" name="00011d"/>
                <wp:cNvGraphicFramePr/>
                <a:graphic xmlns:a="http://schemas.openxmlformats.org/drawingml/2006/main">
                  <a:graphicData uri="http://schemas.microsoft.com/office/word/2010/wordprocessingShape">
                    <wps:wsp>
                      <wps:cNvSpPr/>
                      <wps:spPr>
                        <a:xfrm>
                          <a:off x="0" y="0"/>
                          <a:ext cx="1028700" cy="457200"/>
                        </a:xfrm>
                        <a:prstGeom prst="rect">
                          <a:avLst/>
                        </a:prstGeom>
                        <a:ln>
                          <a:noFill/>
                        </a:ln>
                      </wps:spPr>
                      <wps:txbx>
                        <w:txbxContent>
                          <w:p w14:paraId="09ECBA52">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监理工程师指</w:t>
                            </w:r>
                          </w:p>
                          <w:p w14:paraId="576A6F3D">
                            <w:pPr>
                              <w:spacing w:line="240" w:lineRule="exact"/>
                              <w:rPr>
                                <w:rFonts w:hint="eastAsia" w:ascii="宋体"/>
                                <w:sz w:val="18"/>
                                <w:szCs w:val="18"/>
                              </w:rPr>
                            </w:pPr>
                            <w:r>
                              <w:rPr>
                                <w:rFonts w:hint="eastAsia" w:ascii="楷体_GB2312" w:hAnsi="宋体" w:eastAsia="楷体_GB2312" w:cs="楷体_GB2312"/>
                                <w:b/>
                                <w:bCs/>
                                <w:color w:val="000000"/>
                                <w:sz w:val="18"/>
                                <w:szCs w:val="18"/>
                              </w:rPr>
                              <w:t>令</w:t>
                            </w:r>
                          </w:p>
                        </w:txbxContent>
                      </wps:txbx>
                      <wps:bodyPr wrap="square"/>
                    </wps:wsp>
                  </a:graphicData>
                </a:graphic>
              </wp:anchor>
            </w:drawing>
          </mc:Choice>
          <mc:Fallback>
            <w:pict>
              <v:rect id="00011d" o:spid="_x0000_s1026" o:spt="1" style="position:absolute;left:0pt;margin-left:-9pt;margin-top:21.9pt;height:36pt;width:81pt;z-index:251732992;mso-width-relative:page;mso-height-relative:page;" filled="f" stroked="f" coordsize="21600,21600" o:gfxdata="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O/21tNoAAAAKAQAADwAAAAAAAAABACAAAAAiAAAA&#10;ZHJzL2Rvd25yZXYueG1sUEsBAhQAFAAAAAgAh07iQEQ6FyiTAQAAOQMAAA4AAAAAAAAAAQAgAAAA&#10;KQEAAGRycy9lMm9Eb2MueG1sUEsFBgAAAAAGAAYAWQEAAC4FAAAAAA==&#10;">
                <v:fill on="f" focussize="0,0"/>
                <v:stroke on="f"/>
                <v:imagedata o:title=""/>
                <o:lock v:ext="edit" aspectratio="f"/>
                <v:textbox>
                  <w:txbxContent>
                    <w:p w14:paraId="09ECBA52">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监理工程师指</w:t>
                      </w:r>
                    </w:p>
                    <w:p w14:paraId="576A6F3D">
                      <w:pPr>
                        <w:spacing w:line="240" w:lineRule="exact"/>
                        <w:rPr>
                          <w:rFonts w:hint="eastAsia" w:ascii="宋体"/>
                          <w:sz w:val="18"/>
                          <w:szCs w:val="18"/>
                        </w:rPr>
                      </w:pPr>
                      <w:r>
                        <w:rPr>
                          <w:rFonts w:hint="eastAsia" w:ascii="楷体_GB2312" w:hAnsi="宋体" w:eastAsia="楷体_GB2312" w:cs="楷体_GB2312"/>
                          <w:b/>
                          <w:bCs/>
                          <w:color w:val="000000"/>
                          <w:sz w:val="18"/>
                          <w:szCs w:val="18"/>
                        </w:rPr>
                        <w:t>令</w:t>
                      </w:r>
                    </w:p>
                  </w:txbxContent>
                </v:textbox>
              </v:rect>
            </w:pict>
          </mc:Fallback>
        </mc:AlternateContent>
      </w:r>
      <w:r>
        <w:rPr>
          <w:rFonts w:hint="eastAsia" w:ascii="宋体" w:hAnsi="宋体" w:eastAsia="宋体" w:cs="宋体"/>
          <w:b/>
          <w:bCs/>
          <w:color w:val="auto"/>
          <w:sz w:val="24"/>
          <w:highlight w:val="none"/>
        </w:rPr>
        <w:t xml:space="preserve">23.4  </w:t>
      </w:r>
      <w:r>
        <w:rPr>
          <w:rFonts w:hint="eastAsia" w:ascii="宋体" w:hAnsi="宋体" w:eastAsia="宋体" w:cs="宋体"/>
          <w:b/>
          <w:bCs/>
          <w:color w:val="auto"/>
          <w:sz w:val="24"/>
          <w:highlight w:val="none"/>
          <w:u w:val="dotted"/>
        </w:rPr>
        <w:t xml:space="preserve">                                                                                                       </w:t>
      </w:r>
    </w:p>
    <w:p w14:paraId="32E5DE81">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监理工程师应按照合同约定时间向承包人提供实施合同工程的进度、质量和安全工作所需的批准、确认和通知等指令。</w:t>
      </w:r>
    </w:p>
    <w:p w14:paraId="1A386D07">
      <w:pPr>
        <w:tabs>
          <w:tab w:val="left" w:pos="1260"/>
        </w:tabs>
        <w:spacing w:line="300" w:lineRule="auto"/>
        <w:ind w:left="1619" w:leftChars="771"/>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监理工程师提供的指令，均应采用书面形式。在紧急情况下，监理工程师可发出口头指令，但应在48小时内给予书面确认。对监理工程师的口头指令，承包人应予执行。如果承包人在监理工程师发出口头指令48小时后未收到书面确认，则应在接到口头指令后的7天内向监理工程师发出书面确认函。监理工程师应在承包人发出书面确认函后48小时内给予答复；逾期未予答复的，视为承包人的书面确认函已被认可。</w:t>
      </w:r>
    </w:p>
    <w:p w14:paraId="6B681952">
      <w:pPr>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23.5  </w:t>
      </w:r>
      <w:r>
        <w:rPr>
          <w:rFonts w:hint="eastAsia" w:ascii="宋体" w:hAnsi="宋体" w:eastAsia="宋体" w:cs="宋体"/>
          <w:b/>
          <w:bCs/>
          <w:color w:val="auto"/>
          <w:sz w:val="24"/>
          <w:highlight w:val="none"/>
          <w:u w:val="dotted"/>
        </w:rPr>
        <w:t xml:space="preserve">                                                                                                        </w:t>
      </w:r>
    </w:p>
    <w:p w14:paraId="5A3B0F26">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734016"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1099" name="00011e"/>
                <wp:cNvGraphicFramePr/>
                <a:graphic xmlns:a="http://schemas.openxmlformats.org/drawingml/2006/main">
                  <a:graphicData uri="http://schemas.microsoft.com/office/word/2010/wordprocessingShape">
                    <wps:wsp>
                      <wps:cNvSpPr/>
                      <wps:spPr>
                        <a:xfrm>
                          <a:off x="0" y="0"/>
                          <a:ext cx="914400" cy="430530"/>
                        </a:xfrm>
                        <a:prstGeom prst="rect">
                          <a:avLst/>
                        </a:prstGeom>
                        <a:ln>
                          <a:noFill/>
                        </a:ln>
                      </wps:spPr>
                      <wps:txbx>
                        <w:txbxContent>
                          <w:p w14:paraId="7EF8712B">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承包人执行监理工程师指令</w:t>
                            </w:r>
                          </w:p>
                        </w:txbxContent>
                      </wps:txbx>
                      <wps:bodyPr wrap="square"/>
                    </wps:wsp>
                  </a:graphicData>
                </a:graphic>
              </wp:anchor>
            </w:drawing>
          </mc:Choice>
          <mc:Fallback>
            <w:pict>
              <v:rect id="00011e" o:spid="_x0000_s1026" o:spt="1" style="position:absolute;left:0pt;margin-left:-9pt;margin-top:3.9pt;height:33.9pt;width:72pt;z-index:251734016;mso-width-relative:page;mso-height-relative:page;" filled="f" stroked="f" coordsize="21600,21600" o:gfxdata="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&#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NukcHXXAAAACAEAAA8AAAAAAAAAAQAgAAAAIgAAAGRy&#10;cy9kb3ducmV2LnhtbFBLAQIUABQAAAAIAIdO4kDn5SFdlAEAADgDAAAOAAAAAAAAAAEAIAAAACYB&#10;AABkcnMvZTJvRG9jLnhtbFBLBQYAAAAABgAGAFkBAAAsBQAAAAA=&#10;">
                <v:fill on="f" focussize="0,0"/>
                <v:stroke on="f"/>
                <v:imagedata o:title=""/>
                <o:lock v:ext="edit" aspectratio="f"/>
                <v:textbox>
                  <w:txbxContent>
                    <w:p w14:paraId="7EF8712B">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承包人执行监理工程师指令</w:t>
                      </w:r>
                    </w:p>
                  </w:txbxContent>
                </v:textbox>
              </v:rect>
            </w:pict>
          </mc:Fallback>
        </mc:AlternateContent>
      </w:r>
      <w:r>
        <w:rPr>
          <w:rFonts w:hint="eastAsia" w:ascii="宋体" w:hAnsi="宋体" w:eastAsia="宋体" w:cs="宋体"/>
          <w:color w:val="auto"/>
          <w:sz w:val="24"/>
          <w:highlight w:val="none"/>
        </w:rPr>
        <w:t>如果承包人认为监理工程师的指令不合理，应在收到指令后24小时内向监理工程师提出书面报告，监理工程师应在收到承包人报告后24小时内做出修改指令或继续执行原指令的决定，并书面通知承包人。逾期不做出决定的，承包人可不执行监理工程师的指令。</w:t>
      </w:r>
    </w:p>
    <w:p w14:paraId="3507039B">
      <w:pPr>
        <w:spacing w:line="30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23.6</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7C56D04A">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735040"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1100" name="00011f"/>
                <wp:cNvGraphicFramePr/>
                <a:graphic xmlns:a="http://schemas.openxmlformats.org/drawingml/2006/main">
                  <a:graphicData uri="http://schemas.microsoft.com/office/word/2010/wordprocessingShape">
                    <wps:wsp>
                      <wps:cNvSpPr/>
                      <wps:spPr>
                        <a:xfrm>
                          <a:off x="0" y="0"/>
                          <a:ext cx="914400" cy="443230"/>
                        </a:xfrm>
                        <a:prstGeom prst="rect">
                          <a:avLst/>
                        </a:prstGeom>
                        <a:ln>
                          <a:noFill/>
                        </a:ln>
                      </wps:spPr>
                      <wps:txbx>
                        <w:txbxContent>
                          <w:p w14:paraId="2E0B0A8F">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监理工程师职权委托</w:t>
                            </w:r>
                          </w:p>
                        </w:txbxContent>
                      </wps:txbx>
                      <wps:bodyPr wrap="square"/>
                    </wps:wsp>
                  </a:graphicData>
                </a:graphic>
              </wp:anchor>
            </w:drawing>
          </mc:Choice>
          <mc:Fallback>
            <w:pict>
              <v:rect id="00011f" o:spid="_x0000_s1026" o:spt="1" style="position:absolute;left:0pt;margin-left:-9pt;margin-top:1.7pt;height:34.9pt;width:72pt;z-index:251735040;mso-width-relative:page;mso-height-relative:page;" filled="f" stroked="f" coordsize="21600,21600" o:gfxdata="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6ouYPtkAAAAIAQAADwAAAAAAAAABACAAAAAiAAAA&#10;ZHJzL2Rvd25yZXYueG1sUEsBAhQAFAAAAAgAh07iQDkp4lCUAQAAOAMAAA4AAAAAAAAAAQAgAAAA&#10;KAEAAGRycy9lMm9Eb2MueG1sUEsFBgAAAAAGAAYAWQEAAC4FAAAAAA==&#10;">
                <v:fill on="f" focussize="0,0"/>
                <v:stroke on="f"/>
                <v:imagedata o:title=""/>
                <o:lock v:ext="edit" aspectratio="f"/>
                <v:textbox>
                  <w:txbxContent>
                    <w:p w14:paraId="2E0B0A8F">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监理工程师职权委托</w:t>
                      </w:r>
                    </w:p>
                  </w:txbxContent>
                </v:textbox>
              </v:rect>
            </w:pict>
          </mc:Fallback>
        </mc:AlternateContent>
      </w:r>
      <w:r>
        <w:rPr>
          <w:rFonts w:hint="eastAsia" w:ascii="宋体" w:hAnsi="宋体" w:eastAsia="宋体" w:cs="宋体"/>
          <w:color w:val="auto"/>
          <w:sz w:val="24"/>
          <w:highlight w:val="none"/>
        </w:rPr>
        <w:t>监理工程师可按照第21.3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21.3款规定，任何此类任命或撤回均为无效。</w:t>
      </w:r>
    </w:p>
    <w:p w14:paraId="301148C7">
      <w:pPr>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23.7  </w:t>
      </w:r>
      <w:r>
        <w:rPr>
          <w:rFonts w:hint="eastAsia" w:ascii="宋体" w:hAnsi="宋体" w:eastAsia="宋体" w:cs="宋体"/>
          <w:b/>
          <w:bCs/>
          <w:color w:val="auto"/>
          <w:sz w:val="24"/>
          <w:highlight w:val="none"/>
          <w:u w:val="dotted"/>
        </w:rPr>
        <w:t xml:space="preserve">                                                                                                        </w:t>
      </w:r>
    </w:p>
    <w:p w14:paraId="38B0372E">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736064" behindDoc="0" locked="0" layoutInCell="1" allowOverlap="1">
                <wp:simplePos x="0" y="0"/>
                <wp:positionH relativeFrom="column">
                  <wp:posOffset>-114300</wp:posOffset>
                </wp:positionH>
                <wp:positionV relativeFrom="paragraph">
                  <wp:posOffset>28575</wp:posOffset>
                </wp:positionV>
                <wp:extent cx="914400" cy="610870"/>
                <wp:effectExtent l="0" t="0" r="0" b="0"/>
                <wp:wrapNone/>
                <wp:docPr id="1101" name="000120"/>
                <wp:cNvGraphicFramePr/>
                <a:graphic xmlns:a="http://schemas.openxmlformats.org/drawingml/2006/main">
                  <a:graphicData uri="http://schemas.microsoft.com/office/word/2010/wordprocessingShape">
                    <wps:wsp>
                      <wps:cNvSpPr/>
                      <wps:spPr>
                        <a:xfrm>
                          <a:off x="0" y="0"/>
                          <a:ext cx="914400" cy="610870"/>
                        </a:xfrm>
                        <a:prstGeom prst="rect">
                          <a:avLst/>
                        </a:prstGeom>
                        <a:ln>
                          <a:noFill/>
                        </a:ln>
                      </wps:spPr>
                      <wps:txbx>
                        <w:txbxContent>
                          <w:p w14:paraId="0ECB21B5">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wps:txbx>
                      <wps:bodyPr wrap="square"/>
                    </wps:wsp>
                  </a:graphicData>
                </a:graphic>
              </wp:anchor>
            </w:drawing>
          </mc:Choice>
          <mc:Fallback>
            <w:pict>
              <v:rect id="000120" o:spid="_x0000_s1026" o:spt="1" style="position:absolute;left:0pt;margin-left:-9pt;margin-top:2.25pt;height:48.1pt;width:72pt;z-index:251736064;mso-width-relative:page;mso-height-relative:page;" filled="f" stroked="f" coordsize="21600,21600" o:gfxdata="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K4JR9kAAAAJAQAADwAAAAAAAAABACAAAAAiAAAA&#10;ZHJzL2Rvd25yZXYueG1sUEsBAhQAFAAAAAgAh07iQGCehsaUAQAAOAMAAA4AAAAAAAAAAQAgAAAA&#10;KAEAAGRycy9lMm9Eb2MueG1sUEsFBgAAAAAGAAYAWQEAAC4FAAAAAA==&#10;">
                <v:fill on="f" focussize="0,0"/>
                <v:stroke on="f"/>
                <v:imagedata o:title=""/>
                <o:lock v:ext="edit" aspectratio="f"/>
                <v:textbox>
                  <w:txbxContent>
                    <w:p w14:paraId="0ECB21B5">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v:textbox>
              </v:rect>
            </w:pict>
          </mc:Fallback>
        </mc:AlternateContent>
      </w:r>
      <w:r>
        <w:rPr>
          <w:rFonts w:hint="eastAsia" w:ascii="宋体" w:hAnsi="宋体" w:eastAsia="宋体" w:cs="宋体"/>
          <w:color w:val="auto"/>
          <w:sz w:val="24"/>
          <w:highlight w:val="none"/>
        </w:rPr>
        <w:t>监理工程师（含其代表）未能正确完成本合同约定的全部义务，或工作出现失误，导致费用的增加和（或）延误的工期，由发包人承担；给承包人造成损失的，发包人应予赔偿。</w:t>
      </w:r>
    </w:p>
    <w:p w14:paraId="27A43922">
      <w:pPr>
        <w:tabs>
          <w:tab w:val="left" w:pos="1260"/>
        </w:tabs>
        <w:spacing w:line="300" w:lineRule="auto"/>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63B75ADA">
      <w:pPr>
        <w:pStyle w:val="4"/>
        <w:tabs>
          <w:tab w:val="left" w:pos="420"/>
        </w:tabs>
        <w:spacing w:line="300" w:lineRule="auto"/>
        <w:ind w:firstLine="241" w:firstLineChars="100"/>
        <w:rPr>
          <w:rFonts w:hint="eastAsia" w:ascii="宋体" w:hAnsi="宋体" w:eastAsia="宋体" w:cs="宋体"/>
          <w:color w:val="auto"/>
          <w:sz w:val="24"/>
          <w:szCs w:val="24"/>
          <w:highlight w:val="none"/>
        </w:rPr>
      </w:pPr>
      <w:bookmarkStart w:id="64" w:name="_Toc46860825"/>
      <w:bookmarkStart w:id="65" w:name="_Toc469384004"/>
      <w:r>
        <w:rPr>
          <w:rFonts w:hint="eastAsia" w:ascii="宋体" w:hAnsi="宋体" w:eastAsia="宋体" w:cs="宋体"/>
          <w:color w:val="auto"/>
          <w:sz w:val="24"/>
          <w:szCs w:val="24"/>
          <w:highlight w:val="none"/>
        </w:rPr>
        <w:t>24  造价工程师</w:t>
      </w:r>
      <w:bookmarkEnd w:id="64"/>
      <w:bookmarkEnd w:id="65"/>
    </w:p>
    <w:p w14:paraId="0C6053BC">
      <w:pPr>
        <w:tabs>
          <w:tab w:val="left" w:pos="1260"/>
        </w:tabs>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24.1                                                   </w:t>
      </w:r>
    </w:p>
    <w:p w14:paraId="650D836F">
      <w:pPr>
        <w:pStyle w:val="35"/>
        <w:tabs>
          <w:tab w:val="left" w:pos="1260"/>
          <w:tab w:val="left" w:pos="1620"/>
        </w:tabs>
        <w:spacing w:line="300" w:lineRule="auto"/>
        <w:ind w:left="1619" w:leftChars="771"/>
        <w:rPr>
          <w:rFonts w:hint="eastAsia" w:ascii="宋体" w:eastAsia="宋体" w:cs="宋体"/>
          <w:color w:val="auto"/>
          <w:highlight w:val="none"/>
        </w:rPr>
      </w:pPr>
      <w:r>
        <w:rPr>
          <w:rFonts w:hint="eastAsia" w:ascii="宋体" w:eastAsia="宋体" w:cs="宋体"/>
          <w:color w:val="auto"/>
          <w:highlight w:val="none"/>
        </w:rPr>
        <mc:AlternateContent>
          <mc:Choice Requires="wps">
            <w:drawing>
              <wp:anchor distT="0" distB="0" distL="0" distR="0" simplePos="0" relativeHeight="251737088"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1102" name="000121"/>
                <wp:cNvGraphicFramePr/>
                <a:graphic xmlns:a="http://schemas.openxmlformats.org/drawingml/2006/main">
                  <a:graphicData uri="http://schemas.microsoft.com/office/word/2010/wordprocessingShape">
                    <wps:wsp>
                      <wps:cNvSpPr/>
                      <wps:spPr>
                        <a:xfrm>
                          <a:off x="0" y="0"/>
                          <a:ext cx="914400" cy="449580"/>
                        </a:xfrm>
                        <a:prstGeom prst="rect">
                          <a:avLst/>
                        </a:prstGeom>
                        <a:ln>
                          <a:noFill/>
                        </a:ln>
                      </wps:spPr>
                      <wps:txbx>
                        <w:txbxContent>
                          <w:p w14:paraId="461501A8">
                            <w:pPr>
                              <w:spacing w:line="240" w:lineRule="exact"/>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建设单位对造价工程师授权</w:t>
                            </w:r>
                          </w:p>
                        </w:txbxContent>
                      </wps:txbx>
                      <wps:bodyPr wrap="square"/>
                    </wps:wsp>
                  </a:graphicData>
                </a:graphic>
              </wp:anchor>
            </w:drawing>
          </mc:Choice>
          <mc:Fallback>
            <w:pict>
              <v:rect id="000121" o:spid="_x0000_s1026" o:spt="1" style="position:absolute;left:0pt;margin-left:-9pt;margin-top:3.6pt;height:35.4pt;width:72pt;z-index:251737088;mso-width-relative:page;mso-height-relative:page;" filled="f" stroked="f" coordsize="21600,21600" o:gfxdata="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Agt83f1wAAAAgBAAAPAAAAAAAAAAEAIAAAACIAAABk&#10;cnMvZG93bnJldi54bWxQSwECFAAUAAAACACHTuJAcqvNoJUBAAA4AwAADgAAAAAAAAABACAAAAAm&#10;AQAAZHJzL2Uyb0RvYy54bWxQSwUGAAAAAAYABgBZAQAALQUAAAAA&#10;">
                <v:fill on="f" focussize="0,0"/>
                <v:stroke on="f"/>
                <v:imagedata o:title=""/>
                <o:lock v:ext="edit" aspectratio="f"/>
                <v:textbox>
                  <w:txbxContent>
                    <w:p w14:paraId="461501A8">
                      <w:pPr>
                        <w:spacing w:line="240" w:lineRule="exact"/>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建设单位对造价工程师授权</w:t>
                      </w:r>
                    </w:p>
                  </w:txbxContent>
                </v:textbox>
              </v:rect>
            </w:pict>
          </mc:Fallback>
        </mc:AlternateContent>
      </w:r>
      <w:r>
        <w:rPr>
          <w:rFonts w:hint="eastAsia" w:ascii="宋体" w:eastAsia="宋体" w:cs="宋体"/>
          <w:color w:val="auto"/>
          <w:highlight w:val="none"/>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14:paraId="6BF0BA25">
      <w:pPr>
        <w:tabs>
          <w:tab w:val="left" w:pos="1260"/>
        </w:tabs>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24.2  </w:t>
      </w:r>
      <w:r>
        <w:rPr>
          <w:rFonts w:hint="eastAsia" w:ascii="宋体" w:hAnsi="宋体" w:eastAsia="宋体" w:cs="宋体"/>
          <w:b/>
          <w:bCs/>
          <w:color w:val="auto"/>
          <w:sz w:val="24"/>
          <w:highlight w:val="none"/>
          <w:u w:val="dotted"/>
        </w:rPr>
        <w:t xml:space="preserve">                                                                                                        </w:t>
      </w:r>
    </w:p>
    <w:p w14:paraId="4B7418BA">
      <w:pPr>
        <w:tabs>
          <w:tab w:val="left" w:pos="1260"/>
        </w:tabs>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738112"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1103" name="000122"/>
                <wp:cNvGraphicFramePr/>
                <a:graphic xmlns:a="http://schemas.openxmlformats.org/drawingml/2006/main">
                  <a:graphicData uri="http://schemas.microsoft.com/office/word/2010/wordprocessingShape">
                    <wps:wsp>
                      <wps:cNvSpPr/>
                      <wps:spPr>
                        <a:xfrm>
                          <a:off x="0" y="0"/>
                          <a:ext cx="914400" cy="427990"/>
                        </a:xfrm>
                        <a:prstGeom prst="rect">
                          <a:avLst/>
                        </a:prstGeom>
                        <a:ln>
                          <a:noFill/>
                        </a:ln>
                      </wps:spPr>
                      <wps:txbx>
                        <w:txbxContent>
                          <w:p w14:paraId="2EE8BF7B">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w:t>
                            </w:r>
                          </w:p>
                        </w:txbxContent>
                      </wps:txbx>
                      <wps:bodyPr wrap="square"/>
                    </wps:wsp>
                  </a:graphicData>
                </a:graphic>
              </wp:anchor>
            </w:drawing>
          </mc:Choice>
          <mc:Fallback>
            <w:pict>
              <v:rect id="000122" o:spid="_x0000_s1026" o:spt="1" style="position:absolute;left:0pt;margin-left:-9pt;margin-top:-0.1pt;height:33.7pt;width:72pt;z-index:251738112;mso-width-relative:page;mso-height-relative:page;" filled="f" stroked="f" coordsize="21600,21600" o:gfxdata="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NKbNyzYAAAACAEAAA8AAAAAAAAAAQAgAAAAIgAA&#10;AGRycy9kb3ducmV2LnhtbFBLAQIUABQAAAAIAIdO4kDxfZnClgEAADgDAAAOAAAAAAAAAAEAIAAA&#10;ACcBAABkcnMvZTJvRG9jLnhtbFBLBQYAAAAABgAGAFkBAAAvBQAAAAA=&#10;">
                <v:fill on="f" focussize="0,0"/>
                <v:stroke on="f"/>
                <v:imagedata o:title=""/>
                <o:lock v:ext="edit" aspectratio="f"/>
                <v:textbox>
                  <w:txbxContent>
                    <w:p w14:paraId="2EE8BF7B">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w:t>
                      </w:r>
                    </w:p>
                  </w:txbxContent>
                </v:textbox>
              </v:rect>
            </w:pict>
          </mc:Fallback>
        </mc:AlternateContent>
      </w:r>
      <w:r>
        <w:rPr>
          <w:rFonts w:hint="eastAsia" w:ascii="宋体" w:hAnsi="宋体" w:eastAsia="宋体" w:cs="宋体"/>
          <w:color w:val="auto"/>
          <w:sz w:val="24"/>
          <w:highlight w:val="none"/>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14:paraId="165A61E1">
      <w:pPr>
        <w:tabs>
          <w:tab w:val="left" w:pos="1260"/>
        </w:tabs>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24.3  </w:t>
      </w:r>
      <w:r>
        <w:rPr>
          <w:rFonts w:hint="eastAsia" w:ascii="宋体" w:hAnsi="宋体" w:eastAsia="宋体" w:cs="宋体"/>
          <w:b/>
          <w:bCs/>
          <w:color w:val="auto"/>
          <w:sz w:val="24"/>
          <w:highlight w:val="none"/>
          <w:u w:val="dotted"/>
        </w:rPr>
        <w:t xml:space="preserve">                                                                                                        </w:t>
      </w:r>
    </w:p>
    <w:p w14:paraId="6B0982E1">
      <w:pPr>
        <w:tabs>
          <w:tab w:val="left" w:pos="1260"/>
        </w:tabs>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739136"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1104" name="000123"/>
                <wp:cNvGraphicFramePr/>
                <a:graphic xmlns:a="http://schemas.openxmlformats.org/drawingml/2006/main">
                  <a:graphicData uri="http://schemas.microsoft.com/office/word/2010/wordprocessingShape">
                    <wps:wsp>
                      <wps:cNvSpPr/>
                      <wps:spPr>
                        <a:xfrm>
                          <a:off x="0" y="0"/>
                          <a:ext cx="914400" cy="510540"/>
                        </a:xfrm>
                        <a:prstGeom prst="rect">
                          <a:avLst/>
                        </a:prstGeom>
                        <a:ln>
                          <a:noFill/>
                        </a:ln>
                      </wps:spPr>
                      <wps:txbx>
                        <w:txbxContent>
                          <w:p w14:paraId="217B56CF">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造价工程师职权限制</w:t>
                            </w:r>
                          </w:p>
                        </w:txbxContent>
                      </wps:txbx>
                      <wps:bodyPr wrap="square"/>
                    </wps:wsp>
                  </a:graphicData>
                </a:graphic>
              </wp:anchor>
            </w:drawing>
          </mc:Choice>
          <mc:Fallback>
            <w:pict>
              <v:rect id="000123" o:spid="_x0000_s1026" o:spt="1" style="position:absolute;left:0pt;margin-left:-9pt;margin-top:0pt;height:40.2pt;width:72pt;z-index:251739136;mso-width-relative:page;mso-height-relative:page;" filled="f" stroked="f" coordsize="21600,21600" o:gfxdata="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Ml6JktgAAAAHAQAADwAAAAAAAAABACAAAAAiAAAA&#10;ZHJzL2Rvd25yZXYueG1sUEsBAhQAFAAAAAgAh07iQORYH/uVAQAAOAMAAA4AAAAAAAAAAQAgAAAA&#10;JwEAAGRycy9lMm9Eb2MueG1sUEsFBgAAAAAGAAYAWQEAAC4FAAAAAA==&#10;">
                <v:fill on="f" focussize="0,0"/>
                <v:stroke on="f"/>
                <v:imagedata o:title=""/>
                <o:lock v:ext="edit" aspectratio="f"/>
                <v:textbox>
                  <w:txbxContent>
                    <w:p w14:paraId="217B56CF">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造价工程师职权限制</w:t>
                      </w:r>
                    </w:p>
                  </w:txbxContent>
                </v:textbox>
              </v:rect>
            </w:pict>
          </mc:Fallback>
        </mc:AlternateContent>
      </w:r>
      <w:r>
        <w:rPr>
          <w:rFonts w:hint="eastAsia" w:ascii="宋体" w:hAnsi="宋体" w:eastAsia="宋体" w:cs="宋体"/>
          <w:color w:val="auto"/>
          <w:sz w:val="24"/>
          <w:highlight w:val="none"/>
        </w:rPr>
        <w:t>除属于第86条规定的争议外，造价工程师在职权范围内的工作，发包人应予认可，但下列事件应事先取得发包人的专项批准：</w:t>
      </w:r>
    </w:p>
    <w:p w14:paraId="066EA153">
      <w:pPr>
        <w:numPr>
          <w:ilvl w:val="0"/>
          <w:numId w:val="11"/>
        </w:numPr>
        <w:tabs>
          <w:tab w:val="left" w:pos="2160"/>
        </w:tabs>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根据第63条规定使用暂列金额；</w:t>
      </w:r>
    </w:p>
    <w:p w14:paraId="06CD2D88">
      <w:pPr>
        <w:numPr>
          <w:ilvl w:val="0"/>
          <w:numId w:val="11"/>
        </w:numPr>
        <w:tabs>
          <w:tab w:val="left" w:pos="2160"/>
        </w:tabs>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根据第64条规定使用计日工；</w:t>
      </w:r>
    </w:p>
    <w:p w14:paraId="43F8C61D">
      <w:pPr>
        <w:numPr>
          <w:ilvl w:val="0"/>
          <w:numId w:val="11"/>
        </w:numPr>
        <w:tabs>
          <w:tab w:val="left" w:pos="2160"/>
        </w:tabs>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根据第65条规定使用暂估价；</w:t>
      </w:r>
    </w:p>
    <w:p w14:paraId="6F567DEA">
      <w:pPr>
        <w:numPr>
          <w:ilvl w:val="0"/>
          <w:numId w:val="11"/>
        </w:numPr>
        <w:tabs>
          <w:tab w:val="left" w:pos="2160"/>
        </w:tabs>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根据第66条确定的提前竣工奖与误期赔偿费；</w:t>
      </w:r>
    </w:p>
    <w:p w14:paraId="68D49E85">
      <w:pPr>
        <w:numPr>
          <w:ilvl w:val="0"/>
          <w:numId w:val="11"/>
        </w:numPr>
        <w:tabs>
          <w:tab w:val="left" w:pos="2160"/>
        </w:tabs>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根据第67条确定的工程优质费；</w:t>
      </w:r>
    </w:p>
    <w:p w14:paraId="0A25BB0F">
      <w:pPr>
        <w:numPr>
          <w:ilvl w:val="0"/>
          <w:numId w:val="11"/>
        </w:numPr>
        <w:tabs>
          <w:tab w:val="left" w:pos="2160"/>
        </w:tabs>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根据第68.2款规定事件调整的合同价款；</w:t>
      </w:r>
    </w:p>
    <w:p w14:paraId="31C2C8DF">
      <w:pPr>
        <w:numPr>
          <w:ilvl w:val="0"/>
          <w:numId w:val="11"/>
        </w:numPr>
        <w:tabs>
          <w:tab w:val="left" w:pos="2160"/>
        </w:tabs>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专用条款约定需要发包人批准的其他事项。</w:t>
      </w:r>
    </w:p>
    <w:p w14:paraId="2E3ABB19">
      <w:pPr>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24.4  </w:t>
      </w:r>
      <w:r>
        <w:rPr>
          <w:rFonts w:hint="eastAsia" w:ascii="宋体" w:hAnsi="宋体" w:eastAsia="宋体" w:cs="宋体"/>
          <w:b/>
          <w:bCs/>
          <w:color w:val="auto"/>
          <w:sz w:val="24"/>
          <w:highlight w:val="none"/>
          <w:u w:val="dotted"/>
        </w:rPr>
        <w:t xml:space="preserve">                                                                                                        </w:t>
      </w:r>
    </w:p>
    <w:p w14:paraId="4C22682A">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740160"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1105" name="000124"/>
                <wp:cNvGraphicFramePr/>
                <a:graphic xmlns:a="http://schemas.openxmlformats.org/drawingml/2006/main">
                  <a:graphicData uri="http://schemas.microsoft.com/office/word/2010/wordprocessingShape">
                    <wps:wsp>
                      <wps:cNvSpPr/>
                      <wps:spPr>
                        <a:xfrm>
                          <a:off x="0" y="0"/>
                          <a:ext cx="1092200" cy="434340"/>
                        </a:xfrm>
                        <a:prstGeom prst="rect">
                          <a:avLst/>
                        </a:prstGeom>
                        <a:ln>
                          <a:noFill/>
                        </a:ln>
                      </wps:spPr>
                      <wps:txbx>
                        <w:txbxContent>
                          <w:p w14:paraId="0B0CE77F">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造价工程师指</w:t>
                            </w:r>
                          </w:p>
                          <w:p w14:paraId="48DCFCB6">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令</w:t>
                            </w:r>
                          </w:p>
                        </w:txbxContent>
                      </wps:txbx>
                      <wps:bodyPr wrap="square"/>
                    </wps:wsp>
                  </a:graphicData>
                </a:graphic>
              </wp:anchor>
            </w:drawing>
          </mc:Choice>
          <mc:Fallback>
            <w:pict>
              <v:rect id="000124" o:spid="_x0000_s1026" o:spt="1" style="position:absolute;left:0pt;margin-left:-9pt;margin-top:0pt;height:34.2pt;width:86pt;z-index:251740160;mso-width-relative:page;mso-height-relative:page;" filled="f" stroked="f" coordsize="21600,21600" o:gfxdata="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t3eQLdgAAAAHAQAADwAAAAAAAAABACAAAAAiAAAA&#10;ZHJzL2Rvd25yZXYueG1sUEsBAhQAFAAAAAgAh07iQFLPRGqVAQAAOQMAAA4AAAAAAAAAAQAgAAAA&#10;JwEAAGRycy9lMm9Eb2MueG1sUEsFBgAAAAAGAAYAWQEAAC4FAAAAAA==&#10;">
                <v:fill on="f" focussize="0,0"/>
                <v:stroke on="f"/>
                <v:imagedata o:title=""/>
                <o:lock v:ext="edit" aspectratio="f"/>
                <v:textbox>
                  <w:txbxContent>
                    <w:p w14:paraId="0B0CE77F">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造价工程师指</w:t>
                      </w:r>
                    </w:p>
                    <w:p w14:paraId="48DCFCB6">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令</w:t>
                      </w:r>
                    </w:p>
                  </w:txbxContent>
                </v:textbox>
              </v:rect>
            </w:pict>
          </mc:Fallback>
        </mc:AlternateContent>
      </w:r>
      <w:r>
        <w:rPr>
          <w:rFonts w:hint="eastAsia" w:ascii="宋体" w:hAnsi="宋体" w:eastAsia="宋体" w:cs="宋体"/>
          <w:color w:val="auto"/>
          <w:sz w:val="24"/>
          <w:highlight w:val="none"/>
        </w:rPr>
        <w:t>造价工程师应按照合同约定时间向承包人提供实施合同工程的工程造价工作所需的核实、调整和通知等指令。</w:t>
      </w:r>
    </w:p>
    <w:p w14:paraId="2D806E26">
      <w:pPr>
        <w:tabs>
          <w:tab w:val="left" w:pos="1260"/>
        </w:tabs>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造价工程师提供的指令，均应采用书面形式。在紧急情况下，造价工程师可发出口头指令，但应在48小时内给予书面确认。对造价工程师的口头指令，承包人应予执行。如果承包人在造价工程师发出的口头指令48小时后未收到书面确认，则应在接到口头指令后的7天内向造价工程师发出书面确认函。造价工程师应在承包人发出书面确认函后48小时内给予答复；逾期未予答复的，视为承包人的书面确认函已被认可。</w:t>
      </w:r>
    </w:p>
    <w:p w14:paraId="28C71A6B">
      <w:pPr>
        <w:tabs>
          <w:tab w:val="left" w:pos="1260"/>
        </w:tabs>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24.5  </w:t>
      </w:r>
      <w:r>
        <w:rPr>
          <w:rFonts w:hint="eastAsia" w:ascii="宋体" w:hAnsi="宋体" w:eastAsia="宋体" w:cs="宋体"/>
          <w:b/>
          <w:bCs/>
          <w:color w:val="auto"/>
          <w:sz w:val="24"/>
          <w:highlight w:val="none"/>
          <w:u w:val="dotted"/>
        </w:rPr>
        <w:t xml:space="preserve">                                                                                                        </w:t>
      </w:r>
    </w:p>
    <w:p w14:paraId="3E10DD44">
      <w:pPr>
        <w:tabs>
          <w:tab w:val="left" w:pos="1260"/>
        </w:tabs>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741184"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1106" name="000125"/>
                <wp:cNvGraphicFramePr/>
                <a:graphic xmlns:a="http://schemas.openxmlformats.org/drawingml/2006/main">
                  <a:graphicData uri="http://schemas.microsoft.com/office/word/2010/wordprocessingShape">
                    <wps:wsp>
                      <wps:cNvSpPr/>
                      <wps:spPr>
                        <a:xfrm>
                          <a:off x="0" y="0"/>
                          <a:ext cx="914400" cy="448310"/>
                        </a:xfrm>
                        <a:prstGeom prst="rect">
                          <a:avLst/>
                        </a:prstGeom>
                        <a:ln>
                          <a:noFill/>
                        </a:ln>
                      </wps:spPr>
                      <wps:txbx>
                        <w:txbxContent>
                          <w:p w14:paraId="52D58E92">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承包人执行造价工程师指令</w:t>
                            </w:r>
                          </w:p>
                        </w:txbxContent>
                      </wps:txbx>
                      <wps:bodyPr wrap="square"/>
                    </wps:wsp>
                  </a:graphicData>
                </a:graphic>
              </wp:anchor>
            </w:drawing>
          </mc:Choice>
          <mc:Fallback>
            <w:pict>
              <v:rect id="000125" o:spid="_x0000_s1026" o:spt="1" style="position:absolute;left:0pt;margin-left:-9pt;margin-top:1.2pt;height:35.3pt;width:72pt;z-index:251741184;mso-width-relative:page;mso-height-relative:page;" filled="f" stroked="f" coordsize="21600,21600" o:gfxdata="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ASa3MrYAAAACAEAAA8AAAAAAAAAAQAgAAAAIgAA&#10;AGRycy9kb3ducmV2LnhtbFBLAQIUABQAAAAIAIdO4kCQg33mlgEAADgDAAAOAAAAAAAAAAEAIAAA&#10;ACcBAABkcnMvZTJvRG9jLnhtbFBLBQYAAAAABgAGAFkBAAAvBQAAAAA=&#10;">
                <v:fill on="f" focussize="0,0"/>
                <v:stroke on="f"/>
                <v:imagedata o:title=""/>
                <o:lock v:ext="edit" aspectratio="f"/>
                <v:textbox>
                  <w:txbxContent>
                    <w:p w14:paraId="52D58E92">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承包人执行造价工程师指令</w:t>
                      </w:r>
                    </w:p>
                  </w:txbxContent>
                </v:textbox>
              </v:rect>
            </w:pict>
          </mc:Fallback>
        </mc:AlternateContent>
      </w:r>
      <w:r>
        <w:rPr>
          <w:rFonts w:hint="eastAsia" w:ascii="宋体" w:hAnsi="宋体" w:eastAsia="宋体" w:cs="宋体"/>
          <w:color w:val="auto"/>
          <w:sz w:val="24"/>
          <w:highlight w:val="none"/>
        </w:rPr>
        <w:t>如果承包人认为造价工程师的指令不合理，应在收到指令后24小时内向造价工程师提出书面报告，造价工程师应在收到承包人报告后24小时内做出修改指令或继续执行原指令的决定，并书面通知承包人。逾期不做出决定的，承包人可不执行造价工程师的指令。</w:t>
      </w:r>
    </w:p>
    <w:p w14:paraId="1E31EAF7">
      <w:pPr>
        <w:tabs>
          <w:tab w:val="left" w:pos="1260"/>
        </w:tabs>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24.6  </w:t>
      </w:r>
      <w:r>
        <w:rPr>
          <w:rFonts w:hint="eastAsia" w:ascii="宋体" w:hAnsi="宋体" w:eastAsia="宋体" w:cs="宋体"/>
          <w:b/>
          <w:bCs/>
          <w:color w:val="auto"/>
          <w:sz w:val="24"/>
          <w:highlight w:val="none"/>
          <w:u w:val="dotted"/>
        </w:rPr>
        <w:t xml:space="preserve">                                                                                                        </w:t>
      </w:r>
    </w:p>
    <w:p w14:paraId="2FFE9237">
      <w:pPr>
        <w:tabs>
          <w:tab w:val="left" w:pos="1260"/>
        </w:tabs>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742208"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1107" name="000126"/>
                <wp:cNvGraphicFramePr/>
                <a:graphic xmlns:a="http://schemas.openxmlformats.org/drawingml/2006/main">
                  <a:graphicData uri="http://schemas.microsoft.com/office/word/2010/wordprocessingShape">
                    <wps:wsp>
                      <wps:cNvSpPr/>
                      <wps:spPr>
                        <a:xfrm>
                          <a:off x="0" y="0"/>
                          <a:ext cx="914400" cy="594360"/>
                        </a:xfrm>
                        <a:prstGeom prst="rect">
                          <a:avLst/>
                        </a:prstGeom>
                        <a:ln>
                          <a:noFill/>
                        </a:ln>
                      </wps:spPr>
                      <wps:txbx>
                        <w:txbxContent>
                          <w:p w14:paraId="66956D55">
                            <w:pPr>
                              <w:spacing w:line="240" w:lineRule="exact"/>
                              <w:rPr>
                                <w:rFonts w:hint="eastAsia" w:ascii="宋体"/>
                                <w:sz w:val="18"/>
                                <w:szCs w:val="18"/>
                              </w:rPr>
                            </w:pPr>
                            <w:r>
                              <w:rPr>
                                <w:rFonts w:hint="eastAsia" w:ascii="楷体_GB2312" w:hAnsi="宋体" w:eastAsia="楷体_GB2312" w:cs="楷体_GB2312"/>
                                <w:b/>
                                <w:bCs/>
                                <w:color w:val="000000"/>
                                <w:sz w:val="18"/>
                                <w:szCs w:val="18"/>
                              </w:rPr>
                              <w:t>造价工程师职权委托</w:t>
                            </w:r>
                          </w:p>
                        </w:txbxContent>
                      </wps:txbx>
                      <wps:bodyPr wrap="square"/>
                    </wps:wsp>
                  </a:graphicData>
                </a:graphic>
              </wp:anchor>
            </w:drawing>
          </mc:Choice>
          <mc:Fallback>
            <w:pict>
              <v:rect id="000126" o:spid="_x0000_s1026" o:spt="1" style="position:absolute;left:0pt;margin-left:-9pt;margin-top:0pt;height:46.8pt;width:72pt;z-index:251742208;mso-width-relative:page;mso-height-relative:page;" filled="f" stroked="f" coordsize="21600,21600" o:gfxdata="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JeWTtbYAAAABwEAAA8AAAAAAAAAAQAgAAAAIgAA&#10;AGRycy9kb3ducmV2LnhtbFBLAQIUABQAAAAIAIdO4kBJTLRUlgEAADgDAAAOAAAAAAAAAAEAIAAA&#10;ACcBAABkcnMvZTJvRG9jLnhtbFBLBQYAAAAABgAGAFkBAAAvBQAAAAA=&#10;">
                <v:fill on="f" focussize="0,0"/>
                <v:stroke on="f"/>
                <v:imagedata o:title=""/>
                <o:lock v:ext="edit" aspectratio="f"/>
                <v:textbox>
                  <w:txbxContent>
                    <w:p w14:paraId="66956D55">
                      <w:pPr>
                        <w:spacing w:line="240" w:lineRule="exact"/>
                        <w:rPr>
                          <w:rFonts w:hint="eastAsia" w:ascii="宋体"/>
                          <w:sz w:val="18"/>
                          <w:szCs w:val="18"/>
                        </w:rPr>
                      </w:pPr>
                      <w:r>
                        <w:rPr>
                          <w:rFonts w:hint="eastAsia" w:ascii="楷体_GB2312" w:hAnsi="宋体" w:eastAsia="楷体_GB2312" w:cs="楷体_GB2312"/>
                          <w:b/>
                          <w:bCs/>
                          <w:color w:val="000000"/>
                          <w:sz w:val="18"/>
                          <w:szCs w:val="18"/>
                        </w:rPr>
                        <w:t>造价工程师职权委托</w:t>
                      </w:r>
                    </w:p>
                  </w:txbxContent>
                </v:textbox>
              </v:rect>
            </w:pict>
          </mc:Fallback>
        </mc:AlternateContent>
      </w:r>
      <w:r>
        <w:rPr>
          <w:rFonts w:hint="eastAsia" w:ascii="宋体" w:hAnsi="宋体" w:eastAsia="宋体" w:cs="宋体"/>
          <w:color w:val="auto"/>
          <w:sz w:val="24"/>
          <w:highlight w:val="none"/>
        </w:rPr>
        <w:t>造价工程师可按照第21.3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21.3款规定，任何此类任命或撤回均为无效。</w:t>
      </w:r>
    </w:p>
    <w:p w14:paraId="5FD76DBA">
      <w:pPr>
        <w:tabs>
          <w:tab w:val="left" w:pos="1260"/>
        </w:tabs>
        <w:spacing w:line="30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24.7</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02CAC57D">
      <w:pPr>
        <w:tabs>
          <w:tab w:val="left" w:pos="1260"/>
        </w:tabs>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74323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1108" name="000127"/>
                <wp:cNvGraphicFramePr/>
                <a:graphic xmlns:a="http://schemas.openxmlformats.org/drawingml/2006/main">
                  <a:graphicData uri="http://schemas.microsoft.com/office/word/2010/wordprocessingShape">
                    <wps:wsp>
                      <wps:cNvSpPr/>
                      <wps:spPr>
                        <a:xfrm>
                          <a:off x="0" y="0"/>
                          <a:ext cx="914400" cy="594360"/>
                        </a:xfrm>
                        <a:prstGeom prst="rect">
                          <a:avLst/>
                        </a:prstGeom>
                        <a:ln>
                          <a:noFill/>
                        </a:ln>
                      </wps:spPr>
                      <wps:txbx>
                        <w:txbxContent>
                          <w:p w14:paraId="5896C9CD">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wps:txbx>
                      <wps:bodyPr wrap="square"/>
                    </wps:wsp>
                  </a:graphicData>
                </a:graphic>
              </wp:anchor>
            </w:drawing>
          </mc:Choice>
          <mc:Fallback>
            <w:pict>
              <v:rect id="000127" o:spid="_x0000_s1026" o:spt="1" style="position:absolute;left:0pt;margin-left:-9pt;margin-top:0pt;height:46.8pt;width:72pt;z-index:251743232;mso-width-relative:page;mso-height-relative:page;" filled="f" stroked="f" coordsize="21600,21600" o:gfxdata="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JeWTtbYAAAABwEAAA8AAAAAAAAAAQAgAAAAIgAA&#10;AGRycy9kb3ducmV2LnhtbFBLAQIUABQAAAAIAIdO4kAuRb7dlgEAADgDAAAOAAAAAAAAAAEAIAAA&#10;ACcBAABkcnMvZTJvRG9jLnhtbFBLBQYAAAAABgAGAFkBAAAvBQAAAAA=&#10;">
                <v:fill on="f" focussize="0,0"/>
                <v:stroke on="f"/>
                <v:imagedata o:title=""/>
                <o:lock v:ext="edit" aspectratio="f"/>
                <v:textbox>
                  <w:txbxContent>
                    <w:p w14:paraId="5896C9CD">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v:textbox>
              </v:rect>
            </w:pict>
          </mc:Fallback>
        </mc:AlternateContent>
      </w:r>
      <w:r>
        <w:rPr>
          <w:rFonts w:hint="eastAsia" w:ascii="宋体" w:hAnsi="宋体" w:eastAsia="宋体" w:cs="宋体"/>
          <w:color w:val="auto"/>
          <w:sz w:val="24"/>
          <w:highlight w:val="none"/>
        </w:rPr>
        <w:t>造价工程师（含其代表）未能正确完成本合同约定的全部义务，或工作出现失误，导致费用的增加和（或）延误的工期，由发包人承担；给承包人造成损失的，发包人应予赔偿。</w:t>
      </w:r>
    </w:p>
    <w:p w14:paraId="66976F04">
      <w:pPr>
        <w:tabs>
          <w:tab w:val="left" w:pos="540"/>
          <w:tab w:val="left" w:pos="720"/>
        </w:tabs>
        <w:spacing w:line="300" w:lineRule="auto"/>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7CCED16F">
      <w:pPr>
        <w:pStyle w:val="4"/>
        <w:tabs>
          <w:tab w:val="left" w:pos="420"/>
        </w:tabs>
        <w:spacing w:line="300" w:lineRule="auto"/>
        <w:ind w:firstLine="241" w:firstLineChars="100"/>
        <w:rPr>
          <w:rFonts w:hint="eastAsia" w:ascii="宋体" w:hAnsi="宋体" w:eastAsia="宋体" w:cs="宋体"/>
          <w:color w:val="auto"/>
          <w:sz w:val="24"/>
          <w:szCs w:val="24"/>
          <w:highlight w:val="none"/>
        </w:rPr>
      </w:pPr>
      <w:bookmarkStart w:id="66" w:name="_Toc469384005"/>
      <w:bookmarkStart w:id="67" w:name="_Toc46860826"/>
      <w:r>
        <w:rPr>
          <w:rFonts w:hint="eastAsia" w:ascii="宋体" w:hAnsi="宋体" w:eastAsia="宋体" w:cs="宋体"/>
          <w:color w:val="auto"/>
          <w:sz w:val="24"/>
          <w:szCs w:val="24"/>
          <w:highlight w:val="none"/>
        </w:rPr>
        <w:t>25  承包人代表</w:t>
      </w:r>
      <w:bookmarkEnd w:id="66"/>
      <w:bookmarkEnd w:id="67"/>
    </w:p>
    <w:p w14:paraId="30061539">
      <w:pPr>
        <w:tabs>
          <w:tab w:val="left" w:pos="540"/>
          <w:tab w:val="left" w:pos="720"/>
        </w:tabs>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25.1                                 </w:t>
      </w:r>
    </w:p>
    <w:p w14:paraId="49F4386C">
      <w:pPr>
        <w:pStyle w:val="35"/>
        <w:tabs>
          <w:tab w:val="left" w:pos="540"/>
          <w:tab w:val="left" w:pos="720"/>
        </w:tabs>
        <w:spacing w:line="300" w:lineRule="auto"/>
        <w:ind w:left="1619" w:leftChars="771"/>
        <w:rPr>
          <w:rFonts w:hint="eastAsia" w:ascii="宋体" w:eastAsia="宋体" w:cs="宋体"/>
          <w:color w:val="auto"/>
          <w:highlight w:val="none"/>
        </w:rPr>
      </w:pPr>
      <w:r>
        <w:rPr>
          <w:rFonts w:hint="eastAsia" w:ascii="宋体" w:eastAsia="宋体" w:cs="宋体"/>
          <w:color w:val="auto"/>
          <w:highlight w:val="none"/>
        </w:rPr>
        <mc:AlternateContent>
          <mc:Choice Requires="wps">
            <w:drawing>
              <wp:anchor distT="0" distB="0" distL="0" distR="0" simplePos="0" relativeHeight="251744256"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1109" name="000128"/>
                <wp:cNvGraphicFramePr/>
                <a:graphic xmlns:a="http://schemas.openxmlformats.org/drawingml/2006/main">
                  <a:graphicData uri="http://schemas.microsoft.com/office/word/2010/wordprocessingShape">
                    <wps:wsp>
                      <wps:cNvSpPr/>
                      <wps:spPr>
                        <a:xfrm>
                          <a:off x="0" y="0"/>
                          <a:ext cx="914400" cy="419100"/>
                        </a:xfrm>
                        <a:prstGeom prst="rect">
                          <a:avLst/>
                        </a:prstGeom>
                        <a:ln>
                          <a:noFill/>
                        </a:ln>
                      </wps:spPr>
                      <wps:txbx>
                        <w:txbxContent>
                          <w:p w14:paraId="3367F143">
                            <w:pPr>
                              <w:spacing w:line="240" w:lineRule="exact"/>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承包人对其代表授权</w:t>
                            </w:r>
                          </w:p>
                        </w:txbxContent>
                      </wps:txbx>
                      <wps:bodyPr wrap="square"/>
                    </wps:wsp>
                  </a:graphicData>
                </a:graphic>
              </wp:anchor>
            </w:drawing>
          </mc:Choice>
          <mc:Fallback>
            <w:pict>
              <v:rect id="000128" o:spid="_x0000_s1026" o:spt="1" style="position:absolute;left:0pt;margin-left:-9pt;margin-top:0pt;height:33pt;width:72pt;z-index:251744256;mso-width-relative:page;mso-height-relative:page;" filled="f" stroked="f" coordsize="21600,21600" o:gfxdata="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tcINLNYAAAAHAQAADwAAAAAAAAABACAAAAAiAAAAZHJz&#10;L2Rvd25yZXYueG1sUEsBAhQAFAAAAAgAh07iQIYvF4aUAQAAOAMAAA4AAAAAAAAAAQAgAAAAJQEA&#10;AGRycy9lMm9Eb2MueG1sUEsFBgAAAAAGAAYAWQEAACsFAAAAAA==&#10;">
                <v:fill on="f" focussize="0,0"/>
                <v:stroke on="f"/>
                <v:imagedata o:title=""/>
                <o:lock v:ext="edit" aspectratio="f"/>
                <v:textbox>
                  <w:txbxContent>
                    <w:p w14:paraId="3367F143">
                      <w:pPr>
                        <w:spacing w:line="240" w:lineRule="exact"/>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承包人对其代表授权</w:t>
                      </w:r>
                    </w:p>
                  </w:txbxContent>
                </v:textbox>
              </v:rect>
            </w:pict>
          </mc:Fallback>
        </mc:AlternateContent>
      </w:r>
      <w:r>
        <w:rPr>
          <w:rFonts w:hint="eastAsia" w:ascii="宋体" w:eastAsia="宋体" w:cs="宋体"/>
          <w:color w:val="auto"/>
          <w:highlight w:val="none"/>
        </w:rPr>
        <w:t>承包人应依据第21.2款规定在专用条款中写明承包人代表具体人选，同时在开工前将承包人代表任命书以书面形式通知发包人，授予其代表承包人履行合同规定职责所需的一切权力。</w:t>
      </w:r>
    </w:p>
    <w:p w14:paraId="0B46916C">
      <w:pPr>
        <w:tabs>
          <w:tab w:val="left" w:pos="540"/>
          <w:tab w:val="left" w:pos="720"/>
          <w:tab w:val="left" w:pos="1260"/>
          <w:tab w:val="left" w:pos="1440"/>
        </w:tabs>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25.2  </w:t>
      </w:r>
      <w:r>
        <w:rPr>
          <w:rFonts w:hint="eastAsia" w:ascii="宋体" w:hAnsi="宋体" w:eastAsia="宋体" w:cs="宋体"/>
          <w:b/>
          <w:bCs/>
          <w:color w:val="auto"/>
          <w:sz w:val="24"/>
          <w:highlight w:val="none"/>
          <w:u w:val="dotted"/>
        </w:rPr>
        <w:t xml:space="preserve">                                                                                                        </w:t>
      </w:r>
    </w:p>
    <w:p w14:paraId="0BDE99C3">
      <w:pPr>
        <w:tabs>
          <w:tab w:val="left" w:pos="540"/>
          <w:tab w:val="left" w:pos="720"/>
          <w:tab w:val="left" w:pos="1260"/>
          <w:tab w:val="left" w:pos="1440"/>
        </w:tabs>
        <w:spacing w:line="300" w:lineRule="auto"/>
        <w:ind w:left="1619" w:leftChars="771" w:firstLine="2"/>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745280"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1110" name="000129"/>
                <wp:cNvGraphicFramePr/>
                <a:graphic xmlns:a="http://schemas.openxmlformats.org/drawingml/2006/main">
                  <a:graphicData uri="http://schemas.microsoft.com/office/word/2010/wordprocessingShape">
                    <wps:wsp>
                      <wps:cNvSpPr/>
                      <wps:spPr>
                        <a:xfrm>
                          <a:off x="0" y="0"/>
                          <a:ext cx="1028700" cy="396240"/>
                        </a:xfrm>
                        <a:prstGeom prst="rect">
                          <a:avLst/>
                        </a:prstGeom>
                        <a:ln>
                          <a:noFill/>
                        </a:ln>
                      </wps:spPr>
                      <wps:txbx>
                        <w:txbxContent>
                          <w:p w14:paraId="669233EF">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承包人代表职</w:t>
                            </w:r>
                          </w:p>
                          <w:p w14:paraId="5C2962F1">
                            <w:pPr>
                              <w:spacing w:line="240" w:lineRule="exact"/>
                              <w:rPr>
                                <w:rFonts w:hint="eastAsia" w:ascii="宋体"/>
                                <w:sz w:val="18"/>
                                <w:szCs w:val="18"/>
                              </w:rPr>
                            </w:pPr>
                            <w:r>
                              <w:rPr>
                                <w:rFonts w:hint="eastAsia" w:ascii="楷体_GB2312" w:hAnsi="宋体" w:eastAsia="楷体_GB2312" w:cs="楷体_GB2312"/>
                                <w:b/>
                                <w:bCs/>
                                <w:color w:val="000000"/>
                                <w:sz w:val="18"/>
                                <w:szCs w:val="18"/>
                              </w:rPr>
                              <w:t>权</w:t>
                            </w:r>
                          </w:p>
                        </w:txbxContent>
                      </wps:txbx>
                      <wps:bodyPr wrap="square"/>
                    </wps:wsp>
                  </a:graphicData>
                </a:graphic>
              </wp:anchor>
            </w:drawing>
          </mc:Choice>
          <mc:Fallback>
            <w:pict>
              <v:rect id="000129" o:spid="_x0000_s1026" o:spt="1" style="position:absolute;left:0pt;margin-left:-9pt;margin-top:0.6pt;height:31.2pt;width:81pt;z-index:251745280;mso-width-relative:page;mso-height-relative:page;" filled="f" stroked="f" coordsize="21600,21600" o:gfxdata="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tvBxydcAAAAIAQAADwAAAAAAAAABACAAAAAiAAAA&#10;ZHJzL2Rvd25yZXYueG1sUEsBAhQAFAAAAAgAh07iQNn4/QyWAQAAOQMAAA4AAAAAAAAAAQAgAAAA&#10;JgEAAGRycy9lMm9Eb2MueG1sUEsFBgAAAAAGAAYAWQEAAC4FAAAAAA==&#10;">
                <v:fill on="f" focussize="0,0"/>
                <v:stroke on="f"/>
                <v:imagedata o:title=""/>
                <o:lock v:ext="edit" aspectratio="f"/>
                <v:textbox>
                  <w:txbxContent>
                    <w:p w14:paraId="669233EF">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承包人代表职</w:t>
                      </w:r>
                    </w:p>
                    <w:p w14:paraId="5C2962F1">
                      <w:pPr>
                        <w:spacing w:line="240" w:lineRule="exact"/>
                        <w:rPr>
                          <w:rFonts w:hint="eastAsia" w:ascii="宋体"/>
                          <w:sz w:val="18"/>
                          <w:szCs w:val="18"/>
                        </w:rPr>
                      </w:pPr>
                      <w:r>
                        <w:rPr>
                          <w:rFonts w:hint="eastAsia" w:ascii="楷体_GB2312" w:hAnsi="宋体" w:eastAsia="楷体_GB2312" w:cs="楷体_GB2312"/>
                          <w:b/>
                          <w:bCs/>
                          <w:color w:val="000000"/>
                          <w:sz w:val="18"/>
                          <w:szCs w:val="18"/>
                        </w:rPr>
                        <w:t>权</w:t>
                      </w:r>
                    </w:p>
                  </w:txbxContent>
                </v:textbox>
              </v:rect>
            </w:pict>
          </mc:Fallback>
        </mc:AlternateContent>
      </w:r>
      <w:r>
        <w:rPr>
          <w:rFonts w:hint="eastAsia" w:ascii="宋体" w:hAnsi="宋体" w:eastAsia="宋体" w:cs="宋体"/>
          <w:color w:val="auto"/>
          <w:sz w:val="24"/>
          <w:highlight w:val="none"/>
        </w:rPr>
        <w:t>承包人代表应代表承包人履行合同规定的职责、行使合同明文约定或必然隐含的权力，对承包人负责。承包人代表在承包人授予职权范围内的工作，承包人应予认可。</w:t>
      </w:r>
    </w:p>
    <w:p w14:paraId="33C693EC">
      <w:pPr>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25.3  </w:t>
      </w:r>
      <w:r>
        <w:rPr>
          <w:rFonts w:hint="eastAsia" w:ascii="宋体" w:hAnsi="宋体" w:eastAsia="宋体" w:cs="宋体"/>
          <w:b/>
          <w:bCs/>
          <w:color w:val="auto"/>
          <w:sz w:val="24"/>
          <w:highlight w:val="none"/>
          <w:u w:val="dotted"/>
        </w:rPr>
        <w:t xml:space="preserve">                                                                                                        </w:t>
      </w:r>
    </w:p>
    <w:p w14:paraId="3D61DCB0">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746304"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1111" name="00012a"/>
                <wp:cNvGraphicFramePr/>
                <a:graphic xmlns:a="http://schemas.openxmlformats.org/drawingml/2006/main">
                  <a:graphicData uri="http://schemas.microsoft.com/office/word/2010/wordprocessingShape">
                    <wps:wsp>
                      <wps:cNvSpPr/>
                      <wps:spPr>
                        <a:xfrm>
                          <a:off x="0" y="0"/>
                          <a:ext cx="914400" cy="487680"/>
                        </a:xfrm>
                        <a:prstGeom prst="rect">
                          <a:avLst/>
                        </a:prstGeom>
                        <a:ln>
                          <a:noFill/>
                        </a:ln>
                      </wps:spPr>
                      <wps:txbx>
                        <w:txbxContent>
                          <w:p w14:paraId="0AC6F85F">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承包人代表临时任命人职权</w:t>
                            </w:r>
                          </w:p>
                        </w:txbxContent>
                      </wps:txbx>
                      <wps:bodyPr wrap="square"/>
                    </wps:wsp>
                  </a:graphicData>
                </a:graphic>
              </wp:anchor>
            </w:drawing>
          </mc:Choice>
          <mc:Fallback>
            <w:pict>
              <v:rect id="00012a" o:spid="_x0000_s1026" o:spt="1" style="position:absolute;left:0pt;margin-left:-9pt;margin-top:0pt;height:38.4pt;width:72pt;z-index:251746304;mso-width-relative:page;mso-height-relative:page;" filled="f" stroked="f" coordsize="21600,21600" o:gfxdata="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uXHa61wAAAAcBAAAPAAAAAAAAAAEAIAAAACIAAABk&#10;cnMvZG93bnJldi54bWxQSwECFAAUAAAACACHTuJAM51hX5UBAAA4AwAADgAAAAAAAAABACAAAAAm&#10;AQAAZHJzL2Uyb0RvYy54bWxQSwUGAAAAAAYABgBZAQAALQUAAAAA&#10;">
                <v:fill on="f" focussize="0,0"/>
                <v:stroke on="f"/>
                <v:imagedata o:title=""/>
                <o:lock v:ext="edit" aspectratio="f"/>
                <v:textbox>
                  <w:txbxContent>
                    <w:p w14:paraId="0AC6F85F">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承包人代表临时任命人职权</w:t>
                      </w:r>
                    </w:p>
                  </w:txbxContent>
                </v:textbox>
              </v:rect>
            </w:pict>
          </mc:Fallback>
        </mc:AlternateContent>
      </w:r>
      <w:r>
        <w:rPr>
          <w:rFonts w:hint="eastAsia" w:ascii="宋体" w:hAnsi="宋体" w:eastAsia="宋体" w:cs="宋体"/>
          <w:color w:val="auto"/>
          <w:sz w:val="24"/>
          <w:highlight w:val="none"/>
        </w:rPr>
        <w:t>如果承包人代表在合同履行期间确需暂离现场，则应在监理工程师同意下，按照第21.4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21.4款规定，任何此类任命或撤回均为无效。</w:t>
      </w:r>
    </w:p>
    <w:p w14:paraId="1C4A1954">
      <w:pPr>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25.4  </w:t>
      </w:r>
      <w:r>
        <w:rPr>
          <w:rFonts w:hint="eastAsia" w:ascii="宋体" w:hAnsi="宋体" w:eastAsia="宋体" w:cs="宋体"/>
          <w:b/>
          <w:bCs/>
          <w:color w:val="auto"/>
          <w:sz w:val="24"/>
          <w:highlight w:val="none"/>
          <w:u w:val="dotted"/>
        </w:rPr>
        <w:t xml:space="preserve">                                                                                                        </w:t>
      </w:r>
    </w:p>
    <w:p w14:paraId="3481D723">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747328"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1112" name="00012b"/>
                <wp:cNvGraphicFramePr/>
                <a:graphic xmlns:a="http://schemas.openxmlformats.org/drawingml/2006/main">
                  <a:graphicData uri="http://schemas.microsoft.com/office/word/2010/wordprocessingShape">
                    <wps:wsp>
                      <wps:cNvSpPr/>
                      <wps:spPr>
                        <a:xfrm>
                          <a:off x="0" y="0"/>
                          <a:ext cx="914400" cy="762000"/>
                        </a:xfrm>
                        <a:prstGeom prst="rect">
                          <a:avLst/>
                        </a:prstGeom>
                        <a:ln>
                          <a:noFill/>
                        </a:ln>
                      </wps:spPr>
                      <wps:txbx>
                        <w:txbxContent>
                          <w:p w14:paraId="7B7EE802">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wps:txbx>
                      <wps:bodyPr wrap="square"/>
                    </wps:wsp>
                  </a:graphicData>
                </a:graphic>
              </wp:anchor>
            </w:drawing>
          </mc:Choice>
          <mc:Fallback>
            <w:pict>
              <v:rect id="00012b" o:spid="_x0000_s1026" o:spt="1" style="position:absolute;left:0pt;margin-left:-9pt;margin-top:0pt;height:60pt;width:72pt;z-index:251747328;mso-width-relative:page;mso-height-relative:page;" filled="f" stroked="f" coordsize="21600,21600" o:gfxdata="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&#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4gljU1wAAAAgBAAAPAAAAAAAAAAEAIAAAACIAAABk&#10;cnMvZG93bnJldi54bWxQSwECFAAUAAAACACHTuJAbrHGZJUBAAA4AwAADgAAAAAAAAABACAAAAAm&#10;AQAAZHJzL2Uyb0RvYy54bWxQSwUGAAAAAAYABgBZAQAALQUAAAAA&#10;">
                <v:fill on="f" focussize="0,0"/>
                <v:stroke on="f"/>
                <v:imagedata o:title=""/>
                <o:lock v:ext="edit" aspectratio="f"/>
                <v:textbox>
                  <w:txbxContent>
                    <w:p w14:paraId="7B7EE802">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v:textbox>
              </v:rect>
            </w:pict>
          </mc:Fallback>
        </mc:AlternateContent>
      </w:r>
      <w:r>
        <w:rPr>
          <w:rFonts w:hint="eastAsia" w:ascii="宋体" w:hAnsi="宋体" w:eastAsia="宋体" w:cs="宋体"/>
          <w:color w:val="auto"/>
          <w:sz w:val="24"/>
          <w:highlight w:val="none"/>
        </w:rPr>
        <w:t>承包人代表按照经发包人认可的施工组织设计和监理工程师发出的指令组织施工。在紧急情况下，且无法与监理工程师取得联系时，承包人代表应立即采取保证人员生命和工程、财产安全的有效措施，并在采取措施后48小时内向监理工程师提交书面报告，通知发包人。属于发包人或第三方责任的，其发生的费用和（或）延误的工期由发包人承担，并支付承包人合理利润；属于承包人责任的，其发生的费用和（或）延误的工期由承包人承担。</w:t>
      </w:r>
    </w:p>
    <w:p w14:paraId="51D5FD80">
      <w:pPr>
        <w:pStyle w:val="22"/>
        <w:tabs>
          <w:tab w:val="left" w:pos="540"/>
        </w:tabs>
        <w:adjustRightInd w:val="0"/>
        <w:snapToGrid w:val="0"/>
        <w:spacing w:line="300" w:lineRule="auto"/>
        <w:ind w:right="-240"/>
        <w:rPr>
          <w:rFonts w:hint="eastAsia" w:hAnsi="宋体" w:eastAsia="宋体" w:cs="宋体"/>
          <w:b/>
          <w:bCs/>
          <w:color w:val="auto"/>
          <w:sz w:val="24"/>
          <w:szCs w:val="24"/>
          <w:highlight w:val="none"/>
          <w:u w:val="single"/>
        </w:rPr>
      </w:pPr>
      <w:bookmarkStart w:id="68" w:name="_Toc468936969"/>
      <w:r>
        <w:rPr>
          <w:rFonts w:hint="eastAsia" w:hAnsi="宋体" w:eastAsia="宋体" w:cs="宋体"/>
          <w:b/>
          <w:bCs/>
          <w:color w:val="auto"/>
          <w:sz w:val="24"/>
          <w:szCs w:val="24"/>
          <w:highlight w:val="none"/>
          <w:u w:val="single"/>
        </w:rPr>
        <w:t xml:space="preserve">                                                                                                             </w:t>
      </w:r>
    </w:p>
    <w:p w14:paraId="45477480">
      <w:pPr>
        <w:pStyle w:val="22"/>
        <w:tabs>
          <w:tab w:val="left" w:pos="540"/>
        </w:tabs>
        <w:adjustRightInd w:val="0"/>
        <w:snapToGrid w:val="0"/>
        <w:spacing w:line="300" w:lineRule="auto"/>
        <w:ind w:right="-240"/>
        <w:outlineLvl w:val="2"/>
        <w:rPr>
          <w:rFonts w:hint="eastAsia" w:hAnsi="宋体" w:eastAsia="宋体" w:cs="宋体"/>
          <w:b/>
          <w:bCs/>
          <w:color w:val="auto"/>
          <w:sz w:val="24"/>
          <w:szCs w:val="24"/>
          <w:highlight w:val="none"/>
        </w:rPr>
      </w:pPr>
      <w:bookmarkStart w:id="69" w:name="_Toc469384006"/>
      <w:bookmarkStart w:id="70" w:name="_Toc46860827"/>
      <w:r>
        <w:rPr>
          <w:rFonts w:hint="eastAsia" w:hAnsi="宋体" w:eastAsia="宋体" w:cs="宋体"/>
          <w:b/>
          <w:bCs/>
          <w:color w:val="auto"/>
          <w:sz w:val="24"/>
          <w:szCs w:val="24"/>
          <w:highlight w:val="none"/>
        </w:rPr>
        <w:t>26  指定分包</w:t>
      </w:r>
      <w:bookmarkEnd w:id="68"/>
      <w:r>
        <w:rPr>
          <w:rFonts w:hint="eastAsia" w:hAnsi="宋体" w:eastAsia="宋体" w:cs="宋体"/>
          <w:b/>
          <w:bCs/>
          <w:color w:val="auto"/>
          <w:sz w:val="24"/>
          <w:szCs w:val="24"/>
          <w:highlight w:val="none"/>
        </w:rPr>
        <w:t>人</w:t>
      </w:r>
      <w:bookmarkEnd w:id="69"/>
      <w:bookmarkEnd w:id="70"/>
    </w:p>
    <w:p w14:paraId="7C578245">
      <w:pPr>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26.1 </w:t>
      </w:r>
    </w:p>
    <w:p w14:paraId="750DD1C2">
      <w:pPr>
        <w:pStyle w:val="22"/>
        <w:adjustRightInd w:val="0"/>
        <w:snapToGrid w:val="0"/>
        <w:spacing w:line="300" w:lineRule="auto"/>
        <w:ind w:firstLine="1680" w:firstLineChars="700"/>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748352"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1113" name="00012c"/>
                <wp:cNvGraphicFramePr/>
                <a:graphic xmlns:a="http://schemas.openxmlformats.org/drawingml/2006/main">
                  <a:graphicData uri="http://schemas.microsoft.com/office/word/2010/wordprocessingShape">
                    <wps:wsp>
                      <wps:cNvSpPr/>
                      <wps:spPr>
                        <a:xfrm>
                          <a:off x="0" y="0"/>
                          <a:ext cx="914400" cy="693420"/>
                        </a:xfrm>
                        <a:prstGeom prst="rect">
                          <a:avLst/>
                        </a:prstGeom>
                        <a:ln>
                          <a:noFill/>
                        </a:ln>
                      </wps:spPr>
                      <wps:txbx>
                        <w:txbxContent>
                          <w:p w14:paraId="397D2776">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指定分包人工作</w:t>
                            </w:r>
                          </w:p>
                        </w:txbxContent>
                      </wps:txbx>
                      <wps:bodyPr wrap="square"/>
                    </wps:wsp>
                  </a:graphicData>
                </a:graphic>
              </wp:anchor>
            </w:drawing>
          </mc:Choice>
          <mc:Fallback>
            <w:pict>
              <v:rect id="00012c" o:spid="_x0000_s1026" o:spt="1" style="position:absolute;left:0pt;margin-left:-9pt;margin-top:4.75pt;height:54.6pt;width:72pt;z-index:251748352;mso-width-relative:page;mso-height-relative:page;" filled="f" stroked="f" coordsize="21600,21600" o:gfxdata="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sBUSTZAAAACQEAAA8AAAAAAAAAAQAgAAAAIgAA&#10;AGRycy9kb3ducmV2LnhtbFBLAQIUABQAAAAIAIdO4kAN/p52lQEAADgDAAAOAAAAAAAAAAEAIAAA&#10;ACgBAABkcnMvZTJvRG9jLnhtbFBLBQYAAAAABgAGAFkBAAAvBQAAAAA=&#10;">
                <v:fill on="f" focussize="0,0"/>
                <v:stroke on="f"/>
                <v:imagedata o:title=""/>
                <o:lock v:ext="edit" aspectratio="f"/>
                <v:textbox>
                  <w:txbxContent>
                    <w:p w14:paraId="397D2776">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指定分包人工作</w:t>
                      </w:r>
                    </w:p>
                  </w:txbxContent>
                </v:textbox>
              </v:rect>
            </w:pict>
          </mc:Fallback>
        </mc:AlternateContent>
      </w:r>
      <w:r>
        <w:rPr>
          <w:rFonts w:hint="eastAsia" w:hAnsi="宋体" w:eastAsia="宋体" w:cs="宋体"/>
          <w:color w:val="auto"/>
          <w:sz w:val="24"/>
          <w:szCs w:val="24"/>
          <w:highlight w:val="none"/>
        </w:rPr>
        <w:t>指定分包人是指发包人事先指定的从事下列工作之一的分包</w:t>
      </w:r>
    </w:p>
    <w:p w14:paraId="14F8947A">
      <w:pPr>
        <w:pStyle w:val="22"/>
        <w:adjustRightInd w:val="0"/>
        <w:snapToGrid w:val="0"/>
        <w:spacing w:line="300" w:lineRule="auto"/>
        <w:ind w:firstLine="1680" w:firstLineChars="700"/>
        <w:rPr>
          <w:rFonts w:hint="eastAsia" w:hAnsi="宋体" w:eastAsia="宋体" w:cs="宋体"/>
          <w:color w:val="auto"/>
          <w:sz w:val="24"/>
          <w:szCs w:val="24"/>
          <w:highlight w:val="none"/>
        </w:rPr>
      </w:pPr>
      <w:r>
        <w:rPr>
          <w:rFonts w:hint="eastAsia" w:hAnsi="宋体" w:eastAsia="宋体" w:cs="宋体"/>
          <w:color w:val="auto"/>
          <w:sz w:val="24"/>
          <w:szCs w:val="24"/>
          <w:highlight w:val="none"/>
        </w:rPr>
        <w:t>人：</w:t>
      </w:r>
    </w:p>
    <w:p w14:paraId="6C928280">
      <w:pPr>
        <w:pStyle w:val="22"/>
        <w:widowControl/>
        <w:adjustRightInd w:val="0"/>
        <w:snapToGrid w:val="0"/>
        <w:spacing w:line="300" w:lineRule="auto"/>
        <w:ind w:left="1710" w:leftChars="700" w:hanging="240" w:hangingChars="1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（1）根据专用条款的约定，发包人依法事先指定的实施、完成部分永久工程的分包人；</w:t>
      </w:r>
    </w:p>
    <w:p w14:paraId="2DD1BAC9">
      <w:pPr>
        <w:pStyle w:val="22"/>
        <w:widowControl/>
        <w:adjustRightInd w:val="0"/>
        <w:snapToGrid w:val="0"/>
        <w:spacing w:line="300" w:lineRule="auto"/>
        <w:ind w:left="1710" w:leftChars="700" w:hanging="240" w:hangingChars="1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（2）根据专用条款的约定，发包人选定的提供合同工程材料、工程设备和服务的分包人。</w:t>
      </w:r>
    </w:p>
    <w:p w14:paraId="4C88C856">
      <w:pPr>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26.2  </w:t>
      </w:r>
      <w:r>
        <w:rPr>
          <w:rFonts w:hint="eastAsia" w:ascii="宋体" w:hAnsi="宋体" w:eastAsia="宋体" w:cs="宋体"/>
          <w:b/>
          <w:bCs/>
          <w:color w:val="auto"/>
          <w:sz w:val="24"/>
          <w:highlight w:val="none"/>
          <w:u w:val="dotted"/>
        </w:rPr>
        <w:t xml:space="preserve">                                                                             </w:t>
      </w:r>
    </w:p>
    <w:p w14:paraId="59FF1482">
      <w:pPr>
        <w:pStyle w:val="22"/>
        <w:widowControl/>
        <w:adjustRightInd w:val="0"/>
        <w:snapToGrid w:val="0"/>
        <w:spacing w:line="300" w:lineRule="auto"/>
        <w:ind w:firstLine="1680" w:firstLineChars="700"/>
        <w:jc w:val="right"/>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749376"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1114" name="00012d"/>
                <wp:cNvGraphicFramePr/>
                <a:graphic xmlns:a="http://schemas.openxmlformats.org/drawingml/2006/main">
                  <a:graphicData uri="http://schemas.microsoft.com/office/word/2010/wordprocessingShape">
                    <wps:wsp>
                      <wps:cNvSpPr/>
                      <wps:spPr>
                        <a:xfrm>
                          <a:off x="0" y="0"/>
                          <a:ext cx="1028700" cy="627380"/>
                        </a:xfrm>
                        <a:prstGeom prst="rect">
                          <a:avLst/>
                        </a:prstGeom>
                        <a:ln>
                          <a:noFill/>
                        </a:ln>
                      </wps:spPr>
                      <wps:txbx>
                        <w:txbxContent>
                          <w:p w14:paraId="5279B579">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承包人对指定分包人的接受</w:t>
                            </w:r>
                          </w:p>
                        </w:txbxContent>
                      </wps:txbx>
                      <wps:bodyPr wrap="square"/>
                    </wps:wsp>
                  </a:graphicData>
                </a:graphic>
              </wp:anchor>
            </w:drawing>
          </mc:Choice>
          <mc:Fallback>
            <w:pict>
              <v:rect id="00012d" o:spid="_x0000_s1026" o:spt="1" style="position:absolute;left:0pt;margin-left:-9pt;margin-top:0pt;height:49.4pt;width:81pt;z-index:251749376;mso-width-relative:page;mso-height-relative:page;" filled="f" stroked="f" coordsize="21600,21600" o:gfxdata="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NoxS+LYAAAABwEAAA8AAAAAAAAAAQAgAAAAIgAA&#10;AGRycy9kb3ducmV2LnhtbFBLAQIUABQAAAAIAIdO4kD3DxZDlgEAADkDAAAOAAAAAAAAAAEAIAAA&#10;ACcBAABkcnMvZTJvRG9jLnhtbFBLBQYAAAAABgAGAFkBAAAvBQAAAAA=&#10;">
                <v:fill on="f" focussize="0,0"/>
                <v:stroke on="f"/>
                <v:imagedata o:title=""/>
                <o:lock v:ext="edit" aspectratio="f"/>
                <v:textbox>
                  <w:txbxContent>
                    <w:p w14:paraId="5279B579">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承包人对指定分包人的接受</w:t>
                      </w:r>
                    </w:p>
                  </w:txbxContent>
                </v:textbox>
              </v:rect>
            </w:pict>
          </mc:Fallback>
        </mc:AlternateContent>
      </w:r>
      <w:r>
        <w:rPr>
          <w:rFonts w:hint="eastAsia" w:hAnsi="宋体" w:eastAsia="宋体" w:cs="宋体"/>
          <w:color w:val="auto"/>
          <w:sz w:val="24"/>
          <w:szCs w:val="24"/>
          <w:highlight w:val="none"/>
        </w:rPr>
        <w:t>指定分包人属于承包人的分包人，发包人不应要求承包人有义</w:t>
      </w:r>
    </w:p>
    <w:p w14:paraId="750BDED7">
      <w:pPr>
        <w:pStyle w:val="22"/>
        <w:widowControl/>
        <w:adjustRightInd w:val="0"/>
        <w:snapToGrid w:val="0"/>
        <w:spacing w:line="300" w:lineRule="auto"/>
        <w:ind w:right="960" w:firstLine="1680" w:firstLineChars="700"/>
        <w:rPr>
          <w:rFonts w:hint="eastAsia" w:hAnsi="宋体" w:eastAsia="宋体" w:cs="宋体"/>
          <w:color w:val="auto"/>
          <w:sz w:val="24"/>
          <w:szCs w:val="24"/>
          <w:highlight w:val="none"/>
        </w:rPr>
      </w:pPr>
      <w:r>
        <w:rPr>
          <w:rFonts w:hint="eastAsia" w:hAnsi="宋体" w:eastAsia="宋体" w:cs="宋体"/>
          <w:color w:val="auto"/>
          <w:sz w:val="24"/>
          <w:szCs w:val="24"/>
          <w:highlight w:val="none"/>
        </w:rPr>
        <w:t>务接受承包人有理由反对的任何指定分包人。</w:t>
      </w:r>
    </w:p>
    <w:p w14:paraId="66827903">
      <w:pPr>
        <w:spacing w:line="300" w:lineRule="auto"/>
        <w:rPr>
          <w:rFonts w:hint="eastAsia" w:ascii="宋体" w:hAnsi="宋体" w:eastAsia="宋体" w:cs="宋体"/>
          <w:b/>
          <w:bCs/>
          <w:color w:val="auto"/>
          <w:sz w:val="24"/>
          <w:highlight w:val="none"/>
          <w:u w:val="dotted"/>
        </w:rPr>
      </w:pPr>
      <w:r>
        <w:rPr>
          <w:rFonts w:hint="eastAsia" w:ascii="宋体" w:hAnsi="宋体" w:eastAsia="宋体" w:cs="宋体"/>
          <w:color w:val="auto"/>
          <w:sz w:val="24"/>
          <w:highlight w:val="none"/>
        </w:rPr>
        <mc:AlternateContent>
          <mc:Choice Requires="wps">
            <w:drawing>
              <wp:anchor distT="0" distB="0" distL="0" distR="0" simplePos="0" relativeHeight="251750400"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1115" name="00012e"/>
                <wp:cNvGraphicFramePr/>
                <a:graphic xmlns:a="http://schemas.openxmlformats.org/drawingml/2006/main">
                  <a:graphicData uri="http://schemas.microsoft.com/office/word/2010/wordprocessingShape">
                    <wps:wsp>
                      <wps:cNvSpPr/>
                      <wps:spPr>
                        <a:xfrm>
                          <a:off x="0" y="0"/>
                          <a:ext cx="1028700" cy="699135"/>
                        </a:xfrm>
                        <a:prstGeom prst="rect">
                          <a:avLst/>
                        </a:prstGeom>
                        <a:ln>
                          <a:noFill/>
                        </a:ln>
                      </wps:spPr>
                      <wps:txbx>
                        <w:txbxContent>
                          <w:p w14:paraId="280A1B7D">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指定分包工程款结算与支付</w:t>
                            </w:r>
                          </w:p>
                        </w:txbxContent>
                      </wps:txbx>
                      <wps:bodyPr wrap="square"/>
                    </wps:wsp>
                  </a:graphicData>
                </a:graphic>
              </wp:anchor>
            </w:drawing>
          </mc:Choice>
          <mc:Fallback>
            <w:pict>
              <v:rect id="00012e" o:spid="_x0000_s1026" o:spt="1" style="position:absolute;left:0pt;margin-left:-9pt;margin-top:18.7pt;height:55.05pt;width:81pt;z-index:251750400;mso-width-relative:page;mso-height-relative:page;" filled="f" stroked="f" coordsize="21600,21600" o:gfxdata="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5rvgf2gAAAAoBAAAPAAAAAAAAAAEAIAAAACIA&#10;AABkcnMvZG93bnJldi54bWxQSwECFAAUAAAACACHTuJAvX5MqpUBAAA5AwAADgAAAAAAAAABACAA&#10;AAApAQAAZHJzL2Uyb0RvYy54bWxQSwUGAAAAAAYABgBZAQAAMAUAAAAA&#10;">
                <v:fill on="f" focussize="0,0"/>
                <v:stroke on="f"/>
                <v:imagedata o:title=""/>
                <o:lock v:ext="edit" aspectratio="f"/>
                <v:textbox>
                  <w:txbxContent>
                    <w:p w14:paraId="280A1B7D">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指定分包工程款结算与支付</w:t>
                      </w:r>
                    </w:p>
                  </w:txbxContent>
                </v:textbox>
              </v:rect>
            </w:pict>
          </mc:Fallback>
        </mc:AlternateContent>
      </w:r>
      <w:r>
        <w:rPr>
          <w:rFonts w:hint="eastAsia" w:ascii="宋体" w:hAnsi="宋体" w:eastAsia="宋体" w:cs="宋体"/>
          <w:b/>
          <w:bCs/>
          <w:color w:val="auto"/>
          <w:sz w:val="24"/>
          <w:highlight w:val="none"/>
        </w:rPr>
        <w:t xml:space="preserve">26.3  </w:t>
      </w:r>
      <w:r>
        <w:rPr>
          <w:rFonts w:hint="eastAsia" w:ascii="宋体" w:hAnsi="宋体" w:eastAsia="宋体" w:cs="宋体"/>
          <w:b/>
          <w:bCs/>
          <w:color w:val="auto"/>
          <w:sz w:val="24"/>
          <w:highlight w:val="none"/>
          <w:u w:val="dotted"/>
        </w:rPr>
        <w:t xml:space="preserve">                                                                              </w:t>
      </w:r>
    </w:p>
    <w:p w14:paraId="48E793AF">
      <w:pPr>
        <w:pStyle w:val="22"/>
        <w:widowControl/>
        <w:adjustRightInd w:val="0"/>
        <w:snapToGrid w:val="0"/>
        <w:spacing w:line="300" w:lineRule="auto"/>
        <w:ind w:firstLine="1680" w:firstLineChars="7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发包人应按照合同的约定向承包人支付指定分包人的分包工程</w:t>
      </w:r>
    </w:p>
    <w:p w14:paraId="134BC6B4">
      <w:pPr>
        <w:pStyle w:val="22"/>
        <w:widowControl/>
        <w:adjustRightInd w:val="0"/>
        <w:snapToGrid w:val="0"/>
        <w:spacing w:line="300" w:lineRule="auto"/>
        <w:ind w:firstLine="1680" w:firstLineChars="7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配合费。</w:t>
      </w:r>
    </w:p>
    <w:p w14:paraId="00EDF065">
      <w:pPr>
        <w:pStyle w:val="22"/>
        <w:widowControl/>
        <w:adjustRightInd w:val="0"/>
        <w:snapToGrid w:val="0"/>
        <w:spacing w:line="300" w:lineRule="auto"/>
        <w:ind w:firstLine="1680" w:firstLineChars="7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指定分包工程款的结算与支付，按照第7.4款办理。</w:t>
      </w:r>
    </w:p>
    <w:p w14:paraId="102C0130">
      <w:pPr>
        <w:spacing w:line="300" w:lineRule="auto"/>
        <w:rPr>
          <w:rFonts w:hint="eastAsia" w:ascii="宋体" w:hAnsi="宋体" w:eastAsia="宋体" w:cs="宋体"/>
          <w:b/>
          <w:bCs/>
          <w:color w:val="auto"/>
          <w:sz w:val="24"/>
          <w:highlight w:val="none"/>
          <w:u w:val="dotted"/>
        </w:rPr>
      </w:pPr>
      <w:r>
        <w:rPr>
          <w:rFonts w:hint="eastAsia" w:ascii="宋体" w:hAnsi="宋体" w:eastAsia="宋体" w:cs="宋体"/>
          <w:color w:val="auto"/>
          <w:sz w:val="24"/>
          <w:highlight w:val="none"/>
        </w:rPr>
        <mc:AlternateContent>
          <mc:Choice Requires="wps">
            <w:drawing>
              <wp:anchor distT="0" distB="0" distL="0" distR="0" simplePos="0" relativeHeight="251751424"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1116" name="00012f"/>
                <wp:cNvGraphicFramePr/>
                <a:graphic xmlns:a="http://schemas.openxmlformats.org/drawingml/2006/main">
                  <a:graphicData uri="http://schemas.microsoft.com/office/word/2010/wordprocessingShape">
                    <wps:wsp>
                      <wps:cNvSpPr/>
                      <wps:spPr>
                        <a:xfrm>
                          <a:off x="0" y="0"/>
                          <a:ext cx="1133475" cy="791845"/>
                        </a:xfrm>
                        <a:prstGeom prst="rect">
                          <a:avLst/>
                        </a:prstGeom>
                        <a:ln>
                          <a:noFill/>
                        </a:ln>
                      </wps:spPr>
                      <wps:txbx>
                        <w:txbxContent>
                          <w:p w14:paraId="087B0846">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w:t>
                            </w:r>
                          </w:p>
                          <w:p w14:paraId="615C87B1">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分包工程的义</w:t>
                            </w:r>
                          </w:p>
                          <w:p w14:paraId="49F1F2FB">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p w14:paraId="12FC73BD">
                            <w:pPr>
                              <w:rPr>
                                <w:rFonts w:hint="eastAsia" w:ascii="楷体_GB2312" w:hAnsi="宋体" w:eastAsia="楷体_GB2312"/>
                                <w:b/>
                                <w:bCs/>
                                <w:color w:val="000000"/>
                              </w:rPr>
                            </w:pPr>
                          </w:p>
                          <w:p w14:paraId="0A851CBF">
                            <w:pPr>
                              <w:rPr>
                                <w:rFonts w:hint="eastAsia"/>
                              </w:rPr>
                            </w:pPr>
                          </w:p>
                          <w:p w14:paraId="51F191BC">
                            <w:pPr>
                              <w:rPr>
                                <w:rFonts w:hint="eastAsia"/>
                              </w:rPr>
                            </w:pPr>
                          </w:p>
                        </w:txbxContent>
                      </wps:txbx>
                      <wps:bodyPr wrap="square"/>
                    </wps:wsp>
                  </a:graphicData>
                </a:graphic>
              </wp:anchor>
            </w:drawing>
          </mc:Choice>
          <mc:Fallback>
            <w:pict>
              <v:rect id="00012f" o:spid="_x0000_s1026" o:spt="1" style="position:absolute;left:0pt;margin-left:-5.25pt;margin-top:15.7pt;height:62.35pt;width:89.25pt;z-index:251751424;mso-width-relative:page;mso-height-relative:page;" filled="f" stroked="f" coordsize="21600,21600" o:gfxdata="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Cyl9HtoAAAAKAQAADwAAAAAAAAABACAAAAAi&#10;AAAAZHJzL2Rvd25yZXYueG1sUEsBAhQAFAAAAAgAh07iQJTWOiiWAQAAOQMAAA4AAAAAAAAAAQAg&#10;AAAAKQEAAGRycy9lMm9Eb2MueG1sUEsFBgAAAAAGAAYAWQEAADEFAAAAAA==&#10;">
                <v:fill on="f" focussize="0,0"/>
                <v:stroke on="f"/>
                <v:imagedata o:title=""/>
                <o:lock v:ext="edit" aspectratio="f"/>
                <v:textbox>
                  <w:txbxContent>
                    <w:p w14:paraId="087B0846">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w:t>
                      </w:r>
                    </w:p>
                    <w:p w14:paraId="615C87B1">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分包工程的义</w:t>
                      </w:r>
                    </w:p>
                    <w:p w14:paraId="49F1F2FB">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p w14:paraId="12FC73BD">
                      <w:pPr>
                        <w:rPr>
                          <w:rFonts w:hint="eastAsia" w:ascii="楷体_GB2312" w:hAnsi="宋体" w:eastAsia="楷体_GB2312"/>
                          <w:b/>
                          <w:bCs/>
                          <w:color w:val="000000"/>
                        </w:rPr>
                      </w:pPr>
                    </w:p>
                    <w:p w14:paraId="0A851CBF">
                      <w:pPr>
                        <w:rPr>
                          <w:rFonts w:hint="eastAsia"/>
                        </w:rPr>
                      </w:pPr>
                    </w:p>
                    <w:p w14:paraId="51F191BC">
                      <w:pPr>
                        <w:rPr>
                          <w:rFonts w:hint="eastAsia"/>
                        </w:rPr>
                      </w:pPr>
                    </w:p>
                  </w:txbxContent>
                </v:textbox>
              </v:rect>
            </w:pict>
          </mc:Fallback>
        </mc:AlternateContent>
      </w:r>
      <w:r>
        <w:rPr>
          <w:rFonts w:hint="eastAsia" w:ascii="宋体" w:hAnsi="宋体" w:eastAsia="宋体" w:cs="宋体"/>
          <w:b/>
          <w:bCs/>
          <w:color w:val="auto"/>
          <w:sz w:val="24"/>
          <w:highlight w:val="none"/>
        </w:rPr>
        <w:t>26.4</w:t>
      </w:r>
      <w:r>
        <w:rPr>
          <w:rFonts w:hint="eastAsia" w:ascii="宋体" w:hAnsi="宋体" w:eastAsia="宋体" w:cs="宋体"/>
          <w:b/>
          <w:bCs/>
          <w:color w:val="auto"/>
          <w:sz w:val="24"/>
          <w:highlight w:val="none"/>
          <w:u w:val="dotted"/>
        </w:rPr>
        <w:t xml:space="preserve">                                                                               </w:t>
      </w:r>
    </w:p>
    <w:p w14:paraId="6C762BCC">
      <w:pPr>
        <w:pStyle w:val="22"/>
        <w:widowControl/>
        <w:tabs>
          <w:tab w:val="left" w:pos="1260"/>
        </w:tabs>
        <w:adjustRightInd w:val="0"/>
        <w:snapToGrid w:val="0"/>
        <w:spacing w:line="300" w:lineRule="auto"/>
        <w:ind w:firstLine="1680" w:firstLineChars="7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指定分包人应按照分包合同的约定对承包人负责。承包人有</w:t>
      </w:r>
    </w:p>
    <w:p w14:paraId="705256FB">
      <w:pPr>
        <w:pStyle w:val="22"/>
        <w:widowControl/>
        <w:tabs>
          <w:tab w:val="left" w:pos="1260"/>
        </w:tabs>
        <w:adjustRightInd w:val="0"/>
        <w:snapToGrid w:val="0"/>
        <w:spacing w:line="300" w:lineRule="auto"/>
        <w:ind w:firstLine="1680" w:firstLineChars="7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义务协助、配合指定分包人实施分包工程。</w:t>
      </w:r>
    </w:p>
    <w:p w14:paraId="445FA8E7">
      <w:pPr>
        <w:spacing w:line="300" w:lineRule="auto"/>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4382659E">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71" w:name="_Toc46860828"/>
      <w:bookmarkStart w:id="72" w:name="_Toc469384007"/>
      <w:r>
        <w:rPr>
          <w:rFonts w:hint="eastAsia" w:hAnsi="宋体" w:eastAsia="宋体" w:cs="宋体"/>
          <w:b/>
          <w:bCs/>
          <w:color w:val="auto"/>
          <w:sz w:val="24"/>
          <w:szCs w:val="24"/>
          <w:highlight w:val="none"/>
        </w:rPr>
        <w:t>27  承包人劳务</w:t>
      </w:r>
      <w:bookmarkEnd w:id="71"/>
      <w:bookmarkEnd w:id="72"/>
    </w:p>
    <w:p w14:paraId="7E814D9D">
      <w:pPr>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27.1   </w:t>
      </w:r>
    </w:p>
    <w:p w14:paraId="78B9BD9C">
      <w:pPr>
        <w:widowControl/>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752448"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1117" name="000130"/>
                <wp:cNvGraphicFramePr/>
                <a:graphic xmlns:a="http://schemas.openxmlformats.org/drawingml/2006/main">
                  <a:graphicData uri="http://schemas.microsoft.com/office/word/2010/wordprocessingShape">
                    <wps:wsp>
                      <wps:cNvSpPr/>
                      <wps:spPr>
                        <a:xfrm>
                          <a:off x="0" y="0"/>
                          <a:ext cx="914400" cy="692150"/>
                        </a:xfrm>
                        <a:prstGeom prst="rect">
                          <a:avLst/>
                        </a:prstGeom>
                        <a:ln>
                          <a:noFill/>
                        </a:ln>
                      </wps:spPr>
                      <wps:txbx>
                        <w:txbxContent>
                          <w:p w14:paraId="76D9137A">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wps:txbx>
                      <wps:bodyPr wrap="square"/>
                    </wps:wsp>
                  </a:graphicData>
                </a:graphic>
              </wp:anchor>
            </w:drawing>
          </mc:Choice>
          <mc:Fallback>
            <w:pict>
              <v:rect id="000130" o:spid="_x0000_s1026" o:spt="1" style="position:absolute;left:0pt;margin-left:-9pt;margin-top:0.65pt;height:54.5pt;width:72pt;z-index:251752448;mso-width-relative:page;mso-height-relative:page;" filled="f" stroked="f" coordsize="21600,21600" o:gfxdata="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7V5BU9gAAAAJAQAADwAAAAAAAAABACAAAAAiAAAA&#10;ZHJzL2Rvd25yZXYueG1sUEsBAhQAFAAAAAgAh07iQBJ+q9+VAQAAOAMAAA4AAAAAAAAAAQAgAAAA&#10;JwEAAGRycy9lMm9Eb2MueG1sUEsFBgAAAAAGAAYAWQEAAC4FAAAAAA==&#10;">
                <v:fill on="f" focussize="0,0"/>
                <v:stroke on="f"/>
                <v:imagedata o:title=""/>
                <o:lock v:ext="edit" aspectratio="f"/>
                <v:textbox>
                  <w:txbxContent>
                    <w:p w14:paraId="76D9137A">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v:textbox>
              </v:rect>
            </w:pict>
          </mc:Fallback>
        </mc:AlternateContent>
      </w:r>
      <w:r>
        <w:rPr>
          <w:rFonts w:hint="eastAsia" w:ascii="宋体" w:hAnsi="宋体" w:eastAsia="宋体" w:cs="宋体"/>
          <w:color w:val="auto"/>
          <w:sz w:val="24"/>
          <w:highlight w:val="none"/>
        </w:rPr>
        <w:t>承包人应在接到开工令后28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14:paraId="130B3615">
      <w:pPr>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27.2 </w:t>
      </w:r>
      <w:r>
        <w:rPr>
          <w:rFonts w:hint="eastAsia" w:ascii="宋体" w:hAnsi="宋体" w:eastAsia="宋体" w:cs="宋体"/>
          <w:b/>
          <w:bCs/>
          <w:color w:val="auto"/>
          <w:sz w:val="24"/>
          <w:highlight w:val="none"/>
          <w:u w:val="dotted"/>
        </w:rPr>
        <w:t xml:space="preserve">                                                                                 </w:t>
      </w:r>
      <w:r>
        <w:rPr>
          <w:rFonts w:hint="eastAsia" w:ascii="宋体" w:hAnsi="宋体" w:eastAsia="宋体" w:cs="宋体"/>
          <w:b/>
          <w:bCs/>
          <w:color w:val="auto"/>
          <w:sz w:val="24"/>
          <w:highlight w:val="none"/>
        </w:rPr>
        <w:t xml:space="preserve">   </w:t>
      </w:r>
    </w:p>
    <w:p w14:paraId="208BA830">
      <w:pPr>
        <w:widowControl/>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75347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1118" name="000131"/>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5866FB19">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承包人人员的雇佣</w:t>
                            </w:r>
                          </w:p>
                        </w:txbxContent>
                      </wps:txbx>
                      <wps:bodyPr wrap="square"/>
                    </wps:wsp>
                  </a:graphicData>
                </a:graphic>
              </wp:anchor>
            </w:drawing>
          </mc:Choice>
          <mc:Fallback>
            <w:pict>
              <v:rect id="000131" o:spid="_x0000_s1026" o:spt="1" style="position:absolute;left:0pt;margin-left:-9pt;margin-top:0.65pt;height:31.2pt;width:72pt;z-index:251753472;mso-width-relative:page;mso-height-relative:page;" filled="f" stroked="f" coordsize="21600,21600" o:gfxdata="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YjukZ1wAAAAgBAAAPAAAAAAAAAAEAIAAAACIAAABk&#10;cnMvZG93bnJldi54bWxQSwECFAAUAAAACACHTuJArEj8ZJUBAAA4AwAADgAAAAAAAAABACAAAAAm&#10;AQAAZHJzL2Uyb0RvYy54bWxQSwUGAAAAAAYABgBZAQAALQUAAAAA&#10;">
                <v:fill on="f" focussize="0,0"/>
                <v:stroke on="f"/>
                <v:imagedata o:title=""/>
                <o:lock v:ext="edit" aspectratio="f"/>
                <v:textbox>
                  <w:txbxContent>
                    <w:p w14:paraId="5866FB19">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承包人人员的雇佣</w:t>
                      </w:r>
                    </w:p>
                  </w:txbxContent>
                </v:textbox>
              </v:rect>
            </w:pict>
          </mc:Fallback>
        </mc:AlternateContent>
      </w:r>
      <w:r>
        <w:rPr>
          <w:rFonts w:hint="eastAsia" w:ascii="宋体" w:hAnsi="宋体" w:eastAsia="宋体" w:cs="宋体"/>
          <w:color w:val="auto"/>
          <w:sz w:val="24"/>
          <w:highlight w:val="none"/>
        </w:rPr>
        <w:t>承包人除应雇佣投标文件中“主要人员一览表”中指明的人员外，也可以雇佣经监理工程师批准的其他人员，但不得从发包人或服务于发包人的人员中雇佣人员。</w:t>
      </w:r>
    </w:p>
    <w:p w14:paraId="71A593A0">
      <w:pPr>
        <w:tabs>
          <w:tab w:val="left" w:pos="1620"/>
        </w:tabs>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27.3  </w:t>
      </w:r>
      <w:r>
        <w:rPr>
          <w:rFonts w:hint="eastAsia" w:ascii="宋体" w:hAnsi="宋体" w:eastAsia="宋体" w:cs="宋体"/>
          <w:b/>
          <w:bCs/>
          <w:color w:val="auto"/>
          <w:sz w:val="24"/>
          <w:highlight w:val="none"/>
          <w:u w:val="dotted"/>
        </w:rPr>
        <w:t xml:space="preserve">                                                                                                        </w:t>
      </w:r>
    </w:p>
    <w:p w14:paraId="55868DA3">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754496"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1119" name="000132"/>
                <wp:cNvGraphicFramePr/>
                <a:graphic xmlns:a="http://schemas.openxmlformats.org/drawingml/2006/main">
                  <a:graphicData uri="http://schemas.microsoft.com/office/word/2010/wordprocessingShape">
                    <wps:wsp>
                      <wps:cNvSpPr/>
                      <wps:spPr>
                        <a:xfrm>
                          <a:off x="0" y="0"/>
                          <a:ext cx="914400" cy="495300"/>
                        </a:xfrm>
                        <a:prstGeom prst="rect">
                          <a:avLst/>
                        </a:prstGeom>
                        <a:ln>
                          <a:noFill/>
                        </a:ln>
                      </wps:spPr>
                      <wps:txbx>
                        <w:txbxContent>
                          <w:p w14:paraId="2F157EAC">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承包人对雇员应做的工作</w:t>
                            </w:r>
                          </w:p>
                        </w:txbxContent>
                      </wps:txbx>
                      <wps:bodyPr wrap="square"/>
                    </wps:wsp>
                  </a:graphicData>
                </a:graphic>
              </wp:anchor>
            </w:drawing>
          </mc:Choice>
          <mc:Fallback>
            <w:pict>
              <v:rect id="000132" o:spid="_x0000_s1026" o:spt="1" style="position:absolute;left:0pt;margin-left:-9pt;margin-top:4.7pt;height:39pt;width:72pt;z-index:251754496;mso-width-relative:page;mso-height-relative:page;" filled="f" stroked="f" coordsize="21600,21600" o:gfxdata="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I9hi6fZAAAACAEAAA8AAAAAAAAAAQAgAAAAIgAA&#10;AGRycy9kb3ducmV2LnhtbFBLAQIUABQAAAAIAIdO4kCJ4PmPlQEAADgDAAAOAAAAAAAAAAEAIAAA&#10;ACgBAABkcnMvZTJvRG9jLnhtbFBLBQYAAAAABgAGAFkBAAAvBQAAAAA=&#10;">
                <v:fill on="f" focussize="0,0"/>
                <v:stroke on="f"/>
                <v:imagedata o:title=""/>
                <o:lock v:ext="edit" aspectratio="f"/>
                <v:textbox>
                  <w:txbxContent>
                    <w:p w14:paraId="2F157EAC">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承包人对雇员应做的工作</w:t>
                      </w:r>
                    </w:p>
                  </w:txbxContent>
                </v:textbox>
              </v:rect>
            </w:pict>
          </mc:Fallback>
        </mc:AlternateContent>
      </w:r>
      <w:r>
        <w:rPr>
          <w:rFonts w:hint="eastAsia" w:ascii="宋体" w:hAnsi="宋体" w:eastAsia="宋体" w:cs="宋体"/>
          <w:color w:val="auto"/>
          <w:sz w:val="24"/>
          <w:highlight w:val="none"/>
        </w:rPr>
        <w:t>承包人应完善雇员的劳务注册手续，并与雇员订立劳动合同，明确双方的权利和义务。雇佣期间，承包人应做好下列工作：</w:t>
      </w:r>
    </w:p>
    <w:p w14:paraId="3837A6EC">
      <w:pPr>
        <w:tabs>
          <w:tab w:val="left" w:pos="1080"/>
          <w:tab w:val="left" w:pos="2160"/>
        </w:tabs>
        <w:spacing w:line="300" w:lineRule="auto"/>
        <w:ind w:left="1619"/>
        <w:rPr>
          <w:rFonts w:hint="eastAsia" w:ascii="宋体" w:hAnsi="宋体" w:eastAsia="宋体" w:cs="宋体"/>
          <w:color w:val="auto"/>
          <w:sz w:val="24"/>
          <w:highlight w:val="none"/>
        </w:rPr>
      </w:pPr>
      <w:r>
        <w:rPr>
          <w:rFonts w:hint="eastAsia" w:ascii="宋体" w:hAnsi="宋体" w:eastAsia="宋体" w:cs="宋体"/>
          <w:color w:val="auto"/>
          <w:sz w:val="24"/>
          <w:highlight w:val="none"/>
        </w:rPr>
        <w:t>(1)负责为雇员提供必要的食宿及各种生活设施，采取合理的卫生、劳动保护和安全防护措施，保证雇员的健康和安全；</w:t>
      </w:r>
    </w:p>
    <w:p w14:paraId="55E42CF7">
      <w:pPr>
        <w:tabs>
          <w:tab w:val="left" w:pos="1080"/>
          <w:tab w:val="left" w:pos="2160"/>
        </w:tabs>
        <w:spacing w:line="300" w:lineRule="auto"/>
        <w:ind w:firstLine="1680" w:firstLineChars="700"/>
        <w:rPr>
          <w:rFonts w:hint="eastAsia" w:ascii="宋体" w:hAnsi="宋体" w:eastAsia="宋体" w:cs="宋体"/>
          <w:color w:val="auto"/>
          <w:sz w:val="24"/>
          <w:highlight w:val="none"/>
        </w:rPr>
      </w:pPr>
      <w:r>
        <w:rPr>
          <w:rFonts w:hint="eastAsia" w:ascii="宋体" w:hAnsi="宋体" w:eastAsia="宋体" w:cs="宋体"/>
          <w:color w:val="auto"/>
          <w:sz w:val="24"/>
          <w:highlight w:val="none"/>
        </w:rPr>
        <w:t>(2)保障雇员的合法权利和人身安全，及时采取有效措施抢救和</w:t>
      </w:r>
    </w:p>
    <w:p w14:paraId="47C25A03">
      <w:pPr>
        <w:tabs>
          <w:tab w:val="left" w:pos="1080"/>
          <w:tab w:val="left" w:pos="2160"/>
        </w:tabs>
        <w:spacing w:line="300" w:lineRule="auto"/>
        <w:ind w:firstLine="1680" w:firstLineChars="700"/>
        <w:rPr>
          <w:rFonts w:hint="eastAsia" w:ascii="宋体" w:hAnsi="宋体" w:eastAsia="宋体" w:cs="宋体"/>
          <w:color w:val="auto"/>
          <w:sz w:val="24"/>
          <w:highlight w:val="none"/>
        </w:rPr>
      </w:pPr>
      <w:r>
        <w:rPr>
          <w:rFonts w:hint="eastAsia" w:ascii="宋体" w:hAnsi="宋体" w:eastAsia="宋体" w:cs="宋体"/>
          <w:color w:val="auto"/>
          <w:sz w:val="24"/>
          <w:highlight w:val="none"/>
        </w:rPr>
        <w:t>治疗施工中受伤害的雇员；</w:t>
      </w:r>
    </w:p>
    <w:p w14:paraId="7D575C7F">
      <w:pPr>
        <w:tabs>
          <w:tab w:val="left" w:pos="2160"/>
        </w:tabs>
        <w:spacing w:line="300" w:lineRule="auto"/>
        <w:ind w:left="1617"/>
        <w:rPr>
          <w:rFonts w:hint="eastAsia" w:ascii="宋体" w:hAnsi="宋体" w:eastAsia="宋体" w:cs="宋体"/>
          <w:color w:val="auto"/>
          <w:sz w:val="24"/>
          <w:highlight w:val="none"/>
        </w:rPr>
      </w:pPr>
      <w:r>
        <w:rPr>
          <w:rFonts w:hint="eastAsia" w:ascii="宋体" w:hAnsi="宋体" w:eastAsia="宋体" w:cs="宋体"/>
          <w:color w:val="auto"/>
          <w:sz w:val="24"/>
          <w:highlight w:val="none"/>
        </w:rPr>
        <w:t>(3)充分考虑和保障雇员的休息时间和法定节假日休假时间，尊重雇员的宗教信仰和风俗习惯；</w:t>
      </w:r>
    </w:p>
    <w:p w14:paraId="4DB2FE5E">
      <w:pPr>
        <w:tabs>
          <w:tab w:val="left" w:pos="1080"/>
          <w:tab w:val="left" w:pos="2160"/>
        </w:tabs>
        <w:spacing w:line="300" w:lineRule="auto"/>
        <w:ind w:left="1617"/>
        <w:rPr>
          <w:rFonts w:hint="eastAsia" w:ascii="宋体" w:hAnsi="宋体" w:eastAsia="宋体" w:cs="宋体"/>
          <w:color w:val="auto"/>
          <w:sz w:val="24"/>
          <w:highlight w:val="none"/>
        </w:rPr>
      </w:pPr>
      <w:r>
        <w:rPr>
          <w:rFonts w:hint="eastAsia" w:ascii="宋体" w:hAnsi="宋体" w:eastAsia="宋体" w:cs="宋体"/>
          <w:color w:val="auto"/>
          <w:sz w:val="24"/>
          <w:highlight w:val="none"/>
        </w:rPr>
        <w:t>(4)在施工现场主要出入口处设榜公布雇员工资发放时间和投诉电话，以及合同工程中标价格、进度款支付情况。</w:t>
      </w:r>
    </w:p>
    <w:p w14:paraId="78F7D695">
      <w:pPr>
        <w:tabs>
          <w:tab w:val="left" w:pos="1080"/>
          <w:tab w:val="left" w:pos="2160"/>
        </w:tabs>
        <w:spacing w:line="300" w:lineRule="auto"/>
        <w:ind w:left="1617"/>
        <w:rPr>
          <w:rFonts w:hint="eastAsia" w:ascii="宋体" w:hAnsi="宋体" w:eastAsia="宋体" w:cs="宋体"/>
          <w:color w:val="auto"/>
          <w:sz w:val="24"/>
          <w:highlight w:val="none"/>
        </w:rPr>
      </w:pPr>
      <w:r>
        <w:rPr>
          <w:rFonts w:hint="eastAsia" w:ascii="宋体" w:hAnsi="宋体" w:eastAsia="宋体" w:cs="宋体"/>
          <w:color w:val="auto"/>
          <w:sz w:val="24"/>
          <w:highlight w:val="none"/>
        </w:rPr>
        <w:t>(5)督促雇员和发包人现场人员应佩戴由合同双方当事人共同盖章、签发的工作证上岗；</w:t>
      </w:r>
    </w:p>
    <w:p w14:paraId="66C7D4A2">
      <w:pPr>
        <w:tabs>
          <w:tab w:val="left" w:pos="1080"/>
          <w:tab w:val="left" w:pos="2160"/>
        </w:tabs>
        <w:spacing w:line="300" w:lineRule="auto"/>
        <w:ind w:left="1619"/>
        <w:rPr>
          <w:rFonts w:hint="eastAsia" w:ascii="宋体" w:hAnsi="宋体" w:eastAsia="宋体" w:cs="宋体"/>
          <w:color w:val="auto"/>
          <w:sz w:val="24"/>
          <w:highlight w:val="none"/>
        </w:rPr>
      </w:pPr>
      <w:r>
        <w:rPr>
          <w:rFonts w:hint="eastAsia" w:ascii="宋体" w:hAnsi="宋体" w:eastAsia="宋体" w:cs="宋体"/>
          <w:color w:val="auto"/>
          <w:sz w:val="24"/>
          <w:highlight w:val="none"/>
        </w:rPr>
        <w:t>(6)办理雇员的意外伤害等一切保险，处理雇员因工伤亡事故的善后事宜。</w:t>
      </w:r>
    </w:p>
    <w:p w14:paraId="44222022">
      <w:pPr>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27.4  </w:t>
      </w:r>
      <w:r>
        <w:rPr>
          <w:rFonts w:hint="eastAsia" w:ascii="宋体" w:hAnsi="宋体" w:eastAsia="宋体" w:cs="宋体"/>
          <w:b/>
          <w:bCs/>
          <w:color w:val="auto"/>
          <w:sz w:val="24"/>
          <w:highlight w:val="none"/>
          <w:u w:val="dotted"/>
        </w:rPr>
        <w:t xml:space="preserve">                                                                                                        </w:t>
      </w:r>
    </w:p>
    <w:p w14:paraId="29DD9648">
      <w:pPr>
        <w:pStyle w:val="35"/>
        <w:spacing w:line="300" w:lineRule="auto"/>
        <w:ind w:left="1619" w:leftChars="771"/>
        <w:rPr>
          <w:rFonts w:hint="eastAsia" w:ascii="宋体" w:eastAsia="宋体" w:cs="宋体"/>
          <w:color w:val="auto"/>
          <w:highlight w:val="none"/>
        </w:rPr>
      </w:pPr>
      <w:r>
        <w:rPr>
          <w:rFonts w:hint="eastAsia" w:ascii="宋体" w:eastAsia="宋体" w:cs="宋体"/>
          <w:color w:val="auto"/>
          <w:highlight w:val="none"/>
        </w:rPr>
        <mc:AlternateContent>
          <mc:Choice Requires="wps">
            <w:drawing>
              <wp:anchor distT="0" distB="0" distL="0" distR="0" simplePos="0" relativeHeight="251755520"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1120" name="000133"/>
                <wp:cNvGraphicFramePr/>
                <a:graphic xmlns:a="http://schemas.openxmlformats.org/drawingml/2006/main">
                  <a:graphicData uri="http://schemas.microsoft.com/office/word/2010/wordprocessingShape">
                    <wps:wsp>
                      <wps:cNvSpPr/>
                      <wps:spPr>
                        <a:xfrm>
                          <a:off x="0" y="0"/>
                          <a:ext cx="914400" cy="693420"/>
                        </a:xfrm>
                        <a:prstGeom prst="rect">
                          <a:avLst/>
                        </a:prstGeom>
                        <a:ln>
                          <a:noFill/>
                        </a:ln>
                      </wps:spPr>
                      <wps:txbx>
                        <w:txbxContent>
                          <w:p w14:paraId="3719BF5C">
                            <w:pPr>
                              <w:spacing w:line="240" w:lineRule="exact"/>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承包人特殊时间施工的批准</w:t>
                            </w:r>
                          </w:p>
                        </w:txbxContent>
                      </wps:txbx>
                      <wps:bodyPr wrap="square"/>
                    </wps:wsp>
                  </a:graphicData>
                </a:graphic>
              </wp:anchor>
            </w:drawing>
          </mc:Choice>
          <mc:Fallback>
            <w:pict>
              <v:rect id="000133" o:spid="_x0000_s1026" o:spt="1" style="position:absolute;left:0pt;margin-left:-9pt;margin-top:0pt;height:54.6pt;width:72pt;z-index:251755520;mso-width-relative:page;mso-height-relative:page;" filled="f" stroked="f" coordsize="21600,21600" o:gfxdata="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&#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AaJS82AAAAAgBAAAPAAAAAAAAAAEAIAAAACIAAABk&#10;cnMvZG93bnJldi54bWxQSwECFAAUAAAACACHTuJALMRjkJQBAAA4AwAADgAAAAAAAAABACAAAAAn&#10;AQAAZHJzL2Uyb0RvYy54bWxQSwUGAAAAAAYABgBZAQAALQUAAAAA&#10;">
                <v:fill on="f" focussize="0,0"/>
                <v:stroke on="f"/>
                <v:imagedata o:title=""/>
                <o:lock v:ext="edit" aspectratio="f"/>
                <v:textbox>
                  <w:txbxContent>
                    <w:p w14:paraId="3719BF5C">
                      <w:pPr>
                        <w:spacing w:line="240" w:lineRule="exact"/>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承包人特殊时间施工的批准</w:t>
                      </w:r>
                    </w:p>
                  </w:txbxContent>
                </v:textbox>
              </v:rect>
            </w:pict>
          </mc:Fallback>
        </mc:AlternateContent>
      </w:r>
      <w:r>
        <w:rPr>
          <w:rFonts w:hint="eastAsia" w:ascii="宋体" w:eastAsia="宋体" w:cs="宋体"/>
          <w:color w:val="auto"/>
          <w:highlight w:val="none"/>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14:paraId="3F6CA966">
      <w:pPr>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27.5  </w:t>
      </w:r>
      <w:r>
        <w:rPr>
          <w:rFonts w:hint="eastAsia" w:ascii="宋体" w:hAnsi="宋体" w:eastAsia="宋体" w:cs="宋体"/>
          <w:b/>
          <w:bCs/>
          <w:color w:val="auto"/>
          <w:sz w:val="24"/>
          <w:highlight w:val="none"/>
          <w:u w:val="dotted"/>
        </w:rPr>
        <w:t xml:space="preserve">                                                                                                        </w:t>
      </w:r>
    </w:p>
    <w:p w14:paraId="4A936DB1">
      <w:pPr>
        <w:pStyle w:val="35"/>
        <w:spacing w:line="300" w:lineRule="auto"/>
        <w:ind w:left="1619" w:leftChars="771"/>
        <w:rPr>
          <w:rFonts w:hint="eastAsia" w:ascii="宋体" w:eastAsia="宋体" w:cs="宋体"/>
          <w:color w:val="auto"/>
          <w:highlight w:val="none"/>
        </w:rPr>
      </w:pPr>
      <w:r>
        <w:rPr>
          <w:rFonts w:hint="eastAsia" w:ascii="宋体" w:eastAsia="宋体" w:cs="宋体"/>
          <w:color w:val="auto"/>
          <w:highlight w:val="none"/>
        </w:rPr>
        <mc:AlternateContent>
          <mc:Choice Requires="wps">
            <w:drawing>
              <wp:anchor distT="0" distB="0" distL="0" distR="0" simplePos="0" relativeHeight="251756544"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1121" name="000134"/>
                <wp:cNvGraphicFramePr/>
                <a:graphic xmlns:a="http://schemas.openxmlformats.org/drawingml/2006/main">
                  <a:graphicData uri="http://schemas.microsoft.com/office/word/2010/wordprocessingShape">
                    <wps:wsp>
                      <wps:cNvSpPr/>
                      <wps:spPr>
                        <a:xfrm>
                          <a:off x="0" y="0"/>
                          <a:ext cx="914400" cy="480695"/>
                        </a:xfrm>
                        <a:prstGeom prst="rect">
                          <a:avLst/>
                        </a:prstGeom>
                        <a:ln>
                          <a:noFill/>
                        </a:ln>
                      </wps:spPr>
                      <wps:txbx>
                        <w:txbxContent>
                          <w:p w14:paraId="44BF2D06">
                            <w:pPr>
                              <w:spacing w:line="240" w:lineRule="exact"/>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承包人向雇员支付劳务工资</w:t>
                            </w:r>
                          </w:p>
                        </w:txbxContent>
                      </wps:txbx>
                      <wps:bodyPr wrap="square"/>
                    </wps:wsp>
                  </a:graphicData>
                </a:graphic>
              </wp:anchor>
            </w:drawing>
          </mc:Choice>
          <mc:Fallback>
            <w:pict>
              <v:rect id="000134" o:spid="_x0000_s1026" o:spt="1" style="position:absolute;left:0pt;margin-left:-9pt;margin-top:0pt;height:37.85pt;width:72pt;z-index:251756544;mso-width-relative:page;mso-height-relative:page;" filled="f" stroked="f" coordsize="21600,21600" o:gfxdata="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qodAVtgAAAAHAQAADwAAAAAAAAABACAAAAAiAAAA&#10;ZHJzL2Rvd25yZXYueG1sUEsBAhQAFAAAAAgAh07iQC20ShyVAQAAOAMAAA4AAAAAAAAAAQAgAAAA&#10;JwEAAGRycy9lMm9Eb2MueG1sUEsFBgAAAAAGAAYAWQEAAC4FAAAAAA==&#10;">
                <v:fill on="f" focussize="0,0"/>
                <v:stroke on="f"/>
                <v:imagedata o:title=""/>
                <o:lock v:ext="edit" aspectratio="f"/>
                <v:textbox>
                  <w:txbxContent>
                    <w:p w14:paraId="44BF2D06">
                      <w:pPr>
                        <w:spacing w:line="240" w:lineRule="exact"/>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承包人向雇员支付劳务工资</w:t>
                      </w:r>
                    </w:p>
                  </w:txbxContent>
                </v:textbox>
              </v:rect>
            </w:pict>
          </mc:Fallback>
        </mc:AlternateContent>
      </w:r>
      <w:r>
        <w:rPr>
          <w:rFonts w:hint="eastAsia" w:ascii="宋体" w:eastAsia="宋体" w:cs="宋体"/>
          <w:color w:val="auto"/>
          <w:highlight w:val="none"/>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14:paraId="0F17CEB6">
      <w:pPr>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27.6  </w:t>
      </w:r>
      <w:r>
        <w:rPr>
          <w:rFonts w:hint="eastAsia" w:ascii="宋体" w:hAnsi="宋体" w:eastAsia="宋体" w:cs="宋体"/>
          <w:b/>
          <w:bCs/>
          <w:color w:val="auto"/>
          <w:sz w:val="24"/>
          <w:highlight w:val="none"/>
          <w:u w:val="dotted"/>
        </w:rPr>
        <w:t xml:space="preserve">                                                                                                        </w:t>
      </w:r>
    </w:p>
    <w:p w14:paraId="36B0DEDC">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757568"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1122" name="000135"/>
                <wp:cNvGraphicFramePr/>
                <a:graphic xmlns:a="http://schemas.openxmlformats.org/drawingml/2006/main">
                  <a:graphicData uri="http://schemas.microsoft.com/office/word/2010/wordprocessingShape">
                    <wps:wsp>
                      <wps:cNvSpPr/>
                      <wps:spPr>
                        <a:xfrm>
                          <a:off x="0" y="0"/>
                          <a:ext cx="914400" cy="891540"/>
                        </a:xfrm>
                        <a:prstGeom prst="rect">
                          <a:avLst/>
                        </a:prstGeom>
                        <a:ln>
                          <a:noFill/>
                        </a:ln>
                      </wps:spPr>
                      <wps:txbx>
                        <w:txbxContent>
                          <w:p w14:paraId="37D767C6">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wps:txbx>
                      <wps:bodyPr wrap="square"/>
                    </wps:wsp>
                  </a:graphicData>
                </a:graphic>
              </wp:anchor>
            </w:drawing>
          </mc:Choice>
          <mc:Fallback>
            <w:pict>
              <v:rect id="000135" o:spid="_x0000_s1026" o:spt="1" style="position:absolute;left:0pt;margin-left:-9pt;margin-top:0pt;height:70.2pt;width:72pt;z-index:251757568;mso-width-relative:page;mso-height-relative:page;" filled="f" stroked="f" coordsize="21600,21600" o:gfxdata="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JyKDcvYAAAACAEAAA8AAAAAAAAAAQAgAAAAIgAA&#10;AGRycy9kb3ducmV2LnhtbFBLAQIUABQAAAAIAIdO4kCe5cb4lgEAADgDAAAOAAAAAAAAAAEAIAAA&#10;ACcBAABkcnMvZTJvRG9jLnhtbFBLBQYAAAAABgAGAFkBAAAvBQAAAAA=&#10;">
                <v:fill on="f" focussize="0,0"/>
                <v:stroke on="f"/>
                <v:imagedata o:title=""/>
                <o:lock v:ext="edit" aspectratio="f"/>
                <v:textbox>
                  <w:txbxContent>
                    <w:p w14:paraId="37D767C6">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v:textbox>
              </v:rect>
            </w:pict>
          </mc:Fallback>
        </mc:AlternateContent>
      </w:r>
      <w:r>
        <w:rPr>
          <w:rFonts w:hint="eastAsia" w:ascii="宋体" w:hAnsi="宋体" w:eastAsia="宋体" w:cs="宋体"/>
          <w:color w:val="auto"/>
          <w:sz w:val="24"/>
          <w:highlight w:val="none"/>
        </w:rPr>
        <w:t>承包人的雇员应是在行业或职业内具有相应资格、技能和经验的人员。承包人应向施工场地派遣足够数量的下列雇员：</w:t>
      </w:r>
    </w:p>
    <w:p w14:paraId="3F18530D">
      <w:pPr>
        <w:numPr>
          <w:ilvl w:val="1"/>
          <w:numId w:val="12"/>
        </w:numPr>
        <w:tabs>
          <w:tab w:val="left" w:pos="2160"/>
          <w:tab w:val="left" w:pos="2340"/>
        </w:tabs>
        <w:spacing w:line="300" w:lineRule="auto"/>
        <w:ind w:left="1619" w:leftChars="771"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具有相应资格的专业技工和合格的普工； </w:t>
      </w:r>
    </w:p>
    <w:p w14:paraId="79C5BA8D">
      <w:pPr>
        <w:numPr>
          <w:ilvl w:val="1"/>
          <w:numId w:val="12"/>
        </w:numPr>
        <w:tabs>
          <w:tab w:val="left" w:pos="2160"/>
          <w:tab w:val="left" w:pos="2340"/>
        </w:tabs>
        <w:spacing w:line="300" w:lineRule="auto"/>
        <w:ind w:left="1619" w:leftChars="771"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具有相应施工经验的技术人员；</w:t>
      </w:r>
    </w:p>
    <w:p w14:paraId="28816A34">
      <w:pPr>
        <w:numPr>
          <w:ilvl w:val="1"/>
          <w:numId w:val="12"/>
        </w:numPr>
        <w:tabs>
          <w:tab w:val="left" w:pos="2160"/>
          <w:tab w:val="left" w:pos="2340"/>
        </w:tabs>
        <w:spacing w:line="300" w:lineRule="auto"/>
        <w:ind w:left="1619" w:leftChars="771"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具有相应岗位资格的各级管理人员。</w:t>
      </w:r>
    </w:p>
    <w:p w14:paraId="5159E6A2">
      <w:pPr>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27.7  </w:t>
      </w:r>
      <w:r>
        <w:rPr>
          <w:rFonts w:hint="eastAsia" w:ascii="宋体" w:hAnsi="宋体" w:eastAsia="宋体" w:cs="宋体"/>
          <w:b/>
          <w:bCs/>
          <w:color w:val="auto"/>
          <w:sz w:val="24"/>
          <w:highlight w:val="none"/>
          <w:u w:val="dotted"/>
        </w:rPr>
        <w:t xml:space="preserve">                                                                                                        </w:t>
      </w:r>
    </w:p>
    <w:p w14:paraId="126A00AF">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758592"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1123" name="000136"/>
                <wp:cNvGraphicFramePr/>
                <a:graphic xmlns:a="http://schemas.openxmlformats.org/drawingml/2006/main">
                  <a:graphicData uri="http://schemas.microsoft.com/office/word/2010/wordprocessingShape">
                    <wps:wsp>
                      <wps:cNvSpPr/>
                      <wps:spPr>
                        <a:xfrm>
                          <a:off x="0" y="0"/>
                          <a:ext cx="914400" cy="511175"/>
                        </a:xfrm>
                        <a:prstGeom prst="rect">
                          <a:avLst/>
                        </a:prstGeom>
                        <a:ln>
                          <a:noFill/>
                        </a:ln>
                      </wps:spPr>
                      <wps:txbx>
                        <w:txbxContent>
                          <w:p w14:paraId="7BD2317A">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承包人雇员安排和撤换</w:t>
                            </w:r>
                          </w:p>
                        </w:txbxContent>
                      </wps:txbx>
                      <wps:bodyPr wrap="square"/>
                    </wps:wsp>
                  </a:graphicData>
                </a:graphic>
              </wp:anchor>
            </w:drawing>
          </mc:Choice>
          <mc:Fallback>
            <w:pict>
              <v:rect id="000136" o:spid="_x0000_s1026" o:spt="1" style="position:absolute;left:0pt;margin-left:-9pt;margin-top:0pt;height:40.25pt;width:72pt;z-index:251758592;mso-width-relative:page;mso-height-relative:page;" filled="f" stroked="f" coordsize="21600,21600" o:gfxdata="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at5rRdgAAAAHAQAADwAAAAAAAAABACAAAAAiAAAA&#10;ZHJzL2Rvd25yZXYueG1sUEsBAhQAFAAAAAgAh07iQKzZBkqVAQAAOAMAAA4AAAAAAAAAAQAgAAAA&#10;JwEAAGRycy9lMm9Eb2MueG1sUEsFBgAAAAAGAAYAWQEAAC4FAAAAAA==&#10;">
                <v:fill on="f" focussize="0,0"/>
                <v:stroke on="f"/>
                <v:imagedata o:title=""/>
                <o:lock v:ext="edit" aspectratio="f"/>
                <v:textbox>
                  <w:txbxContent>
                    <w:p w14:paraId="7BD2317A">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承包人雇员安排和撤换</w:t>
                      </w:r>
                    </w:p>
                  </w:txbxContent>
                </v:textbox>
              </v:rect>
            </w:pict>
          </mc:Fallback>
        </mc:AlternateContent>
      </w:r>
      <w:r>
        <w:rPr>
          <w:rFonts w:hint="eastAsia" w:ascii="宋体" w:hAnsi="宋体" w:eastAsia="宋体" w:cs="宋体"/>
          <w:color w:val="auto"/>
          <w:sz w:val="24"/>
          <w:highlight w:val="none"/>
        </w:rPr>
        <w:t>承包人安排在施工场地的雇员应保持相对稳定，但有下列行为的任何承包人雇员，监理工程师可要求承包人将其撤换：</w:t>
      </w:r>
    </w:p>
    <w:p w14:paraId="35C19EB0">
      <w:pPr>
        <w:numPr>
          <w:ilvl w:val="0"/>
          <w:numId w:val="13"/>
        </w:numPr>
        <w:tabs>
          <w:tab w:val="left" w:pos="2160"/>
        </w:tabs>
        <w:spacing w:line="30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经常行为不当，或工作漫不经心；</w:t>
      </w:r>
    </w:p>
    <w:p w14:paraId="5BF054E3">
      <w:pPr>
        <w:numPr>
          <w:ilvl w:val="0"/>
          <w:numId w:val="13"/>
        </w:numPr>
        <w:tabs>
          <w:tab w:val="left" w:pos="2160"/>
        </w:tabs>
        <w:spacing w:line="30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无能力履行义务或玩忽职守；</w:t>
      </w:r>
    </w:p>
    <w:p w14:paraId="01E8D075">
      <w:pPr>
        <w:numPr>
          <w:ilvl w:val="0"/>
          <w:numId w:val="13"/>
        </w:numPr>
        <w:tabs>
          <w:tab w:val="left" w:pos="2160"/>
        </w:tabs>
        <w:spacing w:line="30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不遵守合同的约定；</w:t>
      </w:r>
    </w:p>
    <w:p w14:paraId="170C1B66">
      <w:pPr>
        <w:numPr>
          <w:ilvl w:val="0"/>
          <w:numId w:val="13"/>
        </w:numPr>
        <w:tabs>
          <w:tab w:val="left" w:pos="2160"/>
        </w:tabs>
        <w:spacing w:line="30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有损安全、健康和不利于环境保护的行为。</w:t>
      </w:r>
    </w:p>
    <w:p w14:paraId="1524E3E3">
      <w:pPr>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27.8  </w:t>
      </w:r>
      <w:r>
        <w:rPr>
          <w:rFonts w:hint="eastAsia" w:ascii="宋体" w:hAnsi="宋体" w:eastAsia="宋体" w:cs="宋体"/>
          <w:b/>
          <w:bCs/>
          <w:color w:val="auto"/>
          <w:sz w:val="24"/>
          <w:highlight w:val="none"/>
          <w:u w:val="dotted"/>
        </w:rPr>
        <w:t xml:space="preserve">                                                                                                        </w:t>
      </w:r>
    </w:p>
    <w:p w14:paraId="19ADC8BF">
      <w:pPr>
        <w:pStyle w:val="35"/>
        <w:spacing w:line="300" w:lineRule="auto"/>
        <w:ind w:left="1619" w:leftChars="771"/>
        <w:rPr>
          <w:rFonts w:hint="eastAsia" w:ascii="宋体" w:eastAsia="宋体" w:cs="宋体"/>
          <w:color w:val="auto"/>
          <w:highlight w:val="none"/>
        </w:rPr>
      </w:pPr>
      <w:r>
        <w:rPr>
          <w:rFonts w:hint="eastAsia" w:ascii="宋体" w:eastAsia="宋体" w:cs="宋体"/>
          <w:color w:val="auto"/>
          <w:highlight w:val="none"/>
        </w:rPr>
        <mc:AlternateContent>
          <mc:Choice Requires="wps">
            <w:drawing>
              <wp:anchor distT="0" distB="0" distL="0" distR="0" simplePos="0" relativeHeight="251759616"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1124" name="000137"/>
                <wp:cNvGraphicFramePr/>
                <a:graphic xmlns:a="http://schemas.openxmlformats.org/drawingml/2006/main">
                  <a:graphicData uri="http://schemas.microsoft.com/office/word/2010/wordprocessingShape">
                    <wps:wsp>
                      <wps:cNvSpPr/>
                      <wps:spPr>
                        <a:xfrm>
                          <a:off x="0" y="0"/>
                          <a:ext cx="914400" cy="434975"/>
                        </a:xfrm>
                        <a:prstGeom prst="rect">
                          <a:avLst/>
                        </a:prstGeom>
                        <a:ln>
                          <a:noFill/>
                        </a:ln>
                      </wps:spPr>
                      <wps:txbx>
                        <w:txbxContent>
                          <w:p w14:paraId="05D57580">
                            <w:pPr>
                              <w:spacing w:line="240" w:lineRule="exact"/>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承包人对雇员的保护</w:t>
                            </w:r>
                          </w:p>
                        </w:txbxContent>
                      </wps:txbx>
                      <wps:bodyPr wrap="square"/>
                    </wps:wsp>
                  </a:graphicData>
                </a:graphic>
              </wp:anchor>
            </w:drawing>
          </mc:Choice>
          <mc:Fallback>
            <w:pict>
              <v:rect id="000137" o:spid="_x0000_s1026" o:spt="1" style="position:absolute;left:0pt;margin-left:-9pt;margin-top:0pt;height:34.25pt;width:72pt;z-index:251759616;mso-width-relative:page;mso-height-relative:page;" filled="f" stroked="f" coordsize="21600,21600" o:gfxdata="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aAR/C9cAAAAHAQAADwAAAAAAAAABACAAAAAiAAAA&#10;ZHJzL2Rvd25yZXYueG1sUEsBAhQAFAAAAAgAh07iQFp2wgeWAQAAOAMAAA4AAAAAAAAAAQAgAAAA&#10;JgEAAGRycy9lMm9Eb2MueG1sUEsFBgAAAAAGAAYAWQEAAC4FAAAAAA==&#10;">
                <v:fill on="f" focussize="0,0"/>
                <v:stroke on="f"/>
                <v:imagedata o:title=""/>
                <o:lock v:ext="edit" aspectratio="f"/>
                <v:textbox>
                  <w:txbxContent>
                    <w:p w14:paraId="05D57580">
                      <w:pPr>
                        <w:spacing w:line="240" w:lineRule="exact"/>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承包人对雇员的保护</w:t>
                      </w:r>
                    </w:p>
                  </w:txbxContent>
                </v:textbox>
              </v:rect>
            </w:pict>
          </mc:Fallback>
        </mc:AlternateContent>
      </w:r>
      <w:r>
        <w:rPr>
          <w:rFonts w:hint="eastAsia" w:ascii="宋体" w:eastAsia="宋体" w:cs="宋体"/>
          <w:color w:val="auto"/>
          <w:highlight w:val="none"/>
        </w:rPr>
        <w:t>承包人应自始至终采取各种合理的预防措施，防止雇员内部发生打斗和任何无序、非法的不良行为，以确保现场安定和保护现场及邻近人员的生命、财产安全。</w:t>
      </w:r>
    </w:p>
    <w:p w14:paraId="5E72399E">
      <w:pPr>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u w:val="single"/>
        </w:rPr>
        <w:t xml:space="preserve">                                                                                                              </w:t>
      </w:r>
    </w:p>
    <w:p w14:paraId="28040F1E">
      <w:pPr>
        <w:pStyle w:val="22"/>
        <w:adjustRightInd w:val="0"/>
        <w:snapToGrid w:val="0"/>
        <w:spacing w:line="300" w:lineRule="auto"/>
        <w:ind w:right="-238"/>
        <w:jc w:val="center"/>
        <w:outlineLvl w:val="1"/>
        <w:rPr>
          <w:rFonts w:hint="eastAsia" w:hAnsi="宋体" w:eastAsia="宋体" w:cs="宋体"/>
          <w:b/>
          <w:bCs/>
          <w:color w:val="auto"/>
          <w:sz w:val="24"/>
          <w:szCs w:val="24"/>
          <w:highlight w:val="none"/>
        </w:rPr>
      </w:pPr>
      <w:bookmarkStart w:id="73" w:name="_Toc469384008"/>
      <w:bookmarkStart w:id="74" w:name="_Toc46860829"/>
      <w:r>
        <w:rPr>
          <w:rFonts w:hint="eastAsia" w:hAnsi="宋体" w:eastAsia="宋体" w:cs="宋体"/>
          <w:b/>
          <w:bCs/>
          <w:color w:val="auto"/>
          <w:sz w:val="24"/>
          <w:szCs w:val="24"/>
          <w:highlight w:val="none"/>
        </w:rPr>
        <w:t>三、担保、保险与风险</w:t>
      </w:r>
      <w:bookmarkEnd w:id="73"/>
      <w:bookmarkEnd w:id="74"/>
    </w:p>
    <w:p w14:paraId="6C774D35">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75" w:name="_Toc46860830"/>
      <w:bookmarkStart w:id="76" w:name="_Toc469384009"/>
      <w:r>
        <w:rPr>
          <w:rFonts w:hint="eastAsia" w:hAnsi="宋体" w:eastAsia="宋体" w:cs="宋体"/>
          <w:b/>
          <w:bCs/>
          <w:color w:val="auto"/>
          <w:sz w:val="24"/>
          <w:szCs w:val="24"/>
          <w:highlight w:val="none"/>
        </w:rPr>
        <w:t>28  工程担保</w:t>
      </w:r>
      <w:bookmarkEnd w:id="75"/>
      <w:bookmarkEnd w:id="76"/>
    </w:p>
    <w:p w14:paraId="19F3CF26">
      <w:pPr>
        <w:pStyle w:val="22"/>
        <w:tabs>
          <w:tab w:val="left" w:pos="1320"/>
        </w:tabs>
        <w:adjustRightInd w:val="0"/>
        <w:snapToGrid w:val="0"/>
        <w:spacing w:line="300" w:lineRule="auto"/>
        <w:ind w:right="-240"/>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760640"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1125" name="000138"/>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14B47B2F">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承包人提供履约担保</w:t>
                            </w:r>
                          </w:p>
                        </w:txbxContent>
                      </wps:txbx>
                      <wps:bodyPr wrap="square"/>
                    </wps:wsp>
                  </a:graphicData>
                </a:graphic>
              </wp:anchor>
            </w:drawing>
          </mc:Choice>
          <mc:Fallback>
            <w:pict>
              <v:rect id="000138" o:spid="_x0000_s1026" o:spt="1" style="position:absolute;left:0pt;margin-left:-9pt;margin-top:19.2pt;height:31.2pt;width:72pt;z-index:251760640;mso-width-relative:page;mso-height-relative:page;" filled="f" stroked="f" coordsize="21600,21600" o:gfxdata="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7GMaNdoAAAAKAQAADwAAAAAAAAABACAAAAAi&#10;AAAAZHJzL2Rvd25yZXYueG1sUEsBAhQAFAAAAAgAh07iQKzoCCmWAQAAOAMAAA4AAAAAAAAAAQAg&#10;AAAAKQEAAGRycy9lMm9Eb2MueG1sUEsFBgAAAAAGAAYAWQEAADEFAAAAAA==&#10;">
                <v:fill on="f" focussize="0,0"/>
                <v:stroke on="f"/>
                <v:imagedata o:title=""/>
                <o:lock v:ext="edit" aspectratio="f"/>
                <v:textbox>
                  <w:txbxContent>
                    <w:p w14:paraId="14B47B2F">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承包人提供履约担保</w:t>
                      </w:r>
                    </w:p>
                  </w:txbxContent>
                </v:textbox>
              </v:rect>
            </w:pict>
          </mc:Fallback>
        </mc:AlternateContent>
      </w:r>
      <w:r>
        <w:rPr>
          <w:rFonts w:hint="eastAsia" w:hAnsi="宋体" w:eastAsia="宋体" w:cs="宋体"/>
          <w:b/>
          <w:bCs/>
          <w:color w:val="auto"/>
          <w:sz w:val="24"/>
          <w:szCs w:val="24"/>
          <w:highlight w:val="none"/>
        </w:rPr>
        <w:t xml:space="preserve">28.1       </w:t>
      </w:r>
    </w:p>
    <w:p w14:paraId="7B3CBB22">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为正确履行本合同，发包人应在招标文件中或在签订合同前明确履约担保的有关要求，承包人应按照合同约定时间向发包人提供履约担保。履约担保采用银行保函、担保公司担保或</w:t>
      </w:r>
      <w:r>
        <w:rPr>
          <w:rFonts w:hint="eastAsia" w:hAnsi="宋体" w:eastAsia="宋体" w:cs="宋体"/>
          <w:color w:val="auto"/>
          <w:sz w:val="24"/>
          <w:szCs w:val="24"/>
          <w:highlight w:val="none"/>
          <w:shd w:val="clear" w:color="auto" w:fill="FFFFFF"/>
        </w:rPr>
        <w:t>履约保证保险</w:t>
      </w:r>
      <w:r>
        <w:rPr>
          <w:rFonts w:hint="eastAsia" w:hAnsi="宋体" w:eastAsia="宋体" w:cs="宋体"/>
          <w:color w:val="auto"/>
          <w:sz w:val="24"/>
          <w:szCs w:val="24"/>
          <w:highlight w:val="none"/>
        </w:rPr>
        <w:t>的形式，提供履约保函、担保公司担保、</w:t>
      </w:r>
      <w:r>
        <w:rPr>
          <w:rFonts w:hint="eastAsia" w:hAnsi="宋体" w:eastAsia="宋体" w:cs="宋体"/>
          <w:color w:val="auto"/>
          <w:sz w:val="24"/>
          <w:szCs w:val="24"/>
          <w:highlight w:val="none"/>
          <w:shd w:val="clear" w:color="auto" w:fill="FFFFFF"/>
        </w:rPr>
        <w:t>履约保证保险</w:t>
      </w:r>
      <w:r>
        <w:rPr>
          <w:rFonts w:hint="eastAsia" w:hAnsi="宋体" w:eastAsia="宋体" w:cs="宋体"/>
          <w:color w:val="auto"/>
          <w:sz w:val="24"/>
          <w:szCs w:val="24"/>
          <w:highlight w:val="none"/>
        </w:rPr>
        <w:t>所发生的费用由承包人承担。</w:t>
      </w:r>
    </w:p>
    <w:p w14:paraId="6573F1D7">
      <w:pPr>
        <w:pStyle w:val="22"/>
        <w:tabs>
          <w:tab w:val="left" w:pos="1320"/>
        </w:tabs>
        <w:adjustRightInd w:val="0"/>
        <w:snapToGrid w:val="0"/>
        <w:spacing w:line="300" w:lineRule="auto"/>
        <w:ind w:right="-240"/>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761664" behindDoc="0" locked="0" layoutInCell="1" allowOverlap="1">
                <wp:simplePos x="0" y="0"/>
                <wp:positionH relativeFrom="column">
                  <wp:posOffset>-114300</wp:posOffset>
                </wp:positionH>
                <wp:positionV relativeFrom="paragraph">
                  <wp:posOffset>255270</wp:posOffset>
                </wp:positionV>
                <wp:extent cx="914400" cy="394970"/>
                <wp:effectExtent l="0" t="0" r="0" b="0"/>
                <wp:wrapNone/>
                <wp:docPr id="1126" name="000139"/>
                <wp:cNvGraphicFramePr/>
                <a:graphic xmlns:a="http://schemas.openxmlformats.org/drawingml/2006/main">
                  <a:graphicData uri="http://schemas.microsoft.com/office/word/2010/wordprocessingShape">
                    <wps:wsp>
                      <wps:cNvSpPr/>
                      <wps:spPr>
                        <a:xfrm>
                          <a:off x="0" y="0"/>
                          <a:ext cx="914400" cy="394969"/>
                        </a:xfrm>
                        <a:prstGeom prst="rect">
                          <a:avLst/>
                        </a:prstGeom>
                        <a:ln>
                          <a:noFill/>
                        </a:ln>
                      </wps:spPr>
                      <wps:txbx>
                        <w:txbxContent>
                          <w:p w14:paraId="4980D28C">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履约担保期限和退还</w:t>
                            </w:r>
                          </w:p>
                        </w:txbxContent>
                      </wps:txbx>
                      <wps:bodyPr wrap="square"/>
                    </wps:wsp>
                  </a:graphicData>
                </a:graphic>
              </wp:anchor>
            </w:drawing>
          </mc:Choice>
          <mc:Fallback>
            <w:pict>
              <v:rect id="000139" o:spid="_x0000_s1026" o:spt="1" style="position:absolute;left:0pt;margin-left:-9pt;margin-top:20.1pt;height:31.1pt;width:72pt;z-index:251761664;mso-width-relative:page;mso-height-relative:page;" filled="f" stroked="f" coordsize="21600,21600" o:gfxdata="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T7VwLtoAAAAKAQAADwAAAAAAAAABACAAAAAi&#10;AAAAZHJzL2Rvd25yZXYueG1sUEsBAhQAFAAAAAgAh07iQFjWI5iWAQAAOAMAAA4AAAAAAAAAAQAg&#10;AAAAKQEAAGRycy9lMm9Eb2MueG1sUEsFBgAAAAAGAAYAWQEAADEFAAAAAA==&#10;">
                <v:fill on="f" focussize="0,0"/>
                <v:stroke on="f"/>
                <v:imagedata o:title=""/>
                <o:lock v:ext="edit" aspectratio="f"/>
                <v:textbox>
                  <w:txbxContent>
                    <w:p w14:paraId="4980D28C">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履约担保期限和退还</w:t>
                      </w:r>
                    </w:p>
                  </w:txbxContent>
                </v:textbox>
              </v:rect>
            </w:pict>
          </mc:Fallback>
        </mc:AlternateContent>
      </w:r>
      <w:r>
        <w:rPr>
          <w:rFonts w:hint="eastAsia" w:hAnsi="宋体" w:eastAsia="宋体" w:cs="宋体"/>
          <w:b/>
          <w:bCs/>
          <w:color w:val="auto"/>
          <w:sz w:val="24"/>
          <w:szCs w:val="24"/>
          <w:highlight w:val="none"/>
        </w:rPr>
        <w:t xml:space="preserve">28.2  </w:t>
      </w:r>
      <w:r>
        <w:rPr>
          <w:rFonts w:hint="eastAsia" w:hAnsi="宋体" w:eastAsia="宋体" w:cs="宋体"/>
          <w:b/>
          <w:bCs/>
          <w:color w:val="auto"/>
          <w:sz w:val="24"/>
          <w:szCs w:val="24"/>
          <w:highlight w:val="none"/>
          <w:u w:val="dotted"/>
        </w:rPr>
        <w:t xml:space="preserve">                                                                             </w:t>
      </w:r>
    </w:p>
    <w:p w14:paraId="6990BA68">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履约担保的有效期，是从提供履约担保之日起至合同工程竣工验收合格之日止。发包人应在担保有效期满后的14 天内将此担保退还给承包人。</w:t>
      </w:r>
    </w:p>
    <w:p w14:paraId="5544D8AE">
      <w:pPr>
        <w:pStyle w:val="22"/>
        <w:tabs>
          <w:tab w:val="left" w:pos="1320"/>
        </w:tabs>
        <w:adjustRightInd w:val="0"/>
        <w:snapToGrid w:val="0"/>
        <w:spacing w:line="300" w:lineRule="auto"/>
        <w:ind w:right="-238"/>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762688"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1127" name="00013a"/>
                <wp:cNvGraphicFramePr/>
                <a:graphic xmlns:a="http://schemas.openxmlformats.org/drawingml/2006/main">
                  <a:graphicData uri="http://schemas.microsoft.com/office/word/2010/wordprocessingShape">
                    <wps:wsp>
                      <wps:cNvSpPr/>
                      <wps:spPr>
                        <a:xfrm>
                          <a:off x="0" y="0"/>
                          <a:ext cx="914400" cy="495300"/>
                        </a:xfrm>
                        <a:prstGeom prst="rect">
                          <a:avLst/>
                        </a:prstGeom>
                        <a:ln>
                          <a:noFill/>
                        </a:ln>
                      </wps:spPr>
                      <wps:txbx>
                        <w:txbxContent>
                          <w:p w14:paraId="0C59279D">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向建设单位支付索赔款项</w:t>
                            </w:r>
                          </w:p>
                        </w:txbxContent>
                      </wps:txbx>
                      <wps:bodyPr wrap="square"/>
                    </wps:wsp>
                  </a:graphicData>
                </a:graphic>
              </wp:anchor>
            </w:drawing>
          </mc:Choice>
          <mc:Fallback>
            <w:pict>
              <v:rect id="00013a" o:spid="_x0000_s1026" o:spt="1" style="position:absolute;left:0pt;margin-left:-9pt;margin-top:19.6pt;height:39pt;width:72pt;z-index:251762688;mso-width-relative:page;mso-height-relative:page;" filled="f" stroked="f" coordsize="21600,21600" o:gfxdata="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t97bD9sAAAAKAQAADwAAAAAAAAABACAAAAAi&#10;AAAAZHJzL2Rvd25yZXYueG1sUEsBAhQAFAAAAAgAh07iQE2duhuVAQAAOAMAAA4AAAAAAAAAAQAg&#10;AAAAKgEAAGRycy9lMm9Eb2MueG1sUEsFBgAAAAAGAAYAWQEAADEFAAAAAA==&#10;">
                <v:fill on="f" focussize="0,0"/>
                <v:stroke on="f"/>
                <v:imagedata o:title=""/>
                <o:lock v:ext="edit" aspectratio="f"/>
                <v:textbox>
                  <w:txbxContent>
                    <w:p w14:paraId="0C59279D">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向建设单位支付索赔款项</w:t>
                      </w:r>
                    </w:p>
                  </w:txbxContent>
                </v:textbox>
              </v:rect>
            </w:pict>
          </mc:Fallback>
        </mc:AlternateContent>
      </w:r>
      <w:r>
        <w:rPr>
          <w:rFonts w:hint="eastAsia" w:hAnsi="宋体" w:eastAsia="宋体" w:cs="宋体"/>
          <w:b/>
          <w:bCs/>
          <w:color w:val="auto"/>
          <w:sz w:val="24"/>
          <w:szCs w:val="24"/>
          <w:highlight w:val="none"/>
        </w:rPr>
        <w:t xml:space="preserve">28.3  </w:t>
      </w:r>
      <w:r>
        <w:rPr>
          <w:rFonts w:hint="eastAsia" w:hAnsi="宋体" w:eastAsia="宋体" w:cs="宋体"/>
          <w:b/>
          <w:bCs/>
          <w:color w:val="auto"/>
          <w:sz w:val="24"/>
          <w:szCs w:val="24"/>
          <w:highlight w:val="none"/>
          <w:u w:val="dotted"/>
        </w:rPr>
        <w:t xml:space="preserve">                                                                             </w:t>
      </w:r>
    </w:p>
    <w:p w14:paraId="7A676AED">
      <w:pPr>
        <w:pStyle w:val="22"/>
        <w:adjustRightInd w:val="0"/>
        <w:snapToGrid w:val="0"/>
        <w:spacing w:line="300" w:lineRule="auto"/>
        <w:ind w:left="1619" w:leftChars="771"/>
        <w:rPr>
          <w:rFonts w:hint="eastAsia" w:hAnsi="宋体" w:eastAsia="宋体" w:cs="宋体"/>
          <w:b/>
          <w:bCs/>
          <w:color w:val="auto"/>
          <w:sz w:val="24"/>
          <w:szCs w:val="24"/>
          <w:highlight w:val="none"/>
        </w:rPr>
      </w:pPr>
      <w:r>
        <w:rPr>
          <w:rFonts w:hint="eastAsia" w:hAnsi="宋体" w:eastAsia="宋体" w:cs="宋体"/>
          <w:color w:val="auto"/>
          <w:sz w:val="24"/>
          <w:szCs w:val="24"/>
          <w:highlight w:val="none"/>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14:paraId="522E0E90">
      <w:pPr>
        <w:pStyle w:val="22"/>
        <w:tabs>
          <w:tab w:val="left" w:pos="540"/>
          <w:tab w:val="left" w:pos="720"/>
        </w:tabs>
        <w:adjustRightInd w:val="0"/>
        <w:snapToGrid w:val="0"/>
        <w:spacing w:line="300" w:lineRule="auto"/>
        <w:ind w:right="-238"/>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763712"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1128" name="00013b"/>
                <wp:cNvGraphicFramePr/>
                <a:graphic xmlns:a="http://schemas.openxmlformats.org/drawingml/2006/main">
                  <a:graphicData uri="http://schemas.microsoft.com/office/word/2010/wordprocessingShape">
                    <wps:wsp>
                      <wps:cNvSpPr/>
                      <wps:spPr>
                        <a:xfrm>
                          <a:off x="0" y="0"/>
                          <a:ext cx="914400" cy="417829"/>
                        </a:xfrm>
                        <a:prstGeom prst="rect">
                          <a:avLst/>
                        </a:prstGeom>
                        <a:ln>
                          <a:noFill/>
                        </a:ln>
                      </wps:spPr>
                      <wps:txbx>
                        <w:txbxContent>
                          <w:p w14:paraId="4F4DECD3">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建设单位提供支付担保</w:t>
                            </w:r>
                          </w:p>
                        </w:txbxContent>
                      </wps:txbx>
                      <wps:bodyPr wrap="square"/>
                    </wps:wsp>
                  </a:graphicData>
                </a:graphic>
              </wp:anchor>
            </w:drawing>
          </mc:Choice>
          <mc:Fallback>
            <w:pict>
              <v:rect id="00013b" o:spid="_x0000_s1026" o:spt="1" style="position:absolute;left:0pt;margin-left:-9pt;margin-top:19.8pt;height:32.9pt;width:72pt;z-index:251763712;mso-width-relative:page;mso-height-relative:page;" filled="f" stroked="f" coordsize="21600,21600" o:gfxdata="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CXZAqdsAAAAKAQAADwAAAAAAAAABACAAAAAi&#10;AAAAZHJzL2Rvd25yZXYueG1sUEsBAhQAFAAAAAgAh07iQC6uJKmVAQAAOAMAAA4AAAAAAAAAAQAg&#10;AAAAKgEAAGRycy9lMm9Eb2MueG1sUEsFBgAAAAAGAAYAWQEAADEFAAAAAA==&#10;">
                <v:fill on="f" focussize="0,0"/>
                <v:stroke on="f"/>
                <v:imagedata o:title=""/>
                <o:lock v:ext="edit" aspectratio="f"/>
                <v:textbox>
                  <w:txbxContent>
                    <w:p w14:paraId="4F4DECD3">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建设单位提供支付担保</w:t>
                      </w:r>
                    </w:p>
                  </w:txbxContent>
                </v:textbox>
              </v:rect>
            </w:pict>
          </mc:Fallback>
        </mc:AlternateContent>
      </w:r>
      <w:r>
        <w:rPr>
          <w:rFonts w:hint="eastAsia" w:hAnsi="宋体" w:eastAsia="宋体" w:cs="宋体"/>
          <w:b/>
          <w:bCs/>
          <w:color w:val="auto"/>
          <w:sz w:val="24"/>
          <w:szCs w:val="24"/>
          <w:highlight w:val="none"/>
        </w:rPr>
        <w:t xml:space="preserve">28.4  </w:t>
      </w:r>
      <w:r>
        <w:rPr>
          <w:rFonts w:hint="eastAsia" w:hAnsi="宋体" w:eastAsia="宋体" w:cs="宋体"/>
          <w:b/>
          <w:bCs/>
          <w:color w:val="auto"/>
          <w:sz w:val="24"/>
          <w:szCs w:val="24"/>
          <w:highlight w:val="none"/>
          <w:u w:val="dotted"/>
        </w:rPr>
        <w:t xml:space="preserve">                                                                             </w:t>
      </w:r>
    </w:p>
    <w:p w14:paraId="12DE5E61">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承包人按照第28.1款的要求提交了履约担保，发包人应按照合同约定时间向承包人提交与履约担保等值的支付担保；发、承包人也可约定由发包人向承包人提交预付款等值的支付担保。支付担保采用银行保函、担保公司担保或</w:t>
      </w:r>
      <w:r>
        <w:rPr>
          <w:rFonts w:hint="eastAsia" w:hAnsi="宋体" w:eastAsia="宋体" w:cs="宋体"/>
          <w:color w:val="auto"/>
          <w:sz w:val="24"/>
          <w:szCs w:val="24"/>
          <w:highlight w:val="none"/>
          <w:shd w:val="clear" w:color="auto" w:fill="FFFFFF"/>
        </w:rPr>
        <w:t>支付保证保险</w:t>
      </w:r>
      <w:r>
        <w:rPr>
          <w:rFonts w:hint="eastAsia" w:hAnsi="宋体" w:eastAsia="宋体" w:cs="宋体"/>
          <w:color w:val="auto"/>
          <w:sz w:val="24"/>
          <w:szCs w:val="24"/>
          <w:highlight w:val="none"/>
        </w:rPr>
        <w:t>的形式，提供支付保函、担保公司担保、</w:t>
      </w:r>
      <w:r>
        <w:rPr>
          <w:rFonts w:hint="eastAsia" w:hAnsi="宋体" w:eastAsia="宋体" w:cs="宋体"/>
          <w:color w:val="auto"/>
          <w:sz w:val="24"/>
          <w:szCs w:val="24"/>
          <w:highlight w:val="none"/>
          <w:shd w:val="clear" w:color="auto" w:fill="FFFFFF"/>
        </w:rPr>
        <w:t>支付保证保险</w:t>
      </w:r>
      <w:r>
        <w:rPr>
          <w:rFonts w:hint="eastAsia" w:hAnsi="宋体" w:eastAsia="宋体" w:cs="宋体"/>
          <w:color w:val="auto"/>
          <w:sz w:val="24"/>
          <w:szCs w:val="24"/>
          <w:highlight w:val="none"/>
        </w:rPr>
        <w:t>所发生的费用由发包人承担。</w:t>
      </w:r>
    </w:p>
    <w:p w14:paraId="6128F428">
      <w:pPr>
        <w:pStyle w:val="22"/>
        <w:tabs>
          <w:tab w:val="left" w:pos="1320"/>
        </w:tabs>
        <w:adjustRightInd w:val="0"/>
        <w:snapToGrid w:val="0"/>
        <w:spacing w:line="300" w:lineRule="auto"/>
        <w:ind w:right="-238"/>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764736" behindDoc="0" locked="0" layoutInCell="1" allowOverlap="1">
                <wp:simplePos x="0" y="0"/>
                <wp:positionH relativeFrom="column">
                  <wp:posOffset>-114300</wp:posOffset>
                </wp:positionH>
                <wp:positionV relativeFrom="paragraph">
                  <wp:posOffset>237490</wp:posOffset>
                </wp:positionV>
                <wp:extent cx="914400" cy="412750"/>
                <wp:effectExtent l="0" t="0" r="0" b="0"/>
                <wp:wrapNone/>
                <wp:docPr id="1129" name="00013c"/>
                <wp:cNvGraphicFramePr/>
                <a:graphic xmlns:a="http://schemas.openxmlformats.org/drawingml/2006/main">
                  <a:graphicData uri="http://schemas.microsoft.com/office/word/2010/wordprocessingShape">
                    <wps:wsp>
                      <wps:cNvSpPr/>
                      <wps:spPr>
                        <a:xfrm>
                          <a:off x="0" y="0"/>
                          <a:ext cx="914400" cy="412750"/>
                        </a:xfrm>
                        <a:prstGeom prst="rect">
                          <a:avLst/>
                        </a:prstGeom>
                        <a:ln>
                          <a:noFill/>
                        </a:ln>
                      </wps:spPr>
                      <wps:txbx>
                        <w:txbxContent>
                          <w:p w14:paraId="7C8ACF6B">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支付担保期限和退还</w:t>
                            </w:r>
                          </w:p>
                        </w:txbxContent>
                      </wps:txbx>
                      <wps:bodyPr wrap="square"/>
                    </wps:wsp>
                  </a:graphicData>
                </a:graphic>
              </wp:anchor>
            </w:drawing>
          </mc:Choice>
          <mc:Fallback>
            <w:pict>
              <v:rect id="00013c" o:spid="_x0000_s1026" o:spt="1" style="position:absolute;left:0pt;margin-left:-9pt;margin-top:18.7pt;height:32.5pt;width:72pt;z-index:251764736;mso-width-relative:page;mso-height-relative:page;" filled="f" stroked="f" coordsize="21600,21600" o:gfxdata="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0CJL7bAAAACgEAAA8AAAAAAAAAAQAgAAAA&#10;IgAAAGRycy9kb3ducmV2LnhtbFBLAQIUABQAAAAIAIdO4kD9un7olgEAADgDAAAOAAAAAAAAAAEA&#10;IAAAACoBAABkcnMvZTJvRG9jLnhtbFBLBQYAAAAABgAGAFkBAAAyBQAAAAA=&#10;">
                <v:fill on="f" focussize="0,0"/>
                <v:stroke on="f"/>
                <v:imagedata o:title=""/>
                <o:lock v:ext="edit" aspectratio="f"/>
                <v:textbox>
                  <w:txbxContent>
                    <w:p w14:paraId="7C8ACF6B">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支付担保期限和退还</w:t>
                      </w:r>
                    </w:p>
                  </w:txbxContent>
                </v:textbox>
              </v:rect>
            </w:pict>
          </mc:Fallback>
        </mc:AlternateContent>
      </w:r>
      <w:r>
        <w:rPr>
          <w:rFonts w:hint="eastAsia" w:hAnsi="宋体" w:eastAsia="宋体" w:cs="宋体"/>
          <w:b/>
          <w:bCs/>
          <w:color w:val="auto"/>
          <w:sz w:val="24"/>
          <w:szCs w:val="24"/>
          <w:highlight w:val="none"/>
        </w:rPr>
        <w:t xml:space="preserve">28.5  </w:t>
      </w:r>
      <w:r>
        <w:rPr>
          <w:rFonts w:hint="eastAsia" w:hAnsi="宋体" w:eastAsia="宋体" w:cs="宋体"/>
          <w:b/>
          <w:bCs/>
          <w:color w:val="auto"/>
          <w:sz w:val="24"/>
          <w:szCs w:val="24"/>
          <w:highlight w:val="none"/>
          <w:u w:val="dotted"/>
        </w:rPr>
        <w:t xml:space="preserve">                                                                             </w:t>
      </w:r>
    </w:p>
    <w:p w14:paraId="71DA1D8C">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支付担保的有效期，是从提供支付担保之日起至发包人根据本合同约定支付完除质量保证金以外的全部款项之日止。承包人应在担保有效期满后的14天内将此担保退还给发包人。</w:t>
      </w:r>
    </w:p>
    <w:p w14:paraId="490C9221">
      <w:pPr>
        <w:pStyle w:val="22"/>
        <w:tabs>
          <w:tab w:val="left" w:pos="1320"/>
        </w:tabs>
        <w:adjustRightInd w:val="0"/>
        <w:snapToGrid w:val="0"/>
        <w:spacing w:line="300" w:lineRule="auto"/>
        <w:ind w:right="-238"/>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765760"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1130" name="00013d"/>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25E849B0">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向承包人支付索赔款项</w:t>
                            </w:r>
                          </w:p>
                        </w:txbxContent>
                      </wps:txbx>
                      <wps:bodyPr wrap="square"/>
                    </wps:wsp>
                  </a:graphicData>
                </a:graphic>
              </wp:anchor>
            </w:drawing>
          </mc:Choice>
          <mc:Fallback>
            <w:pict>
              <v:rect id="00013d" o:spid="_x0000_s1026" o:spt="1" style="position:absolute;left:0pt;margin-left:-9pt;margin-top:19.5pt;height:31.2pt;width:72pt;z-index:251765760;mso-width-relative:page;mso-height-relative:page;" filled="f" stroked="f" coordsize="21600,21600" o:gfxdata="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Q429T2gAAAAoBAAAPAAAAAAAAAAEAIAAAACIA&#10;AABkcnMvZG93bnJldi54bWxQSwECFAAUAAAACACHTuJADFSNKJUBAAA4AwAADgAAAAAAAAABACAA&#10;AAApAQAAZHJzL2Uyb0RvYy54bWxQSwUGAAAAAAYABgBZAQAAMAUAAAAA&#10;">
                <v:fill on="f" focussize="0,0"/>
                <v:stroke on="f"/>
                <v:imagedata o:title=""/>
                <o:lock v:ext="edit" aspectratio="f"/>
                <v:textbox>
                  <w:txbxContent>
                    <w:p w14:paraId="25E849B0">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向承包人支付索赔款项</w:t>
                      </w:r>
                    </w:p>
                  </w:txbxContent>
                </v:textbox>
              </v:rect>
            </w:pict>
          </mc:Fallback>
        </mc:AlternateContent>
      </w:r>
      <w:r>
        <w:rPr>
          <w:rFonts w:hint="eastAsia" w:hAnsi="宋体" w:eastAsia="宋体" w:cs="宋体"/>
          <w:b/>
          <w:bCs/>
          <w:color w:val="auto"/>
          <w:sz w:val="24"/>
          <w:szCs w:val="24"/>
          <w:highlight w:val="none"/>
        </w:rPr>
        <w:t xml:space="preserve">28.6  </w:t>
      </w:r>
      <w:r>
        <w:rPr>
          <w:rFonts w:hint="eastAsia" w:hAnsi="宋体" w:eastAsia="宋体" w:cs="宋体"/>
          <w:b/>
          <w:bCs/>
          <w:color w:val="auto"/>
          <w:sz w:val="24"/>
          <w:szCs w:val="24"/>
          <w:highlight w:val="none"/>
          <w:u w:val="dotted"/>
        </w:rPr>
        <w:t xml:space="preserve">                                                                             </w:t>
      </w:r>
    </w:p>
    <w:p w14:paraId="30DF85B7">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14:paraId="47FA5473">
      <w:pPr>
        <w:pStyle w:val="22"/>
        <w:tabs>
          <w:tab w:val="left" w:pos="1320"/>
        </w:tabs>
        <w:adjustRightInd w:val="0"/>
        <w:snapToGrid w:val="0"/>
        <w:spacing w:line="300" w:lineRule="auto"/>
        <w:ind w:right="-238"/>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766784" behindDoc="0" locked="0" layoutInCell="1" allowOverlap="1">
                <wp:simplePos x="0" y="0"/>
                <wp:positionH relativeFrom="column">
                  <wp:posOffset>-114300</wp:posOffset>
                </wp:positionH>
                <wp:positionV relativeFrom="paragraph">
                  <wp:posOffset>242570</wp:posOffset>
                </wp:positionV>
                <wp:extent cx="914400" cy="422910"/>
                <wp:effectExtent l="0" t="0" r="0" b="0"/>
                <wp:wrapNone/>
                <wp:docPr id="1131" name="00013e"/>
                <wp:cNvGraphicFramePr/>
                <a:graphic xmlns:a="http://schemas.openxmlformats.org/drawingml/2006/main">
                  <a:graphicData uri="http://schemas.microsoft.com/office/word/2010/wordprocessingShape">
                    <wps:wsp>
                      <wps:cNvSpPr/>
                      <wps:spPr>
                        <a:xfrm>
                          <a:off x="0" y="0"/>
                          <a:ext cx="914400" cy="422910"/>
                        </a:xfrm>
                        <a:prstGeom prst="rect">
                          <a:avLst/>
                        </a:prstGeom>
                        <a:ln>
                          <a:noFill/>
                        </a:ln>
                      </wps:spPr>
                      <wps:txbx>
                        <w:txbxContent>
                          <w:p w14:paraId="76080E6F">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双方延长担保期限</w:t>
                            </w:r>
                          </w:p>
                        </w:txbxContent>
                      </wps:txbx>
                      <wps:bodyPr wrap="square"/>
                    </wps:wsp>
                  </a:graphicData>
                </a:graphic>
              </wp:anchor>
            </w:drawing>
          </mc:Choice>
          <mc:Fallback>
            <w:pict>
              <v:rect id="00013e" o:spid="_x0000_s1026" o:spt="1" style="position:absolute;left:0pt;margin-left:-9pt;margin-top:19.1pt;height:33.3pt;width:72pt;z-index:251766784;mso-width-relative:page;mso-height-relative:page;" filled="f" stroked="f" coordsize="21600,21600" o:gfxdata="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19jXP2gAAAAoBAAAPAAAAAAAAAAEAIAAAACIA&#10;AABkcnMvZG93bnJldi54bWxQSwECFAAUAAAACACHTuJA2C15/5UBAAA4AwAADgAAAAAAAAABACAA&#10;AAApAQAAZHJzL2Uyb0RvYy54bWxQSwUGAAAAAAYABgBZAQAAMAUAAAAA&#10;">
                <v:fill on="f" focussize="0,0"/>
                <v:stroke on="f"/>
                <v:imagedata o:title=""/>
                <o:lock v:ext="edit" aspectratio="f"/>
                <v:textbox>
                  <w:txbxContent>
                    <w:p w14:paraId="76080E6F">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双方延长担保期限</w:t>
                      </w:r>
                    </w:p>
                  </w:txbxContent>
                </v:textbox>
              </v:rect>
            </w:pict>
          </mc:Fallback>
        </mc:AlternateContent>
      </w:r>
      <w:r>
        <w:rPr>
          <w:rFonts w:hint="eastAsia" w:hAnsi="宋体" w:eastAsia="宋体" w:cs="宋体"/>
          <w:b/>
          <w:bCs/>
          <w:color w:val="auto"/>
          <w:sz w:val="24"/>
          <w:szCs w:val="24"/>
          <w:highlight w:val="none"/>
        </w:rPr>
        <w:t xml:space="preserve">28.7  </w:t>
      </w:r>
      <w:r>
        <w:rPr>
          <w:rFonts w:hint="eastAsia" w:hAnsi="宋体" w:eastAsia="宋体" w:cs="宋体"/>
          <w:b/>
          <w:bCs/>
          <w:color w:val="auto"/>
          <w:sz w:val="24"/>
          <w:szCs w:val="24"/>
          <w:highlight w:val="none"/>
          <w:u w:val="dotted"/>
        </w:rPr>
        <w:t xml:space="preserve">                                                                             </w:t>
      </w:r>
    </w:p>
    <w:p w14:paraId="14203230">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合同双方当事人均应确保合同工程担保有效期符合工期合理顺延的要求。若合同一方当事人未能保证延长担保有效期，另一方当事人可向其索赔担保的全部金额。</w:t>
      </w:r>
    </w:p>
    <w:p w14:paraId="78103053">
      <w:pPr>
        <w:pStyle w:val="22"/>
        <w:tabs>
          <w:tab w:val="left" w:pos="1320"/>
        </w:tabs>
        <w:adjustRightInd w:val="0"/>
        <w:snapToGrid w:val="0"/>
        <w:spacing w:line="300" w:lineRule="auto"/>
        <w:ind w:right="-238"/>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767808"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1132" name="00013f"/>
                <wp:cNvGraphicFramePr/>
                <a:graphic xmlns:a="http://schemas.openxmlformats.org/drawingml/2006/main">
                  <a:graphicData uri="http://schemas.microsoft.com/office/word/2010/wordprocessingShape">
                    <wps:wsp>
                      <wps:cNvSpPr/>
                      <wps:spPr>
                        <a:xfrm>
                          <a:off x="0" y="0"/>
                          <a:ext cx="914400" cy="339090"/>
                        </a:xfrm>
                        <a:prstGeom prst="rect">
                          <a:avLst/>
                        </a:prstGeom>
                        <a:ln>
                          <a:noFill/>
                        </a:ln>
                      </wps:spPr>
                      <wps:txbx>
                        <w:txbxContent>
                          <w:p w14:paraId="1B878048">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约定担保事项</w:t>
                            </w:r>
                          </w:p>
                        </w:txbxContent>
                      </wps:txbx>
                      <wps:bodyPr wrap="square"/>
                    </wps:wsp>
                  </a:graphicData>
                </a:graphic>
              </wp:anchor>
            </w:drawing>
          </mc:Choice>
          <mc:Fallback>
            <w:pict>
              <v:rect id="00013f" o:spid="_x0000_s1026" o:spt="1" style="position:absolute;left:0pt;margin-left:-9pt;margin-top:20.1pt;height:26.7pt;width:72pt;z-index:251767808;mso-width-relative:page;mso-height-relative:page;" filled="f" stroked="f" coordsize="21600,21600" o:gfxdata="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ypZZE2gAAAAkBAAAPAAAAAAAAAAEAIAAAACIA&#10;AABkcnMvZG93bnJldi54bWxQSwECFAAUAAAACACHTuJA99uOV5UBAAA4AwAADgAAAAAAAAABACAA&#10;AAApAQAAZHJzL2Uyb0RvYy54bWxQSwUGAAAAAAYABgBZAQAAMAUAAAAA&#10;">
                <v:fill on="f" focussize="0,0"/>
                <v:stroke on="f"/>
                <v:imagedata o:title=""/>
                <o:lock v:ext="edit" aspectratio="f"/>
                <v:textbox>
                  <w:txbxContent>
                    <w:p w14:paraId="1B878048">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约定担保事项</w:t>
                      </w:r>
                    </w:p>
                  </w:txbxContent>
                </v:textbox>
              </v:rect>
            </w:pict>
          </mc:Fallback>
        </mc:AlternateContent>
      </w:r>
      <w:r>
        <w:rPr>
          <w:rFonts w:hint="eastAsia" w:hAnsi="宋体" w:eastAsia="宋体" w:cs="宋体"/>
          <w:b/>
          <w:bCs/>
          <w:color w:val="auto"/>
          <w:sz w:val="24"/>
          <w:szCs w:val="24"/>
          <w:highlight w:val="none"/>
        </w:rPr>
        <w:t xml:space="preserve">28.8  </w:t>
      </w:r>
      <w:r>
        <w:rPr>
          <w:rFonts w:hint="eastAsia" w:hAnsi="宋体" w:eastAsia="宋体" w:cs="宋体"/>
          <w:b/>
          <w:bCs/>
          <w:color w:val="auto"/>
          <w:sz w:val="24"/>
          <w:szCs w:val="24"/>
          <w:highlight w:val="none"/>
          <w:u w:val="dotted"/>
        </w:rPr>
        <w:t xml:space="preserve">                                                                             </w:t>
      </w:r>
    </w:p>
    <w:p w14:paraId="66860181">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合同双方当事人在专用条款中约定担保内容、方式和责任等事项，并签订担保合同，作为本合同附件。</w:t>
      </w:r>
    </w:p>
    <w:p w14:paraId="4FCFB9D8">
      <w:pPr>
        <w:pStyle w:val="22"/>
        <w:adjustRightInd w:val="0"/>
        <w:snapToGrid w:val="0"/>
        <w:spacing w:line="300" w:lineRule="auto"/>
        <w:ind w:right="-240"/>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20386B3D">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77" w:name="_Toc469384010"/>
      <w:bookmarkStart w:id="78" w:name="_Toc46860831"/>
      <w:r>
        <w:rPr>
          <w:rFonts w:hint="eastAsia" w:hAnsi="宋体" w:eastAsia="宋体" w:cs="宋体"/>
          <w:b/>
          <w:bCs/>
          <w:color w:val="auto"/>
          <w:sz w:val="24"/>
          <w:szCs w:val="24"/>
          <w:highlight w:val="none"/>
        </w:rPr>
        <w:t>29  发包人风险</w:t>
      </w:r>
      <w:bookmarkEnd w:id="77"/>
      <w:bookmarkEnd w:id="78"/>
    </w:p>
    <w:p w14:paraId="0F1CDB07">
      <w:pPr>
        <w:pStyle w:val="22"/>
        <w:adjustRightInd w:val="0"/>
        <w:snapToGrid w:val="0"/>
        <w:spacing w:line="300" w:lineRule="auto"/>
        <w:ind w:right="-240"/>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768832"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1133" name="000140"/>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5588219C">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建设单位承担风险</w:t>
                            </w:r>
                          </w:p>
                        </w:txbxContent>
                      </wps:txbx>
                      <wps:bodyPr wrap="square"/>
                    </wps:wsp>
                  </a:graphicData>
                </a:graphic>
              </wp:anchor>
            </w:drawing>
          </mc:Choice>
          <mc:Fallback>
            <w:pict>
              <v:rect id="000140" o:spid="_x0000_s1026" o:spt="1" style="position:absolute;left:0pt;margin-left:-9pt;margin-top:17.85pt;height:31.2pt;width:72pt;z-index:251768832;mso-width-relative:page;mso-height-relative:page;" filled="f" stroked="f" coordsize="21600,21600" o:gfxdata="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E+FAWnaAAAACQEAAA8AAAAAAAAAAQAgAAAAIgAA&#10;AGRycy9kb3ducmV2LnhtbFBLAQIUABQAAAAIAIdO4kBRPhOdlAEAADgDAAAOAAAAAAAAAAEAIAAA&#10;ACkBAABkcnMvZTJvRG9jLnhtbFBLBQYAAAAABgAGAFkBAAAvBQAAAAA=&#10;">
                <v:fill on="f" focussize="0,0"/>
                <v:stroke on="f"/>
                <v:imagedata o:title=""/>
                <o:lock v:ext="edit" aspectratio="f"/>
                <v:textbox>
                  <w:txbxContent>
                    <w:p w14:paraId="5588219C">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建设单位承担风险</w:t>
                      </w:r>
                    </w:p>
                  </w:txbxContent>
                </v:textbox>
              </v:rect>
            </w:pict>
          </mc:Fallback>
        </mc:AlternateContent>
      </w:r>
      <w:r>
        <w:rPr>
          <w:rFonts w:hint="eastAsia" w:hAnsi="宋体" w:eastAsia="宋体" w:cs="宋体"/>
          <w:b/>
          <w:bCs/>
          <w:color w:val="auto"/>
          <w:sz w:val="24"/>
          <w:szCs w:val="24"/>
          <w:highlight w:val="none"/>
        </w:rPr>
        <w:t xml:space="preserve">29.1     </w:t>
      </w:r>
    </w:p>
    <w:p w14:paraId="388642D0">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发包人应承担本合同中规定应由发包人承担的风险。</w:t>
      </w:r>
    </w:p>
    <w:p w14:paraId="3D9EB6E3">
      <w:pPr>
        <w:pStyle w:val="22"/>
        <w:adjustRightInd w:val="0"/>
        <w:snapToGrid w:val="0"/>
        <w:spacing w:line="300" w:lineRule="auto"/>
        <w:ind w:right="-240"/>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29.2  </w:t>
      </w:r>
      <w:r>
        <w:rPr>
          <w:rFonts w:hint="eastAsia" w:hAnsi="宋体" w:eastAsia="宋体" w:cs="宋体"/>
          <w:b/>
          <w:bCs/>
          <w:color w:val="auto"/>
          <w:sz w:val="24"/>
          <w:szCs w:val="24"/>
          <w:highlight w:val="none"/>
          <w:u w:val="dotted"/>
        </w:rPr>
        <w:t xml:space="preserve">                                                                             </w:t>
      </w:r>
    </w:p>
    <w:p w14:paraId="08D89340">
      <w:pPr>
        <w:pStyle w:val="22"/>
        <w:adjustRightInd w:val="0"/>
        <w:snapToGrid w:val="0"/>
        <w:spacing w:line="300" w:lineRule="auto"/>
        <w:ind w:right="-240" w:firstLine="1620" w:firstLineChars="675"/>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769856"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1134" name="000141"/>
                <wp:cNvGraphicFramePr/>
                <a:graphic xmlns:a="http://schemas.openxmlformats.org/drawingml/2006/main">
                  <a:graphicData uri="http://schemas.microsoft.com/office/word/2010/wordprocessingShape">
                    <wps:wsp>
                      <wps:cNvSpPr/>
                      <wps:spPr>
                        <a:xfrm>
                          <a:off x="0" y="0"/>
                          <a:ext cx="914400" cy="356235"/>
                        </a:xfrm>
                        <a:prstGeom prst="rect">
                          <a:avLst/>
                        </a:prstGeom>
                        <a:ln>
                          <a:noFill/>
                        </a:ln>
                      </wps:spPr>
                      <wps:txbx>
                        <w:txbxContent>
                          <w:p w14:paraId="74C1E886">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建设单位风险</w:t>
                            </w:r>
                          </w:p>
                        </w:txbxContent>
                      </wps:txbx>
                      <wps:bodyPr wrap="square"/>
                    </wps:wsp>
                  </a:graphicData>
                </a:graphic>
              </wp:anchor>
            </w:drawing>
          </mc:Choice>
          <mc:Fallback>
            <w:pict>
              <v:rect id="000141" o:spid="_x0000_s1026" o:spt="1" style="position:absolute;left:0pt;margin-left:-9pt;margin-top:0.85pt;height:28.05pt;width:72pt;z-index:251769856;mso-width-relative:page;mso-height-relative:page;" filled="f" stroked="f" coordsize="21600,21600" o:gfxdata="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A7KdVX1wAAAAgBAAAPAAAAAAAAAAEAIAAAACIAAABk&#10;cnMvZG93bnJldi54bWxQSwECFAAUAAAACACHTuJAHDcSW5UBAAA4AwAADgAAAAAAAAABACAAAAAm&#10;AQAAZHJzL2Uyb0RvYy54bWxQSwUGAAAAAAYABgBZAQAALQUAAAAA&#10;">
                <v:fill on="f" focussize="0,0"/>
                <v:stroke on="f"/>
                <v:imagedata o:title=""/>
                <o:lock v:ext="edit" aspectratio="f"/>
                <v:textbox>
                  <w:txbxContent>
                    <w:p w14:paraId="74C1E886">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建设单位风险</w:t>
                      </w:r>
                    </w:p>
                  </w:txbxContent>
                </v:textbox>
              </v:rect>
            </w:pict>
          </mc:Fallback>
        </mc:AlternateContent>
      </w:r>
      <w:r>
        <w:rPr>
          <w:rFonts w:hint="eastAsia" w:hAnsi="宋体" w:eastAsia="宋体" w:cs="宋体"/>
          <w:color w:val="auto"/>
          <w:sz w:val="24"/>
          <w:szCs w:val="24"/>
          <w:highlight w:val="none"/>
        </w:rPr>
        <w:t>自开工之日起至颁发工程接收证书之日止，发包人风险包括但不</w:t>
      </w:r>
    </w:p>
    <w:p w14:paraId="4FDC91FE">
      <w:pPr>
        <w:pStyle w:val="22"/>
        <w:adjustRightInd w:val="0"/>
        <w:snapToGrid w:val="0"/>
        <w:spacing w:line="300" w:lineRule="auto"/>
        <w:ind w:right="-240" w:firstLine="1620" w:firstLineChars="675"/>
        <w:rPr>
          <w:rFonts w:hint="eastAsia" w:hAnsi="宋体" w:eastAsia="宋体" w:cs="宋体"/>
          <w:color w:val="auto"/>
          <w:sz w:val="24"/>
          <w:szCs w:val="24"/>
          <w:highlight w:val="none"/>
        </w:rPr>
      </w:pPr>
      <w:r>
        <w:rPr>
          <w:rFonts w:hint="eastAsia" w:hAnsi="宋体" w:eastAsia="宋体" w:cs="宋体"/>
          <w:color w:val="auto"/>
          <w:sz w:val="24"/>
          <w:szCs w:val="24"/>
          <w:highlight w:val="none"/>
        </w:rPr>
        <w:t>限于：</w:t>
      </w:r>
    </w:p>
    <w:p w14:paraId="2FF13C56">
      <w:pPr>
        <w:pStyle w:val="22"/>
        <w:numPr>
          <w:ilvl w:val="0"/>
          <w:numId w:val="14"/>
        </w:numPr>
        <w:tabs>
          <w:tab w:val="left" w:pos="1080"/>
        </w:tabs>
        <w:adjustRightInd w:val="0"/>
        <w:snapToGrid w:val="0"/>
        <w:spacing w:line="300" w:lineRule="auto"/>
        <w:ind w:left="1619" w:leftChars="771" w:firstLine="1"/>
        <w:rPr>
          <w:rFonts w:hint="eastAsia" w:hAnsi="宋体" w:eastAsia="宋体" w:cs="宋体"/>
          <w:color w:val="auto"/>
          <w:sz w:val="24"/>
          <w:szCs w:val="24"/>
          <w:highlight w:val="none"/>
        </w:rPr>
      </w:pPr>
      <w:r>
        <w:rPr>
          <w:rFonts w:hint="eastAsia" w:hAnsi="宋体" w:eastAsia="宋体" w:cs="宋体"/>
          <w:color w:val="auto"/>
          <w:sz w:val="24"/>
          <w:szCs w:val="24"/>
          <w:highlight w:val="none"/>
        </w:rPr>
        <w:t>由于永久工程本身或施工而不可避免造成的财产（除工程本身、材料和工程设备和施工设备外）损失或损坏；</w:t>
      </w:r>
    </w:p>
    <w:p w14:paraId="7F88BF68">
      <w:pPr>
        <w:pStyle w:val="22"/>
        <w:numPr>
          <w:ilvl w:val="0"/>
          <w:numId w:val="14"/>
        </w:numPr>
        <w:tabs>
          <w:tab w:val="left" w:pos="1080"/>
        </w:tabs>
        <w:adjustRightInd w:val="0"/>
        <w:snapToGrid w:val="0"/>
        <w:spacing w:line="300" w:lineRule="auto"/>
        <w:ind w:left="1619" w:leftChars="771" w:firstLine="1"/>
        <w:rPr>
          <w:rFonts w:hint="eastAsia" w:hAnsi="宋体" w:eastAsia="宋体" w:cs="宋体"/>
          <w:color w:val="auto"/>
          <w:sz w:val="24"/>
          <w:szCs w:val="24"/>
          <w:highlight w:val="none"/>
        </w:rPr>
      </w:pPr>
      <w:r>
        <w:rPr>
          <w:rFonts w:hint="eastAsia" w:hAnsi="宋体" w:eastAsia="宋体" w:cs="宋体"/>
          <w:color w:val="auto"/>
          <w:sz w:val="24"/>
          <w:szCs w:val="24"/>
          <w:highlight w:val="none"/>
        </w:rPr>
        <w:t>由于发包人工作人员及其相关人员（除承包人外）的疏忽或违规造成的人员伤亡、财产损失或损坏；</w:t>
      </w:r>
    </w:p>
    <w:p w14:paraId="18C1EF61">
      <w:pPr>
        <w:pStyle w:val="22"/>
        <w:numPr>
          <w:ilvl w:val="0"/>
          <w:numId w:val="14"/>
        </w:numPr>
        <w:tabs>
          <w:tab w:val="left" w:pos="1080"/>
        </w:tabs>
        <w:adjustRightInd w:val="0"/>
        <w:snapToGrid w:val="0"/>
        <w:spacing w:line="300" w:lineRule="auto"/>
        <w:ind w:left="2096" w:leftChars="772" w:hanging="475" w:hangingChars="198"/>
        <w:rPr>
          <w:rFonts w:hint="eastAsia" w:hAnsi="宋体" w:eastAsia="宋体" w:cs="宋体"/>
          <w:color w:val="auto"/>
          <w:sz w:val="24"/>
          <w:szCs w:val="24"/>
          <w:highlight w:val="none"/>
        </w:rPr>
      </w:pPr>
      <w:r>
        <w:rPr>
          <w:rFonts w:hint="eastAsia" w:hAnsi="宋体" w:eastAsia="宋体" w:cs="宋体"/>
          <w:color w:val="auto"/>
          <w:sz w:val="24"/>
          <w:szCs w:val="24"/>
          <w:highlight w:val="none"/>
        </w:rPr>
        <w:t>由于发包人提前使用或占用永久工程或其部分造成的损失或损坏；</w:t>
      </w:r>
    </w:p>
    <w:p w14:paraId="037F8E2B">
      <w:pPr>
        <w:pStyle w:val="22"/>
        <w:numPr>
          <w:ilvl w:val="0"/>
          <w:numId w:val="14"/>
        </w:numPr>
        <w:tabs>
          <w:tab w:val="left" w:pos="1080"/>
        </w:tabs>
        <w:adjustRightInd w:val="0"/>
        <w:snapToGrid w:val="0"/>
        <w:spacing w:line="300" w:lineRule="auto"/>
        <w:ind w:left="1619" w:leftChars="771" w:firstLine="1"/>
        <w:rPr>
          <w:rFonts w:hint="eastAsia" w:hAnsi="宋体" w:eastAsia="宋体" w:cs="宋体"/>
          <w:color w:val="auto"/>
          <w:sz w:val="24"/>
          <w:szCs w:val="24"/>
          <w:highlight w:val="none"/>
        </w:rPr>
      </w:pPr>
      <w:r>
        <w:rPr>
          <w:rFonts w:hint="eastAsia" w:hAnsi="宋体" w:eastAsia="宋体" w:cs="宋体"/>
          <w:color w:val="auto"/>
          <w:sz w:val="24"/>
          <w:szCs w:val="24"/>
          <w:highlight w:val="none"/>
        </w:rPr>
        <w:t>由于发包人提供或发包人负责的设计造成的对永久工程、材料和工程设备和施工设备的损失或损害；</w:t>
      </w:r>
    </w:p>
    <w:p w14:paraId="334790AF">
      <w:pPr>
        <w:pStyle w:val="22"/>
        <w:numPr>
          <w:ilvl w:val="0"/>
          <w:numId w:val="14"/>
        </w:numPr>
        <w:tabs>
          <w:tab w:val="left" w:pos="1080"/>
        </w:tabs>
        <w:adjustRightInd w:val="0"/>
        <w:snapToGrid w:val="0"/>
        <w:spacing w:line="300" w:lineRule="auto"/>
        <w:ind w:left="1619" w:leftChars="771" w:firstLine="1"/>
        <w:rPr>
          <w:rFonts w:hint="eastAsia" w:hAnsi="宋体" w:eastAsia="宋体" w:cs="宋体"/>
          <w:color w:val="auto"/>
          <w:sz w:val="24"/>
          <w:szCs w:val="24"/>
          <w:highlight w:val="none"/>
        </w:rPr>
      </w:pPr>
      <w:r>
        <w:rPr>
          <w:rFonts w:hint="eastAsia" w:hAnsi="宋体" w:eastAsia="宋体" w:cs="宋体"/>
          <w:color w:val="auto"/>
          <w:sz w:val="24"/>
          <w:szCs w:val="24"/>
          <w:highlight w:val="none"/>
        </w:rPr>
        <w:t>由于地质、邻近建筑物、古树名木和物价上涨等非承包人原因造成施工过程中费用的增加。</w:t>
      </w:r>
    </w:p>
    <w:p w14:paraId="09469429">
      <w:pPr>
        <w:pStyle w:val="22"/>
        <w:adjustRightInd w:val="0"/>
        <w:snapToGrid w:val="0"/>
        <w:spacing w:line="300" w:lineRule="auto"/>
        <w:ind w:right="-240"/>
        <w:rPr>
          <w:rFonts w:hint="eastAsia" w:hAnsi="宋体" w:eastAsia="宋体" w:cs="宋体"/>
          <w:color w:val="auto"/>
          <w:sz w:val="24"/>
          <w:szCs w:val="24"/>
          <w:highlight w:val="none"/>
          <w:u w:val="single"/>
        </w:rPr>
      </w:pPr>
      <w:r>
        <w:rPr>
          <w:rFonts w:hint="eastAsia" w:hAnsi="宋体" w:eastAsia="宋体" w:cs="宋体"/>
          <w:color w:val="auto"/>
          <w:sz w:val="24"/>
          <w:szCs w:val="24"/>
          <w:highlight w:val="none"/>
          <w:u w:val="single"/>
        </w:rPr>
        <w:t xml:space="preserve">                                                                                                             </w:t>
      </w:r>
    </w:p>
    <w:p w14:paraId="3CFECA32">
      <w:pPr>
        <w:pStyle w:val="22"/>
        <w:adjustRightInd w:val="0"/>
        <w:snapToGrid w:val="0"/>
        <w:spacing w:line="300" w:lineRule="auto"/>
        <w:ind w:right="-240"/>
        <w:outlineLvl w:val="2"/>
        <w:rPr>
          <w:rFonts w:hint="eastAsia" w:hAnsi="宋体" w:eastAsia="宋体" w:cs="宋体"/>
          <w:b/>
          <w:bCs/>
          <w:color w:val="auto"/>
          <w:sz w:val="24"/>
          <w:szCs w:val="24"/>
          <w:highlight w:val="none"/>
        </w:rPr>
      </w:pPr>
      <w:bookmarkStart w:id="79" w:name="_Toc469384011"/>
      <w:bookmarkStart w:id="80" w:name="_Toc46860832"/>
      <w:r>
        <w:rPr>
          <w:rFonts w:hint="eastAsia" w:hAnsi="宋体" w:eastAsia="宋体" w:cs="宋体"/>
          <w:b/>
          <w:bCs/>
          <w:color w:val="auto"/>
          <w:sz w:val="24"/>
          <w:szCs w:val="24"/>
          <w:highlight w:val="none"/>
        </w:rPr>
        <w:t>30  承包人风险</w:t>
      </w:r>
      <w:bookmarkEnd w:id="79"/>
      <w:bookmarkEnd w:id="80"/>
    </w:p>
    <w:p w14:paraId="078483C5">
      <w:pPr>
        <w:pStyle w:val="22"/>
        <w:tabs>
          <w:tab w:val="left" w:pos="1320"/>
          <w:tab w:val="left" w:pos="1440"/>
        </w:tabs>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770880" behindDoc="0" locked="0" layoutInCell="1" allowOverlap="1">
                <wp:simplePos x="0" y="0"/>
                <wp:positionH relativeFrom="column">
                  <wp:posOffset>-133350</wp:posOffset>
                </wp:positionH>
                <wp:positionV relativeFrom="paragraph">
                  <wp:posOffset>189230</wp:posOffset>
                </wp:positionV>
                <wp:extent cx="1028700" cy="427355"/>
                <wp:effectExtent l="0" t="0" r="0" b="0"/>
                <wp:wrapNone/>
                <wp:docPr id="1135" name="000142"/>
                <wp:cNvGraphicFramePr/>
                <a:graphic xmlns:a="http://schemas.openxmlformats.org/drawingml/2006/main">
                  <a:graphicData uri="http://schemas.microsoft.com/office/word/2010/wordprocessingShape">
                    <wps:wsp>
                      <wps:cNvSpPr/>
                      <wps:spPr>
                        <a:xfrm>
                          <a:off x="0" y="0"/>
                          <a:ext cx="1028700" cy="427355"/>
                        </a:xfrm>
                        <a:prstGeom prst="rect">
                          <a:avLst/>
                        </a:prstGeom>
                        <a:ln>
                          <a:noFill/>
                        </a:ln>
                      </wps:spPr>
                      <wps:txbx>
                        <w:txbxContent>
                          <w:p w14:paraId="54EB14B4">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承包人承担风</w:t>
                            </w:r>
                          </w:p>
                          <w:p w14:paraId="33213D1A">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wps:txbx>
                      <wps:bodyPr wrap="square"/>
                    </wps:wsp>
                  </a:graphicData>
                </a:graphic>
              </wp:anchor>
            </w:drawing>
          </mc:Choice>
          <mc:Fallback>
            <w:pict>
              <v:rect id="000142" o:spid="_x0000_s1026" o:spt="1" style="position:absolute;left:0pt;margin-left:-10.5pt;margin-top:14.9pt;height:33.65pt;width:81pt;z-index:251770880;mso-width-relative:page;mso-height-relative:page;" filled="f" stroked="f" coordsize="21600,21600" o:gfxdata="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el7Gs2QAAAAkBAAAPAAAAAAAAAAEAIAAAACIA&#10;AABkcnMvZG93bnJldi54bWxQSwECFAAUAAAACACHTuJA4L9vu5YBAAA5AwAADgAAAAAAAAABACAA&#10;AAAoAQAAZHJzL2Uyb0RvYy54bWxQSwUGAAAAAAYABgBZAQAAMAUAAAAA&#10;">
                <v:fill on="f" focussize="0,0"/>
                <v:stroke on="f"/>
                <v:imagedata o:title=""/>
                <o:lock v:ext="edit" aspectratio="f"/>
                <v:textbox>
                  <w:txbxContent>
                    <w:p w14:paraId="54EB14B4">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承包人承担风</w:t>
                      </w:r>
                    </w:p>
                    <w:p w14:paraId="33213D1A">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rect>
            </w:pict>
          </mc:Fallback>
        </mc:AlternateContent>
      </w:r>
      <w:r>
        <w:rPr>
          <w:rFonts w:hint="eastAsia" w:hAnsi="宋体" w:eastAsia="宋体" w:cs="宋体"/>
          <w:b/>
          <w:bCs/>
          <w:color w:val="auto"/>
          <w:sz w:val="24"/>
          <w:szCs w:val="24"/>
          <w:highlight w:val="none"/>
        </w:rPr>
        <w:t xml:space="preserve">30.1      </w:t>
      </w:r>
    </w:p>
    <w:p w14:paraId="2648CE68">
      <w:pPr>
        <w:pStyle w:val="22"/>
        <w:tabs>
          <w:tab w:val="left" w:pos="1440"/>
        </w:tabs>
        <w:adjustRightInd w:val="0"/>
        <w:snapToGrid w:val="0"/>
        <w:spacing w:line="300" w:lineRule="auto"/>
        <w:ind w:firstLine="1620" w:firstLineChars="675"/>
        <w:rPr>
          <w:rFonts w:hint="eastAsia" w:hAnsi="宋体" w:eastAsia="宋体" w:cs="宋体"/>
          <w:color w:val="auto"/>
          <w:sz w:val="24"/>
          <w:szCs w:val="24"/>
          <w:highlight w:val="none"/>
        </w:rPr>
      </w:pPr>
      <w:r>
        <w:rPr>
          <w:rFonts w:hint="eastAsia" w:hAnsi="宋体" w:eastAsia="宋体" w:cs="宋体"/>
          <w:color w:val="auto"/>
          <w:sz w:val="24"/>
          <w:szCs w:val="24"/>
          <w:highlight w:val="none"/>
        </w:rPr>
        <w:t>承包人应承担本合同中规定应由承包人承担的风险。</w:t>
      </w:r>
    </w:p>
    <w:p w14:paraId="256A15C6">
      <w:pPr>
        <w:pStyle w:val="22"/>
        <w:tabs>
          <w:tab w:val="left" w:pos="1320"/>
          <w:tab w:val="left" w:pos="1440"/>
        </w:tabs>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771904"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1136" name="000143"/>
                <wp:cNvGraphicFramePr/>
                <a:graphic xmlns:a="http://schemas.openxmlformats.org/drawingml/2006/main">
                  <a:graphicData uri="http://schemas.microsoft.com/office/word/2010/wordprocessingShape">
                    <wps:wsp>
                      <wps:cNvSpPr/>
                      <wps:spPr>
                        <a:xfrm>
                          <a:off x="0" y="0"/>
                          <a:ext cx="914400" cy="307975"/>
                        </a:xfrm>
                        <a:prstGeom prst="rect">
                          <a:avLst/>
                        </a:prstGeom>
                        <a:ln>
                          <a:noFill/>
                        </a:ln>
                      </wps:spPr>
                      <wps:txbx>
                        <w:txbxContent>
                          <w:p w14:paraId="7CD175DB">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承包人风险</w:t>
                            </w:r>
                          </w:p>
                        </w:txbxContent>
                      </wps:txbx>
                      <wps:bodyPr wrap="square"/>
                    </wps:wsp>
                  </a:graphicData>
                </a:graphic>
              </wp:anchor>
            </w:drawing>
          </mc:Choice>
          <mc:Fallback>
            <w:pict>
              <v:rect id="000143" o:spid="_x0000_s1026" o:spt="1" style="position:absolute;left:0pt;margin-left:-9pt;margin-top:20.65pt;height:24.25pt;width:72pt;z-index:251771904;mso-width-relative:page;mso-height-relative:page;" filled="f" stroked="f" coordsize="21600,21600" o:gfxdata="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TlOkDdoAAAAJAQAADwAAAAAAAAABACAAAAAi&#10;AAAAZHJzL2Rvd25yZXYueG1sUEsBAhQAFAAAAAgAh07iQG00/FGWAQAAOAMAAA4AAAAAAAAAAQAg&#10;AAAAKQEAAGRycy9lMm9Eb2MueG1sUEsFBgAAAAAGAAYAWQEAADEFAAAAAA==&#10;">
                <v:fill on="f" focussize="0,0"/>
                <v:stroke on="f"/>
                <v:imagedata o:title=""/>
                <o:lock v:ext="edit" aspectratio="f"/>
                <v:textbox>
                  <w:txbxContent>
                    <w:p w14:paraId="7CD175DB">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承包人风险</w:t>
                      </w:r>
                    </w:p>
                  </w:txbxContent>
                </v:textbox>
              </v:rect>
            </w:pict>
          </mc:Fallback>
        </mc:AlternateContent>
      </w:r>
      <w:r>
        <w:rPr>
          <w:rFonts w:hint="eastAsia" w:hAnsi="宋体" w:eastAsia="宋体" w:cs="宋体"/>
          <w:b/>
          <w:bCs/>
          <w:color w:val="auto"/>
          <w:sz w:val="24"/>
          <w:szCs w:val="24"/>
          <w:highlight w:val="none"/>
        </w:rPr>
        <w:t xml:space="preserve">30.2  </w:t>
      </w:r>
      <w:r>
        <w:rPr>
          <w:rFonts w:hint="eastAsia" w:hAnsi="宋体" w:eastAsia="宋体" w:cs="宋体"/>
          <w:b/>
          <w:bCs/>
          <w:color w:val="auto"/>
          <w:sz w:val="24"/>
          <w:szCs w:val="24"/>
          <w:highlight w:val="none"/>
          <w:u w:val="dotted"/>
        </w:rPr>
        <w:t xml:space="preserve">                                                                                                                </w:t>
      </w:r>
      <w:r>
        <w:rPr>
          <w:rFonts w:hint="eastAsia" w:hAnsi="宋体" w:eastAsia="宋体" w:cs="宋体"/>
          <w:b/>
          <w:bCs/>
          <w:color w:val="auto"/>
          <w:sz w:val="24"/>
          <w:szCs w:val="24"/>
          <w:highlight w:val="none"/>
        </w:rPr>
        <w:t xml:space="preserve">                                                                                     </w:t>
      </w:r>
    </w:p>
    <w:p w14:paraId="16D8D892">
      <w:pPr>
        <w:pStyle w:val="22"/>
        <w:tabs>
          <w:tab w:val="left" w:pos="1440"/>
        </w:tabs>
        <w:adjustRightInd w:val="0"/>
        <w:snapToGrid w:val="0"/>
        <w:spacing w:line="300" w:lineRule="auto"/>
        <w:ind w:left="1619" w:leftChars="771" w:firstLine="2"/>
        <w:rPr>
          <w:rFonts w:hint="eastAsia" w:hAnsi="宋体" w:eastAsia="宋体" w:cs="宋体"/>
          <w:color w:val="auto"/>
          <w:sz w:val="24"/>
          <w:szCs w:val="24"/>
          <w:highlight w:val="none"/>
        </w:rPr>
      </w:pPr>
      <w:r>
        <w:rPr>
          <w:rFonts w:hint="eastAsia" w:hAnsi="宋体" w:eastAsia="宋体" w:cs="宋体"/>
          <w:color w:val="auto"/>
          <w:sz w:val="24"/>
          <w:szCs w:val="24"/>
          <w:highlight w:val="none"/>
        </w:rPr>
        <w:t>自开工之日起直到颁发工程接收证书之日止，承包人风险为：除第29条和第31条以外的人员伤亡以及财产（包括但不限于合同工程、材料、工程设备和施工设备）的损失或损坏。</w:t>
      </w:r>
    </w:p>
    <w:p w14:paraId="07FC699B">
      <w:pPr>
        <w:pStyle w:val="22"/>
        <w:adjustRightInd w:val="0"/>
        <w:snapToGrid w:val="0"/>
        <w:spacing w:line="300" w:lineRule="auto"/>
        <w:ind w:right="-240"/>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109319B4">
      <w:pPr>
        <w:pStyle w:val="22"/>
        <w:adjustRightInd w:val="0"/>
        <w:snapToGrid w:val="0"/>
        <w:spacing w:line="300" w:lineRule="auto"/>
        <w:ind w:right="-240"/>
        <w:outlineLvl w:val="2"/>
        <w:rPr>
          <w:rFonts w:hint="eastAsia" w:hAnsi="宋体" w:eastAsia="宋体" w:cs="宋体"/>
          <w:b/>
          <w:bCs/>
          <w:color w:val="auto"/>
          <w:sz w:val="24"/>
          <w:szCs w:val="24"/>
          <w:highlight w:val="none"/>
        </w:rPr>
      </w:pPr>
      <w:bookmarkStart w:id="81" w:name="_Toc46860833"/>
      <w:bookmarkStart w:id="82" w:name="_Toc469384012"/>
    </w:p>
    <w:p w14:paraId="47A9B01E">
      <w:pPr>
        <w:pStyle w:val="22"/>
        <w:adjustRightInd w:val="0"/>
        <w:snapToGrid w:val="0"/>
        <w:spacing w:line="300" w:lineRule="auto"/>
        <w:ind w:right="-240"/>
        <w:outlineLvl w:val="2"/>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31  不可抗力</w:t>
      </w:r>
      <w:bookmarkEnd w:id="81"/>
      <w:bookmarkEnd w:id="82"/>
    </w:p>
    <w:p w14:paraId="3AEA0FFA">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31.1      </w:t>
      </w:r>
    </w:p>
    <w:p w14:paraId="756D6019">
      <w:pPr>
        <w:pStyle w:val="22"/>
        <w:adjustRightInd w:val="0"/>
        <w:snapToGrid w:val="0"/>
        <w:spacing w:line="300" w:lineRule="auto"/>
        <w:ind w:left="1619"/>
        <w:rPr>
          <w:rFonts w:hint="eastAsia" w:hAnsi="宋体" w:eastAsia="宋体" w:cs="宋体"/>
          <w:color w:val="auto"/>
          <w:kern w:val="0"/>
          <w:sz w:val="24"/>
          <w:szCs w:val="24"/>
          <w:highlight w:val="none"/>
        </w:rPr>
      </w:pPr>
      <w:r>
        <w:rPr>
          <w:rFonts w:hint="eastAsia" w:hAnsi="宋体" w:eastAsia="宋体" w:cs="宋体"/>
          <w:color w:val="auto"/>
          <w:kern w:val="0"/>
          <w:sz w:val="24"/>
          <w:szCs w:val="24"/>
          <w:highlight w:val="none"/>
        </w:rPr>
        <w:t>不可抗力是指合同当事人在签订合同时不可预见，在合同履行过程中不可避免且不能克服的自然灾害和社会性突发事件，如地震、海啸、瘟疫、骚乱、戒严、暴动、战争等。</w:t>
      </w:r>
    </w:p>
    <w:p w14:paraId="1C73B36C">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31.2  </w:t>
      </w:r>
      <w:r>
        <w:rPr>
          <w:rFonts w:hint="eastAsia" w:hAnsi="宋体" w:eastAsia="宋体" w:cs="宋体"/>
          <w:b/>
          <w:bCs/>
          <w:color w:val="auto"/>
          <w:sz w:val="24"/>
          <w:szCs w:val="24"/>
          <w:highlight w:val="none"/>
          <w:u w:val="dotted"/>
        </w:rPr>
        <w:t xml:space="preserve">                                                                                                       </w:t>
      </w:r>
    </w:p>
    <w:p w14:paraId="2F73194E">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772928"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1137" name="000144"/>
                <wp:cNvGraphicFramePr/>
                <a:graphic xmlns:a="http://schemas.openxmlformats.org/drawingml/2006/main">
                  <a:graphicData uri="http://schemas.microsoft.com/office/word/2010/wordprocessingShape">
                    <wps:wsp>
                      <wps:cNvSpPr/>
                      <wps:spPr>
                        <a:xfrm>
                          <a:off x="0" y="0"/>
                          <a:ext cx="914400" cy="492759"/>
                        </a:xfrm>
                        <a:prstGeom prst="rect">
                          <a:avLst/>
                        </a:prstGeom>
                        <a:ln>
                          <a:noFill/>
                        </a:ln>
                      </wps:spPr>
                      <wps:txbx>
                        <w:txbxContent>
                          <w:p w14:paraId="5A0FEF77">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不可抗力处理程序</w:t>
                            </w:r>
                          </w:p>
                        </w:txbxContent>
                      </wps:txbx>
                      <wps:bodyPr wrap="square"/>
                    </wps:wsp>
                  </a:graphicData>
                </a:graphic>
              </wp:anchor>
            </w:drawing>
          </mc:Choice>
          <mc:Fallback>
            <w:pict>
              <v:rect id="000144" o:spid="_x0000_s1026" o:spt="1" style="position:absolute;left:0pt;margin-left:-9pt;margin-top:0.6pt;height:38.8pt;width:72pt;z-index:251772928;mso-width-relative:page;mso-height-relative:page;" filled="f" stroked="f" coordsize="21600,21600" o:gfxdata="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l1K5i1wAAAAgBAAAPAAAAAAAAAAEAIAAAACIAAABk&#10;cnMvZG93bnJldi54bWxQSwECFAAUAAAACACHTuJAJdhb/ZUBAAA4AwAADgAAAAAAAAABACAAAAAm&#10;AQAAZHJzL2Uyb0RvYy54bWxQSwUGAAAAAAYABgBZAQAALQUAAAAA&#10;">
                <v:fill on="f" focussize="0,0"/>
                <v:stroke on="f"/>
                <v:imagedata o:title=""/>
                <o:lock v:ext="edit" aspectratio="f"/>
                <v:textbox>
                  <w:txbxContent>
                    <w:p w14:paraId="5A0FEF77">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不可抗力处理程序</w:t>
                      </w:r>
                    </w:p>
                  </w:txbxContent>
                </v:textbox>
              </v:rect>
            </w:pict>
          </mc:Fallback>
        </mc:AlternateContent>
      </w:r>
      <w:r>
        <w:rPr>
          <w:rFonts w:hint="eastAsia" w:hAnsi="宋体" w:eastAsia="宋体" w:cs="宋体"/>
          <w:color w:val="auto"/>
          <w:sz w:val="24"/>
          <w:szCs w:val="24"/>
          <w:highlight w:val="none"/>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7天内，承包人向监理工程师通报受害情况和损失情况，并预计清理和修复的费用，抄送造价工程师。不可抗力事件持续发生，承包人应每隔7天向监理工程师和造价工程师报告一次受害情况。不可抗力事件结束后的28天内，承包人应分别按照第36条、第74条规定索赔工期、费用。</w:t>
      </w:r>
    </w:p>
    <w:p w14:paraId="57AED073">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31.3  </w:t>
      </w:r>
      <w:r>
        <w:rPr>
          <w:rFonts w:hint="eastAsia" w:hAnsi="宋体" w:eastAsia="宋体" w:cs="宋体"/>
          <w:b/>
          <w:bCs/>
          <w:color w:val="auto"/>
          <w:sz w:val="24"/>
          <w:szCs w:val="24"/>
          <w:highlight w:val="none"/>
          <w:u w:val="dotted"/>
        </w:rPr>
        <w:t xml:space="preserve">                                                                                                       </w:t>
      </w:r>
    </w:p>
    <w:p w14:paraId="3528F3EF">
      <w:pPr>
        <w:pStyle w:val="22"/>
        <w:adjustRightInd w:val="0"/>
        <w:snapToGrid w:val="0"/>
        <w:spacing w:line="300" w:lineRule="auto"/>
        <w:ind w:left="1619" w:leftChars="771" w:firstLine="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773952"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1138" name="000145"/>
                <wp:cNvGraphicFramePr/>
                <a:graphic xmlns:a="http://schemas.openxmlformats.org/drawingml/2006/main">
                  <a:graphicData uri="http://schemas.microsoft.com/office/word/2010/wordprocessingShape">
                    <wps:wsp>
                      <wps:cNvSpPr/>
                      <wps:spPr>
                        <a:xfrm>
                          <a:off x="0" y="0"/>
                          <a:ext cx="914400" cy="693420"/>
                        </a:xfrm>
                        <a:prstGeom prst="rect">
                          <a:avLst/>
                        </a:prstGeom>
                        <a:ln>
                          <a:noFill/>
                        </a:ln>
                      </wps:spPr>
                      <wps:txbx>
                        <w:txbxContent>
                          <w:p w14:paraId="322E79CC">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不可抗力引起费用的承担</w:t>
                            </w:r>
                          </w:p>
                        </w:txbxContent>
                      </wps:txbx>
                      <wps:bodyPr wrap="square"/>
                    </wps:wsp>
                  </a:graphicData>
                </a:graphic>
              </wp:anchor>
            </w:drawing>
          </mc:Choice>
          <mc:Fallback>
            <w:pict>
              <v:rect id="000145" o:spid="_x0000_s1026" o:spt="1" style="position:absolute;left:0pt;margin-left:-9pt;margin-top:1.75pt;height:54.6pt;width:72pt;z-index:251773952;mso-width-relative:page;mso-height-relative:page;" filled="f" stroked="f" coordsize="21600,21600" o:gfxdata="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GpkUE2QAAAAkBAAAPAAAAAAAAAAEAIAAAACIA&#10;AABkcnMvZG93bnJldi54bWxQSwECFAAUAAAACACHTuJAIDiOY5YBAAA4AwAADgAAAAAAAAABACAA&#10;AAAoAQAAZHJzL2Uyb0RvYy54bWxQSwUGAAAAAAYABgBZAQAAMAUAAAAA&#10;">
                <v:fill on="f" focussize="0,0"/>
                <v:stroke on="f"/>
                <v:imagedata o:title=""/>
                <o:lock v:ext="edit" aspectratio="f"/>
                <v:textbox>
                  <w:txbxContent>
                    <w:p w14:paraId="322E79CC">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不可抗力引起费用的承担</w:t>
                      </w:r>
                    </w:p>
                  </w:txbxContent>
                </v:textbox>
              </v:rect>
            </w:pict>
          </mc:Fallback>
        </mc:AlternateContent>
      </w:r>
      <w:r>
        <w:rPr>
          <w:rFonts w:hint="eastAsia" w:hAnsi="宋体" w:eastAsia="宋体" w:cs="宋体"/>
          <w:color w:val="auto"/>
          <w:sz w:val="24"/>
          <w:szCs w:val="24"/>
          <w:highlight w:val="none"/>
        </w:rPr>
        <w:t>因不可抗力事件导致的费用，由合同双方当事人按照下列规定承担，并相应调整合同价款：</w:t>
      </w:r>
    </w:p>
    <w:p w14:paraId="46192F2D">
      <w:pPr>
        <w:pStyle w:val="22"/>
        <w:numPr>
          <w:ilvl w:val="0"/>
          <w:numId w:val="15"/>
        </w:numPr>
        <w:tabs>
          <w:tab w:val="left" w:pos="1080"/>
        </w:tabs>
        <w:adjustRightInd w:val="0"/>
        <w:snapToGrid w:val="0"/>
        <w:spacing w:line="300" w:lineRule="auto"/>
        <w:ind w:left="1619" w:leftChars="771" w:firstLine="1"/>
        <w:rPr>
          <w:rFonts w:hint="eastAsia" w:hAnsi="宋体" w:eastAsia="宋体" w:cs="宋体"/>
          <w:color w:val="auto"/>
          <w:sz w:val="24"/>
          <w:szCs w:val="24"/>
          <w:highlight w:val="none"/>
        </w:rPr>
      </w:pPr>
      <w:r>
        <w:rPr>
          <w:rFonts w:hint="eastAsia" w:hAnsi="宋体" w:eastAsia="宋体" w:cs="宋体"/>
          <w:color w:val="auto"/>
          <w:sz w:val="24"/>
          <w:szCs w:val="24"/>
          <w:highlight w:val="none"/>
        </w:rPr>
        <w:t>永久工程本身的损害、已运至施工场地的材料和工程设备的损害，以及因工程损害导致第三者人员伤亡和财产损失，由发包人承担；</w:t>
      </w:r>
    </w:p>
    <w:p w14:paraId="70644033">
      <w:pPr>
        <w:pStyle w:val="22"/>
        <w:numPr>
          <w:ilvl w:val="0"/>
          <w:numId w:val="15"/>
        </w:numPr>
        <w:tabs>
          <w:tab w:val="left" w:pos="1080"/>
        </w:tabs>
        <w:adjustRightInd w:val="0"/>
        <w:snapToGrid w:val="0"/>
        <w:spacing w:line="300" w:lineRule="auto"/>
        <w:ind w:left="1619" w:leftChars="771" w:firstLine="1"/>
        <w:rPr>
          <w:rFonts w:hint="eastAsia" w:hAnsi="宋体" w:eastAsia="宋体" w:cs="宋体"/>
          <w:color w:val="auto"/>
          <w:sz w:val="24"/>
          <w:szCs w:val="24"/>
          <w:highlight w:val="none"/>
        </w:rPr>
      </w:pPr>
      <w:r>
        <w:rPr>
          <w:rFonts w:hint="eastAsia" w:hAnsi="宋体" w:eastAsia="宋体" w:cs="宋体"/>
          <w:color w:val="auto"/>
          <w:sz w:val="24"/>
          <w:szCs w:val="24"/>
          <w:highlight w:val="none"/>
        </w:rPr>
        <w:t>承包人施工设备和用于合同工程的周转材料损坏以及停工损失，由承包人承担；发包人提供的施工设备损坏，由发包人承担；</w:t>
      </w:r>
    </w:p>
    <w:p w14:paraId="5B861616">
      <w:pPr>
        <w:pStyle w:val="22"/>
        <w:numPr>
          <w:ilvl w:val="0"/>
          <w:numId w:val="15"/>
        </w:numPr>
        <w:tabs>
          <w:tab w:val="left" w:pos="1080"/>
        </w:tabs>
        <w:adjustRightInd w:val="0"/>
        <w:snapToGrid w:val="0"/>
        <w:spacing w:line="300" w:lineRule="auto"/>
        <w:ind w:left="1619" w:leftChars="771" w:firstLine="0"/>
        <w:rPr>
          <w:rFonts w:hint="eastAsia" w:hAnsi="宋体" w:eastAsia="宋体" w:cs="宋体"/>
          <w:color w:val="auto"/>
          <w:sz w:val="24"/>
          <w:szCs w:val="24"/>
          <w:highlight w:val="none"/>
        </w:rPr>
      </w:pPr>
      <w:r>
        <w:rPr>
          <w:rFonts w:hint="eastAsia" w:hAnsi="宋体" w:eastAsia="宋体" w:cs="宋体"/>
          <w:color w:val="auto"/>
          <w:sz w:val="24"/>
          <w:szCs w:val="24"/>
          <w:highlight w:val="none"/>
        </w:rPr>
        <w:t>施工场地内的人员伤亡和本款第(1)点、第(2)点以外财产损失及其相关费用，由合同双方当事人各自承担；</w:t>
      </w:r>
    </w:p>
    <w:p w14:paraId="4F317892">
      <w:pPr>
        <w:pStyle w:val="22"/>
        <w:numPr>
          <w:ilvl w:val="0"/>
          <w:numId w:val="15"/>
        </w:numPr>
        <w:tabs>
          <w:tab w:val="left" w:pos="1080"/>
        </w:tabs>
        <w:adjustRightInd w:val="0"/>
        <w:snapToGrid w:val="0"/>
        <w:spacing w:line="300" w:lineRule="auto"/>
        <w:ind w:left="1619" w:leftChars="771" w:firstLine="1"/>
        <w:rPr>
          <w:rFonts w:hint="eastAsia" w:hAnsi="宋体" w:eastAsia="宋体" w:cs="宋体"/>
          <w:color w:val="auto"/>
          <w:sz w:val="24"/>
          <w:szCs w:val="24"/>
          <w:highlight w:val="none"/>
        </w:rPr>
      </w:pPr>
      <w:r>
        <w:rPr>
          <w:rFonts w:hint="eastAsia" w:hAnsi="宋体" w:eastAsia="宋体" w:cs="宋体"/>
          <w:color w:val="auto"/>
          <w:sz w:val="24"/>
          <w:szCs w:val="24"/>
          <w:highlight w:val="none"/>
        </w:rPr>
        <w:t>停工期间，承包人应监理工程师要求照管工程的费用，由发包人承担；</w:t>
      </w:r>
    </w:p>
    <w:p w14:paraId="282A36E9">
      <w:pPr>
        <w:pStyle w:val="22"/>
        <w:numPr>
          <w:ilvl w:val="0"/>
          <w:numId w:val="15"/>
        </w:numPr>
        <w:tabs>
          <w:tab w:val="left" w:pos="1080"/>
        </w:tabs>
        <w:adjustRightInd w:val="0"/>
        <w:snapToGrid w:val="0"/>
        <w:spacing w:line="300" w:lineRule="auto"/>
        <w:ind w:left="2096" w:leftChars="772" w:hanging="475" w:hangingChars="198"/>
        <w:rPr>
          <w:rFonts w:hint="eastAsia" w:hAnsi="宋体" w:eastAsia="宋体" w:cs="宋体"/>
          <w:color w:val="auto"/>
          <w:sz w:val="24"/>
          <w:szCs w:val="24"/>
          <w:highlight w:val="none"/>
        </w:rPr>
      </w:pPr>
      <w:r>
        <w:rPr>
          <w:rFonts w:hint="eastAsia" w:hAnsi="宋体" w:eastAsia="宋体" w:cs="宋体"/>
          <w:color w:val="auto"/>
          <w:sz w:val="24"/>
          <w:szCs w:val="24"/>
          <w:highlight w:val="none"/>
        </w:rPr>
        <w:t>工程所需的清理、修复费用，由发包人承担。</w:t>
      </w:r>
    </w:p>
    <w:p w14:paraId="5365BFB2">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774976"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39" name="000146"/>
                <wp:cNvGraphicFramePr/>
                <a:graphic xmlns:a="http://schemas.openxmlformats.org/drawingml/2006/main">
                  <a:graphicData uri="http://schemas.microsoft.com/office/word/2010/wordprocessingShape">
                    <wps:wsp>
                      <wps:cNvSpPr/>
                      <wps:spPr>
                        <a:xfrm>
                          <a:off x="0" y="0"/>
                          <a:ext cx="914400" cy="563245"/>
                        </a:xfrm>
                        <a:prstGeom prst="rect">
                          <a:avLst/>
                        </a:prstGeom>
                        <a:ln>
                          <a:noFill/>
                        </a:ln>
                      </wps:spPr>
                      <wps:txbx>
                        <w:txbxContent>
                          <w:p w14:paraId="44CD3905">
                            <w:pPr>
                              <w:spacing w:line="240" w:lineRule="exact"/>
                              <w:rPr>
                                <w:rFonts w:hint="eastAsia" w:ascii="宋体"/>
                                <w:sz w:val="18"/>
                                <w:szCs w:val="18"/>
                              </w:rPr>
                            </w:pPr>
                            <w:r>
                              <w:rPr>
                                <w:rFonts w:hint="eastAsia" w:ascii="楷体_GB2312" w:hAnsi="宋体" w:eastAsia="楷体_GB2312" w:cs="楷体_GB2312"/>
                                <w:b/>
                                <w:bCs/>
                                <w:color w:val="000000"/>
                                <w:sz w:val="18"/>
                                <w:szCs w:val="18"/>
                              </w:rPr>
                              <w:t>不可抗力引起工期的处理</w:t>
                            </w:r>
                          </w:p>
                        </w:txbxContent>
                      </wps:txbx>
                      <wps:bodyPr wrap="square"/>
                    </wps:wsp>
                  </a:graphicData>
                </a:graphic>
              </wp:anchor>
            </w:drawing>
          </mc:Choice>
          <mc:Fallback>
            <w:pict>
              <v:rect id="000146" o:spid="_x0000_s1026" o:spt="1" style="position:absolute;left:0pt;margin-left:-9pt;margin-top:19.5pt;height:44.35pt;width:72pt;z-index:251774976;mso-width-relative:page;mso-height-relative:page;" filled="f" stroked="f" coordsize="21600,21600" o:gfxdata="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kfnekNoAAAAKAQAADwAAAAAAAAABACAAAAAi&#10;AAAAZHJzL2Rvd25yZXYueG1sUEsBAhQAFAAAAAgAh07iQExK6wSWAQAAOAMAAA4AAAAAAAAAAQAg&#10;AAAAKQEAAGRycy9lMm9Eb2MueG1sUEsFBgAAAAAGAAYAWQEAADEFAAAAAA==&#10;">
                <v:fill on="f" focussize="0,0"/>
                <v:stroke on="f"/>
                <v:imagedata o:title=""/>
                <o:lock v:ext="edit" aspectratio="f"/>
                <v:textbox>
                  <w:txbxContent>
                    <w:p w14:paraId="44CD3905">
                      <w:pPr>
                        <w:spacing w:line="240" w:lineRule="exact"/>
                        <w:rPr>
                          <w:rFonts w:hint="eastAsia" w:ascii="宋体"/>
                          <w:sz w:val="18"/>
                          <w:szCs w:val="18"/>
                        </w:rPr>
                      </w:pPr>
                      <w:r>
                        <w:rPr>
                          <w:rFonts w:hint="eastAsia" w:ascii="楷体_GB2312" w:hAnsi="宋体" w:eastAsia="楷体_GB2312" w:cs="楷体_GB2312"/>
                          <w:b/>
                          <w:bCs/>
                          <w:color w:val="000000"/>
                          <w:sz w:val="18"/>
                          <w:szCs w:val="18"/>
                        </w:rPr>
                        <w:t>不可抗力引起工期的处理</w:t>
                      </w:r>
                    </w:p>
                  </w:txbxContent>
                </v:textbox>
              </v:rect>
            </w:pict>
          </mc:Fallback>
        </mc:AlternateContent>
      </w:r>
      <w:r>
        <w:rPr>
          <w:rFonts w:hint="eastAsia" w:hAnsi="宋体" w:eastAsia="宋体" w:cs="宋体"/>
          <w:b/>
          <w:bCs/>
          <w:color w:val="auto"/>
          <w:sz w:val="24"/>
          <w:szCs w:val="24"/>
          <w:highlight w:val="none"/>
        </w:rPr>
        <w:t xml:space="preserve">31.4  </w:t>
      </w:r>
      <w:r>
        <w:rPr>
          <w:rFonts w:hint="eastAsia" w:hAnsi="宋体" w:eastAsia="宋体" w:cs="宋体"/>
          <w:b/>
          <w:bCs/>
          <w:color w:val="auto"/>
          <w:sz w:val="24"/>
          <w:szCs w:val="24"/>
          <w:highlight w:val="none"/>
          <w:u w:val="dotted"/>
        </w:rPr>
        <w:t xml:space="preserve">                                                                                                        </w:t>
      </w:r>
    </w:p>
    <w:p w14:paraId="60D0A966">
      <w:pPr>
        <w:pStyle w:val="22"/>
        <w:adjustRightInd w:val="0"/>
        <w:snapToGrid w:val="0"/>
        <w:spacing w:line="300" w:lineRule="auto"/>
        <w:ind w:left="1619" w:leftChars="771"/>
        <w:rPr>
          <w:rFonts w:hint="eastAsia" w:hAnsi="宋体" w:eastAsia="宋体" w:cs="宋体"/>
          <w:dstrike/>
          <w:color w:val="auto"/>
          <w:sz w:val="24"/>
          <w:szCs w:val="24"/>
          <w:highlight w:val="none"/>
        </w:rPr>
      </w:pPr>
      <w:r>
        <w:rPr>
          <w:rFonts w:hint="eastAsia" w:hAnsi="宋体" w:eastAsia="宋体" w:cs="宋体"/>
          <w:color w:val="auto"/>
          <w:sz w:val="24"/>
          <w:szCs w:val="24"/>
          <w:highlight w:val="none"/>
        </w:rPr>
        <w:t>因发生不可抗力事件导致工期延误的，工期相应顺延；不能按期竣工的，承包人无需为此支付任何误期赔偿费。发包人要求赶工的，承包人应采取赶工措施，赶工费用由发包人支付。</w:t>
      </w:r>
    </w:p>
    <w:p w14:paraId="50948AE5">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776000"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40" name="000147"/>
                <wp:cNvGraphicFramePr/>
                <a:graphic xmlns:a="http://schemas.openxmlformats.org/drawingml/2006/main">
                  <a:graphicData uri="http://schemas.microsoft.com/office/word/2010/wordprocessingShape">
                    <wps:wsp>
                      <wps:cNvSpPr/>
                      <wps:spPr>
                        <a:xfrm>
                          <a:off x="0" y="0"/>
                          <a:ext cx="914400" cy="563245"/>
                        </a:xfrm>
                        <a:prstGeom prst="rect">
                          <a:avLst/>
                        </a:prstGeom>
                        <a:ln>
                          <a:noFill/>
                        </a:ln>
                      </wps:spPr>
                      <wps:txbx>
                        <w:txbxContent>
                          <w:p w14:paraId="6706B35B">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wps:txbx>
                      <wps:bodyPr wrap="square"/>
                    </wps:wsp>
                  </a:graphicData>
                </a:graphic>
              </wp:anchor>
            </w:drawing>
          </mc:Choice>
          <mc:Fallback>
            <w:pict>
              <v:rect id="000147" o:spid="_x0000_s1026" o:spt="1" style="position:absolute;left:0pt;margin-left:-9pt;margin-top:19.5pt;height:44.35pt;width:72pt;z-index:251776000;mso-width-relative:page;mso-height-relative:page;" filled="f" stroked="f" coordsize="21600,21600" o:gfxdata="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R+d6Q2gAAAAoBAAAPAAAAAAAAAAEAIAAAACIA&#10;AABkcnMvZG93bnJldi54bWxQSwECFAAUAAAACACHTuJAY4JpQZUBAAA4AwAADgAAAAAAAAABACAA&#10;AAApAQAAZHJzL2Uyb0RvYy54bWxQSwUGAAAAAAYABgBZAQAAMAUAAAAA&#10;">
                <v:fill on="f" focussize="0,0"/>
                <v:stroke on="f"/>
                <v:imagedata o:title=""/>
                <o:lock v:ext="edit" aspectratio="f"/>
                <v:textbox>
                  <w:txbxContent>
                    <w:p w14:paraId="6706B35B">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v:textbox>
              </v:rect>
            </w:pict>
          </mc:Fallback>
        </mc:AlternateContent>
      </w:r>
      <w:r>
        <w:rPr>
          <w:rFonts w:hint="eastAsia" w:hAnsi="宋体" w:eastAsia="宋体" w:cs="宋体"/>
          <w:b/>
          <w:bCs/>
          <w:color w:val="auto"/>
          <w:sz w:val="24"/>
          <w:szCs w:val="24"/>
          <w:highlight w:val="none"/>
        </w:rPr>
        <w:t xml:space="preserve">31.5 </w:t>
      </w:r>
      <w:r>
        <w:rPr>
          <w:rFonts w:hint="eastAsia" w:hAnsi="宋体" w:eastAsia="宋体" w:cs="宋体"/>
          <w:b/>
          <w:bCs/>
          <w:color w:val="auto"/>
          <w:sz w:val="24"/>
          <w:szCs w:val="24"/>
          <w:highlight w:val="none"/>
          <w:u w:val="dotted"/>
        </w:rPr>
        <w:t xml:space="preserve">                                                                                                        </w:t>
      </w:r>
    </w:p>
    <w:p w14:paraId="31BFA99B">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合同任何一方当事人延迟履行合同后发生不可抗力事件的，不能免除另一方当事人因不可抗力造成损失的责任。</w:t>
      </w:r>
    </w:p>
    <w:p w14:paraId="781F3234">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77702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41" name="000148"/>
                <wp:cNvGraphicFramePr/>
                <a:graphic xmlns:a="http://schemas.openxmlformats.org/drawingml/2006/main">
                  <a:graphicData uri="http://schemas.microsoft.com/office/word/2010/wordprocessingShape">
                    <wps:wsp>
                      <wps:cNvSpPr/>
                      <wps:spPr>
                        <a:xfrm>
                          <a:off x="0" y="0"/>
                          <a:ext cx="914400" cy="563245"/>
                        </a:xfrm>
                        <a:prstGeom prst="rect">
                          <a:avLst/>
                        </a:prstGeom>
                        <a:ln>
                          <a:noFill/>
                        </a:ln>
                      </wps:spPr>
                      <wps:txbx>
                        <w:txbxContent>
                          <w:p w14:paraId="0D300040">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避免和减少不可抗力的损失</w:t>
                            </w:r>
                          </w:p>
                        </w:txbxContent>
                      </wps:txbx>
                      <wps:bodyPr wrap="square"/>
                    </wps:wsp>
                  </a:graphicData>
                </a:graphic>
              </wp:anchor>
            </w:drawing>
          </mc:Choice>
          <mc:Fallback>
            <w:pict>
              <v:rect id="000148" o:spid="_x0000_s1026" o:spt="1" style="position:absolute;left:0pt;margin-left:-9pt;margin-top:19.5pt;height:44.35pt;width:72pt;z-index:251777024;mso-width-relative:page;mso-height-relative:page;" filled="f" stroked="f" coordsize="21600,21600" o:gfxdata="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R+d6Q2gAAAAoBAAAPAAAAAAAAAAEAIAAAACIA&#10;AABkcnMvZG93bnJldi54bWxQSwECFAAUAAAACACHTuJA9aGVj5UBAAA4AwAADgAAAAAAAAABACAA&#10;AAApAQAAZHJzL2Uyb0RvYy54bWxQSwUGAAAAAAYABgBZAQAAMAUAAAAA&#10;">
                <v:fill on="f" focussize="0,0"/>
                <v:stroke on="f"/>
                <v:imagedata o:title=""/>
                <o:lock v:ext="edit" aspectratio="f"/>
                <v:textbox>
                  <w:txbxContent>
                    <w:p w14:paraId="0D300040">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避免和减少不可抗力的损失</w:t>
                      </w:r>
                    </w:p>
                  </w:txbxContent>
                </v:textbox>
              </v:rect>
            </w:pict>
          </mc:Fallback>
        </mc:AlternateContent>
      </w:r>
      <w:r>
        <w:rPr>
          <w:rFonts w:hint="eastAsia" w:hAnsi="宋体" w:eastAsia="宋体" w:cs="宋体"/>
          <w:b/>
          <w:bCs/>
          <w:color w:val="auto"/>
          <w:sz w:val="24"/>
          <w:szCs w:val="24"/>
          <w:highlight w:val="none"/>
        </w:rPr>
        <w:t xml:space="preserve">31.6 </w:t>
      </w:r>
      <w:r>
        <w:rPr>
          <w:rFonts w:hint="eastAsia" w:hAnsi="宋体" w:eastAsia="宋体" w:cs="宋体"/>
          <w:b/>
          <w:bCs/>
          <w:color w:val="auto"/>
          <w:sz w:val="24"/>
          <w:szCs w:val="24"/>
          <w:highlight w:val="none"/>
          <w:u w:val="dotted"/>
        </w:rPr>
        <w:t xml:space="preserve">                                                                                                        </w:t>
      </w:r>
    </w:p>
    <w:p w14:paraId="6E8F4393">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不可抗力事件发生后，合同双方当事人应采取措施尽量避免和减少由此发生的损失。因合同任何一方当事人没有采取有效措施而导致损失扩大的，则损失扩大部分由其自身承担。</w:t>
      </w:r>
    </w:p>
    <w:p w14:paraId="06E946DF">
      <w:pPr>
        <w:pStyle w:val="22"/>
        <w:adjustRightInd w:val="0"/>
        <w:snapToGrid w:val="0"/>
        <w:spacing w:line="300" w:lineRule="auto"/>
        <w:rPr>
          <w:rFonts w:hint="eastAsia" w:hAnsi="宋体" w:eastAsia="宋体" w:cs="宋体"/>
          <w:color w:val="auto"/>
          <w:sz w:val="24"/>
          <w:szCs w:val="24"/>
          <w:highlight w:val="none"/>
          <w:u w:val="single"/>
        </w:rPr>
      </w:pPr>
      <w:r>
        <w:rPr>
          <w:rFonts w:hint="eastAsia" w:hAnsi="宋体" w:eastAsia="宋体" w:cs="宋体"/>
          <w:b/>
          <w:bCs/>
          <w:color w:val="auto"/>
          <w:sz w:val="24"/>
          <w:szCs w:val="24"/>
          <w:highlight w:val="none"/>
          <w:u w:val="single"/>
        </w:rPr>
        <w:t xml:space="preserve">                                                                                   </w:t>
      </w:r>
      <w:r>
        <w:rPr>
          <w:rFonts w:hint="eastAsia" w:hAnsi="宋体" w:eastAsia="宋体" w:cs="宋体"/>
          <w:color w:val="auto"/>
          <w:sz w:val="24"/>
          <w:szCs w:val="24"/>
          <w:highlight w:val="none"/>
          <w:u w:val="single"/>
        </w:rPr>
        <w:t xml:space="preserve">        </w:t>
      </w:r>
    </w:p>
    <w:p w14:paraId="5D964C23">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83" w:name="_Toc46860834"/>
      <w:bookmarkStart w:id="84" w:name="_Toc469384013"/>
      <w:r>
        <w:rPr>
          <w:rFonts w:hint="eastAsia" w:hAnsi="宋体" w:eastAsia="宋体" w:cs="宋体"/>
          <w:b/>
          <w:bCs/>
          <w:color w:val="auto"/>
          <w:sz w:val="24"/>
          <w:szCs w:val="24"/>
          <w:highlight w:val="none"/>
        </w:rPr>
        <w:t>32  保险</w:t>
      </w:r>
      <w:bookmarkEnd w:id="83"/>
      <w:bookmarkEnd w:id="84"/>
    </w:p>
    <w:p w14:paraId="33D7271C">
      <w:pPr>
        <w:pStyle w:val="22"/>
        <w:tabs>
          <w:tab w:val="left" w:pos="1320"/>
        </w:tabs>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32.1      </w:t>
      </w:r>
    </w:p>
    <w:p w14:paraId="599DC494">
      <w:pPr>
        <w:pStyle w:val="22"/>
        <w:adjustRightInd w:val="0"/>
        <w:snapToGrid w:val="0"/>
        <w:spacing w:line="300" w:lineRule="auto"/>
        <w:ind w:firstLine="1620" w:firstLineChars="675"/>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778048"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1142" name="000149"/>
                <wp:cNvGraphicFramePr/>
                <a:graphic xmlns:a="http://schemas.openxmlformats.org/drawingml/2006/main">
                  <a:graphicData uri="http://schemas.microsoft.com/office/word/2010/wordprocessingShape">
                    <wps:wsp>
                      <wps:cNvSpPr/>
                      <wps:spPr>
                        <a:xfrm>
                          <a:off x="0" y="0"/>
                          <a:ext cx="1028700" cy="396240"/>
                        </a:xfrm>
                        <a:prstGeom prst="rect">
                          <a:avLst/>
                        </a:prstGeom>
                        <a:ln>
                          <a:noFill/>
                        </a:ln>
                      </wps:spPr>
                      <wps:txbx>
                        <w:txbxContent>
                          <w:p w14:paraId="18CD44B1">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建设单位办理保</w:t>
                            </w:r>
                          </w:p>
                          <w:p w14:paraId="0FFAC5D2">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wps:txbx>
                      <wps:bodyPr wrap="square"/>
                    </wps:wsp>
                  </a:graphicData>
                </a:graphic>
              </wp:anchor>
            </w:drawing>
          </mc:Choice>
          <mc:Fallback>
            <w:pict>
              <v:rect id="000149" o:spid="_x0000_s1026" o:spt="1" style="position:absolute;left:0pt;margin-left:-9pt;margin-top:0.6pt;height:31.2pt;width:81pt;z-index:251778048;mso-width-relative:page;mso-height-relative:page;" filled="f" stroked="f" coordsize="21600,21600" o:gfxdata="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LbwccnXAAAACAEAAA8AAAAAAAAAAQAgAAAAIgAA&#10;AGRycy9kb3ducmV2LnhtbFBLAQIUABQAAAAIAIdO4kALztXDlwEAADkDAAAOAAAAAAAAAAEAIAAA&#10;ACYBAABkcnMvZTJvRG9jLnhtbFBLBQYAAAAABgAGAFkBAAAvBQAAAAA=&#10;">
                <v:fill on="f" focussize="0,0"/>
                <v:stroke on="f"/>
                <v:imagedata o:title=""/>
                <o:lock v:ext="edit" aspectratio="f"/>
                <v:textbox>
                  <w:txbxContent>
                    <w:p w14:paraId="18CD44B1">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建设单位办理保</w:t>
                      </w:r>
                    </w:p>
                    <w:p w14:paraId="0FFAC5D2">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rect>
            </w:pict>
          </mc:Fallback>
        </mc:AlternateContent>
      </w:r>
      <w:r>
        <w:rPr>
          <w:rFonts w:hint="eastAsia" w:hAnsi="宋体" w:eastAsia="宋体" w:cs="宋体"/>
          <w:color w:val="auto"/>
          <w:sz w:val="24"/>
          <w:szCs w:val="24"/>
          <w:highlight w:val="none"/>
        </w:rPr>
        <w:t>发包人应按照下列规定办理保险，并支付保险费：</w:t>
      </w:r>
    </w:p>
    <w:p w14:paraId="64F497E0">
      <w:pPr>
        <w:pStyle w:val="22"/>
        <w:numPr>
          <w:ilvl w:val="0"/>
          <w:numId w:val="16"/>
        </w:numPr>
        <w:tabs>
          <w:tab w:val="left" w:pos="1980"/>
        </w:tabs>
        <w:adjustRightInd w:val="0"/>
        <w:snapToGrid w:val="0"/>
        <w:spacing w:line="300" w:lineRule="auto"/>
        <w:ind w:left="1620" w:firstLine="0"/>
        <w:rPr>
          <w:rFonts w:hint="eastAsia" w:hAnsi="宋体" w:eastAsia="宋体" w:cs="宋体"/>
          <w:color w:val="auto"/>
          <w:sz w:val="24"/>
          <w:szCs w:val="24"/>
          <w:highlight w:val="none"/>
        </w:rPr>
      </w:pPr>
      <w:r>
        <w:rPr>
          <w:rFonts w:hint="eastAsia" w:hAnsi="宋体" w:eastAsia="宋体" w:cs="宋体"/>
          <w:color w:val="auto"/>
          <w:sz w:val="24"/>
          <w:szCs w:val="24"/>
          <w:highlight w:val="none"/>
        </w:rPr>
        <w:t>工程开工前，为合同工程办理建筑工程一切险、安装工程一切险；</w:t>
      </w:r>
    </w:p>
    <w:p w14:paraId="6ED546BD">
      <w:pPr>
        <w:pStyle w:val="22"/>
        <w:numPr>
          <w:ilvl w:val="0"/>
          <w:numId w:val="16"/>
        </w:numPr>
        <w:tabs>
          <w:tab w:val="left" w:pos="540"/>
          <w:tab w:val="left" w:pos="1980"/>
        </w:tabs>
        <w:adjustRightInd w:val="0"/>
        <w:snapToGrid w:val="0"/>
        <w:spacing w:line="300" w:lineRule="auto"/>
        <w:ind w:left="1617" w:leftChars="770" w:firstLine="0"/>
        <w:rPr>
          <w:rFonts w:hint="eastAsia" w:hAnsi="宋体" w:eastAsia="宋体" w:cs="宋体"/>
          <w:color w:val="auto"/>
          <w:sz w:val="24"/>
          <w:szCs w:val="24"/>
          <w:highlight w:val="none"/>
        </w:rPr>
      </w:pPr>
      <w:r>
        <w:rPr>
          <w:rFonts w:hint="eastAsia" w:hAnsi="宋体" w:eastAsia="宋体" w:cs="宋体"/>
          <w:color w:val="auto"/>
          <w:sz w:val="24"/>
          <w:szCs w:val="24"/>
          <w:highlight w:val="none"/>
        </w:rPr>
        <w:t>工程开工前，为施工场地内的自有人员（包括监理工程师、造价工程师在内）办理工伤保险、意外伤害保险；</w:t>
      </w:r>
    </w:p>
    <w:p w14:paraId="298DD2DD">
      <w:pPr>
        <w:pStyle w:val="22"/>
        <w:numPr>
          <w:ilvl w:val="0"/>
          <w:numId w:val="16"/>
        </w:numPr>
        <w:tabs>
          <w:tab w:val="left" w:pos="540"/>
          <w:tab w:val="left" w:pos="1980"/>
        </w:tabs>
        <w:adjustRightInd w:val="0"/>
        <w:snapToGrid w:val="0"/>
        <w:spacing w:line="300" w:lineRule="auto"/>
        <w:ind w:left="2099" w:leftChars="771" w:hanging="480" w:hangingChars="200"/>
        <w:rPr>
          <w:rFonts w:hint="eastAsia" w:hAnsi="宋体" w:eastAsia="宋体" w:cs="宋体"/>
          <w:color w:val="auto"/>
          <w:sz w:val="24"/>
          <w:szCs w:val="24"/>
          <w:highlight w:val="none"/>
        </w:rPr>
      </w:pPr>
      <w:r>
        <w:rPr>
          <w:rFonts w:hint="eastAsia" w:hAnsi="宋体" w:eastAsia="宋体" w:cs="宋体"/>
          <w:color w:val="auto"/>
          <w:sz w:val="24"/>
          <w:szCs w:val="24"/>
          <w:highlight w:val="none"/>
        </w:rPr>
        <w:t>为第三者办理第三者责任险；</w:t>
      </w:r>
    </w:p>
    <w:p w14:paraId="6AEB0B6D">
      <w:pPr>
        <w:pStyle w:val="22"/>
        <w:numPr>
          <w:ilvl w:val="0"/>
          <w:numId w:val="16"/>
        </w:numPr>
        <w:tabs>
          <w:tab w:val="left" w:pos="1980"/>
        </w:tabs>
        <w:adjustRightInd w:val="0"/>
        <w:snapToGrid w:val="0"/>
        <w:spacing w:line="300" w:lineRule="auto"/>
        <w:ind w:left="1620" w:firstLine="0"/>
        <w:rPr>
          <w:rFonts w:hint="eastAsia" w:hAnsi="宋体" w:eastAsia="宋体" w:cs="宋体"/>
          <w:color w:val="auto"/>
          <w:sz w:val="24"/>
          <w:szCs w:val="24"/>
          <w:highlight w:val="none"/>
        </w:rPr>
      </w:pPr>
      <w:r>
        <w:rPr>
          <w:rFonts w:hint="eastAsia" w:hAnsi="宋体" w:eastAsia="宋体" w:cs="宋体"/>
          <w:color w:val="auto"/>
          <w:sz w:val="24"/>
          <w:szCs w:val="24"/>
          <w:highlight w:val="none"/>
        </w:rPr>
        <w:t>为运至施工场地内用于永久工程的材料和待安装工程设备办理保险。</w:t>
      </w:r>
    </w:p>
    <w:p w14:paraId="2CF20023">
      <w:pPr>
        <w:pStyle w:val="22"/>
        <w:tabs>
          <w:tab w:val="left" w:pos="1080"/>
        </w:tabs>
        <w:adjustRightInd w:val="0"/>
        <w:snapToGrid w:val="0"/>
        <w:spacing w:line="300" w:lineRule="auto"/>
        <w:ind w:left="1620"/>
        <w:rPr>
          <w:rFonts w:hint="eastAsia" w:hAnsi="宋体" w:eastAsia="宋体" w:cs="宋体"/>
          <w:color w:val="auto"/>
          <w:sz w:val="24"/>
          <w:szCs w:val="24"/>
          <w:highlight w:val="none"/>
        </w:rPr>
      </w:pPr>
      <w:r>
        <w:rPr>
          <w:rFonts w:hint="eastAsia" w:hAnsi="宋体" w:eastAsia="宋体" w:cs="宋体"/>
          <w:color w:val="auto"/>
          <w:sz w:val="24"/>
          <w:szCs w:val="24"/>
          <w:highlight w:val="none"/>
        </w:rPr>
        <w:t>保险期从办理保险之日起至工程竣工验收合格之日止。</w:t>
      </w:r>
    </w:p>
    <w:p w14:paraId="558DF86C">
      <w:pPr>
        <w:pStyle w:val="22"/>
        <w:tabs>
          <w:tab w:val="left" w:pos="1080"/>
        </w:tabs>
        <w:adjustRightInd w:val="0"/>
        <w:snapToGrid w:val="0"/>
        <w:spacing w:line="300" w:lineRule="auto"/>
        <w:ind w:left="1620"/>
        <w:rPr>
          <w:rFonts w:hint="eastAsia" w:hAnsi="宋体" w:eastAsia="宋体" w:cs="宋体"/>
          <w:color w:val="auto"/>
          <w:sz w:val="24"/>
          <w:szCs w:val="24"/>
          <w:highlight w:val="none"/>
        </w:rPr>
      </w:pPr>
      <w:r>
        <w:rPr>
          <w:rFonts w:hint="eastAsia" w:hAnsi="宋体" w:eastAsia="宋体" w:cs="宋体"/>
          <w:color w:val="auto"/>
          <w:sz w:val="24"/>
          <w:szCs w:val="24"/>
          <w:highlight w:val="none"/>
        </w:rPr>
        <w:t>发包人可将其中部分事项委托给承包人办理，具体由合同双方当事人在专用条款中约定。除合同价款已包括外，由发包人承担所需保险费用，并向承包人支付合理利润。</w:t>
      </w:r>
    </w:p>
    <w:p w14:paraId="4E9DD986">
      <w:pPr>
        <w:spacing w:line="300" w:lineRule="auto"/>
        <w:ind w:left="1710" w:leftChars="700"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（5）工程开工前，为合同工程办理工程质量保险；并由保险公司对工程质量、施工安全进行综合担保，以及聘请专业的团队进行工程建设全过程风险、质量控制。</w:t>
      </w:r>
    </w:p>
    <w:p w14:paraId="103E51CB">
      <w:pPr>
        <w:pStyle w:val="22"/>
        <w:tabs>
          <w:tab w:val="left" w:pos="1320"/>
        </w:tabs>
        <w:adjustRightInd w:val="0"/>
        <w:snapToGrid w:val="0"/>
        <w:spacing w:line="300" w:lineRule="auto"/>
        <w:rPr>
          <w:rFonts w:hint="eastAsia"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32.2  </w:t>
      </w:r>
      <w:r>
        <w:rPr>
          <w:rFonts w:hint="eastAsia" w:hAnsi="宋体" w:eastAsia="宋体" w:cs="宋体"/>
          <w:b/>
          <w:bCs/>
          <w:color w:val="auto"/>
          <w:sz w:val="24"/>
          <w:szCs w:val="24"/>
          <w:highlight w:val="none"/>
          <w:u w:val="dotted"/>
        </w:rPr>
        <w:t xml:space="preserve">                                                                                                        </w:t>
      </w:r>
    </w:p>
    <w:p w14:paraId="6C1B2A72">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779072" behindDoc="0" locked="0" layoutInCell="1" allowOverlap="1">
                <wp:simplePos x="0" y="0"/>
                <wp:positionH relativeFrom="column">
                  <wp:posOffset>-114300</wp:posOffset>
                </wp:positionH>
                <wp:positionV relativeFrom="paragraph">
                  <wp:posOffset>635</wp:posOffset>
                </wp:positionV>
                <wp:extent cx="1028700" cy="478155"/>
                <wp:effectExtent l="0" t="0" r="0" b="0"/>
                <wp:wrapNone/>
                <wp:docPr id="1143" name="00014a"/>
                <wp:cNvGraphicFramePr/>
                <a:graphic xmlns:a="http://schemas.openxmlformats.org/drawingml/2006/main">
                  <a:graphicData uri="http://schemas.microsoft.com/office/word/2010/wordprocessingShape">
                    <wps:wsp>
                      <wps:cNvSpPr/>
                      <wps:spPr>
                        <a:xfrm>
                          <a:off x="0" y="0"/>
                          <a:ext cx="1028700" cy="478155"/>
                        </a:xfrm>
                        <a:prstGeom prst="rect">
                          <a:avLst/>
                        </a:prstGeom>
                        <a:ln>
                          <a:noFill/>
                        </a:ln>
                      </wps:spPr>
                      <wps:txbx>
                        <w:txbxContent>
                          <w:p w14:paraId="09DBA290">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承包人办理保</w:t>
                            </w:r>
                          </w:p>
                          <w:p w14:paraId="66CA9879">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wps:txbx>
                      <wps:bodyPr wrap="square"/>
                    </wps:wsp>
                  </a:graphicData>
                </a:graphic>
              </wp:anchor>
            </w:drawing>
          </mc:Choice>
          <mc:Fallback>
            <w:pict>
              <v:rect id="00014a" o:spid="_x0000_s1026" o:spt="1" style="position:absolute;left:0pt;margin-left:-9pt;margin-top:0.05pt;height:37.65pt;width:81pt;z-index:251779072;mso-width-relative:page;mso-height-relative:page;" filled="f" stroked="f" coordsize="21600,21600" o:gfxdata="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Nf9s8tcAAAAHAQAADwAAAAAAAAABACAAAAAiAAAA&#10;ZHJzL2Rvd25yZXYueG1sUEsBAhQAFAAAAAgAh07iQIPSKq6WAQAAOQMAAA4AAAAAAAAAAQAgAAAA&#10;JgEAAGRycy9lMm9Eb2MueG1sUEsFBgAAAAAGAAYAWQEAAC4FAAAAAA==&#10;">
                <v:fill on="f" focussize="0,0"/>
                <v:stroke on="f"/>
                <v:imagedata o:title=""/>
                <o:lock v:ext="edit" aspectratio="f"/>
                <v:textbox>
                  <w:txbxContent>
                    <w:p w14:paraId="09DBA290">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承包人办理保</w:t>
                      </w:r>
                    </w:p>
                    <w:p w14:paraId="66CA9879">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rect>
            </w:pict>
          </mc:Fallback>
        </mc:AlternateContent>
      </w:r>
      <w:r>
        <w:rPr>
          <w:rFonts w:hint="eastAsia" w:hAnsi="宋体" w:eastAsia="宋体" w:cs="宋体"/>
          <w:color w:val="auto"/>
          <w:sz w:val="24"/>
          <w:szCs w:val="24"/>
          <w:highlight w:val="none"/>
        </w:rPr>
        <w:t>承包人应按照下列规定办理保险，并支付保险费：</w:t>
      </w:r>
    </w:p>
    <w:p w14:paraId="3ABE1E64">
      <w:pPr>
        <w:pStyle w:val="22"/>
        <w:adjustRightInd w:val="0"/>
        <w:snapToGrid w:val="0"/>
        <w:spacing w:line="300" w:lineRule="auto"/>
        <w:ind w:left="1617" w:leftChars="770" w:firstLine="1"/>
        <w:rPr>
          <w:rFonts w:hint="eastAsia" w:hAnsi="宋体" w:eastAsia="宋体" w:cs="宋体"/>
          <w:color w:val="auto"/>
          <w:sz w:val="24"/>
          <w:szCs w:val="24"/>
          <w:highlight w:val="none"/>
        </w:rPr>
      </w:pPr>
      <w:r>
        <w:rPr>
          <w:rFonts w:hint="eastAsia" w:hAnsi="宋体" w:eastAsia="宋体" w:cs="宋体"/>
          <w:color w:val="auto"/>
          <w:sz w:val="24"/>
          <w:szCs w:val="24"/>
          <w:highlight w:val="none"/>
        </w:rPr>
        <w:t>(1)工程开工前，为施工场地内自有人员（包括分包人在内）办理工伤保险、意外伤害保险；</w:t>
      </w:r>
    </w:p>
    <w:p w14:paraId="2285C0D7">
      <w:pPr>
        <w:pStyle w:val="22"/>
        <w:adjustRightInd w:val="0"/>
        <w:snapToGrid w:val="0"/>
        <w:spacing w:line="300" w:lineRule="auto"/>
        <w:ind w:left="1676" w:leftChars="798"/>
        <w:rPr>
          <w:rFonts w:hint="eastAsia" w:hAnsi="宋体" w:eastAsia="宋体" w:cs="宋体"/>
          <w:color w:val="auto"/>
          <w:sz w:val="24"/>
          <w:szCs w:val="24"/>
          <w:highlight w:val="none"/>
        </w:rPr>
      </w:pPr>
      <w:r>
        <w:rPr>
          <w:rFonts w:hint="eastAsia" w:hAnsi="宋体" w:eastAsia="宋体" w:cs="宋体"/>
          <w:color w:val="auto"/>
          <w:sz w:val="24"/>
          <w:szCs w:val="24"/>
          <w:highlight w:val="none"/>
        </w:rPr>
        <w:t>(2)为施工场地内的自有施工设备、第32.1款第(4)点以外采购进场的材料和工程设备等办理保险。</w:t>
      </w:r>
    </w:p>
    <w:p w14:paraId="380F9D7B">
      <w:pPr>
        <w:pStyle w:val="22"/>
        <w:tabs>
          <w:tab w:val="left" w:pos="1080"/>
        </w:tabs>
        <w:adjustRightInd w:val="0"/>
        <w:snapToGrid w:val="0"/>
        <w:spacing w:line="300" w:lineRule="auto"/>
        <w:ind w:left="1680" w:leftChars="800"/>
        <w:rPr>
          <w:rFonts w:hint="eastAsia" w:hAnsi="宋体" w:eastAsia="宋体" w:cs="宋体"/>
          <w:color w:val="auto"/>
          <w:sz w:val="24"/>
          <w:szCs w:val="24"/>
          <w:highlight w:val="none"/>
        </w:rPr>
      </w:pPr>
      <w:r>
        <w:rPr>
          <w:rFonts w:hint="eastAsia" w:hAnsi="宋体" w:eastAsia="宋体" w:cs="宋体"/>
          <w:color w:val="auto"/>
          <w:sz w:val="24"/>
          <w:szCs w:val="24"/>
          <w:highlight w:val="none"/>
        </w:rPr>
        <w:t>保险期从开工之日起至工程竣工验收合格之日止。</w:t>
      </w:r>
    </w:p>
    <w:p w14:paraId="08D47B4B">
      <w:pPr>
        <w:pStyle w:val="22"/>
        <w:tabs>
          <w:tab w:val="left" w:pos="1080"/>
        </w:tabs>
        <w:adjustRightInd w:val="0"/>
        <w:snapToGrid w:val="0"/>
        <w:spacing w:line="300" w:lineRule="auto"/>
        <w:rPr>
          <w:rFonts w:hint="eastAsia" w:hAnsi="宋体" w:eastAsia="宋体" w:cs="宋体"/>
          <w:b/>
          <w:bCs/>
          <w:color w:val="auto"/>
          <w:sz w:val="24"/>
          <w:szCs w:val="24"/>
          <w:highlight w:val="none"/>
          <w:u w:val="dotted"/>
        </w:rPr>
      </w:pPr>
      <w:r>
        <w:rPr>
          <w:rFonts w:hint="eastAsia" w:hAnsi="宋体" w:eastAsia="宋体" w:cs="宋体"/>
          <w:color w:val="auto"/>
          <w:sz w:val="24"/>
          <w:szCs w:val="24"/>
          <w:highlight w:val="none"/>
        </w:rPr>
        <mc:AlternateContent>
          <mc:Choice Requires="wps">
            <w:drawing>
              <wp:anchor distT="0" distB="0" distL="0" distR="0" simplePos="0" relativeHeight="251780096"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1144" name="00014b"/>
                <wp:cNvGraphicFramePr/>
                <a:graphic xmlns:a="http://schemas.openxmlformats.org/drawingml/2006/main">
                  <a:graphicData uri="http://schemas.microsoft.com/office/word/2010/wordprocessingShape">
                    <wps:wsp>
                      <wps:cNvSpPr/>
                      <wps:spPr>
                        <a:xfrm>
                          <a:off x="0" y="0"/>
                          <a:ext cx="914400" cy="541020"/>
                        </a:xfrm>
                        <a:prstGeom prst="rect">
                          <a:avLst/>
                        </a:prstGeom>
                        <a:ln>
                          <a:noFill/>
                        </a:ln>
                      </wps:spPr>
                      <wps:txbx>
                        <w:txbxContent>
                          <w:p w14:paraId="5889D6F1">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双方提供保险单和凭证</w:t>
                            </w:r>
                          </w:p>
                        </w:txbxContent>
                      </wps:txbx>
                      <wps:bodyPr wrap="square"/>
                    </wps:wsp>
                  </a:graphicData>
                </a:graphic>
              </wp:anchor>
            </w:drawing>
          </mc:Choice>
          <mc:Fallback>
            <w:pict>
              <v:rect id="00014b" o:spid="_x0000_s1026" o:spt="1" style="position:absolute;left:0pt;margin-left:-9pt;margin-top:22.6pt;height:42.6pt;width:72pt;z-index:251780096;mso-width-relative:page;mso-height-relative:page;" filled="f" stroked="f" coordsize="21600,21600" o:gfxdata="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JQZhJ2wAAAAoBAAAPAAAAAAAAAAEAIAAAACIA&#10;AABkcnMvZG93bnJldi54bWxQSwECFAAUAAAACACHTuJA3vE39pQBAAA4AwAADgAAAAAAAAABACAA&#10;AAAqAQAAZHJzL2Uyb0RvYy54bWxQSwUGAAAAAAYABgBZAQAAMAUAAAAA&#10;">
                <v:fill on="f" focussize="0,0"/>
                <v:stroke on="f"/>
                <v:imagedata o:title=""/>
                <o:lock v:ext="edit" aspectratio="f"/>
                <v:textbox>
                  <w:txbxContent>
                    <w:p w14:paraId="5889D6F1">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双方提供保险单和凭证</w:t>
                      </w:r>
                    </w:p>
                  </w:txbxContent>
                </v:textbox>
              </v:rect>
            </w:pict>
          </mc:Fallback>
        </mc:AlternateContent>
      </w:r>
      <w:r>
        <w:rPr>
          <w:rFonts w:hint="eastAsia" w:hAnsi="宋体" w:eastAsia="宋体" w:cs="宋体"/>
          <w:b/>
          <w:bCs/>
          <w:color w:val="auto"/>
          <w:sz w:val="24"/>
          <w:szCs w:val="24"/>
          <w:highlight w:val="none"/>
        </w:rPr>
        <w:t xml:space="preserve">32.3  </w:t>
      </w:r>
      <w:r>
        <w:rPr>
          <w:rFonts w:hint="eastAsia" w:hAnsi="宋体" w:eastAsia="宋体" w:cs="宋体"/>
          <w:b/>
          <w:bCs/>
          <w:color w:val="auto"/>
          <w:sz w:val="24"/>
          <w:szCs w:val="24"/>
          <w:highlight w:val="none"/>
          <w:u w:val="dotted"/>
        </w:rPr>
        <w:t xml:space="preserve">                                                                                                        </w:t>
      </w:r>
    </w:p>
    <w:p w14:paraId="1508F41C">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合同一方当事人应按照本合同要求向另一方当事人提供有效的投保保险单和保险凭证。</w:t>
      </w:r>
    </w:p>
    <w:p w14:paraId="3F338C3A">
      <w:pPr>
        <w:pStyle w:val="22"/>
        <w:tabs>
          <w:tab w:val="left" w:pos="1320"/>
        </w:tabs>
        <w:adjustRightInd w:val="0"/>
        <w:snapToGrid w:val="0"/>
        <w:spacing w:line="300" w:lineRule="auto"/>
        <w:rPr>
          <w:rFonts w:hint="eastAsia" w:hAnsi="宋体" w:eastAsia="宋体" w:cs="宋体"/>
          <w:b/>
          <w:bCs/>
          <w:color w:val="auto"/>
          <w:sz w:val="24"/>
          <w:szCs w:val="24"/>
          <w:highlight w:val="none"/>
          <w:u w:val="dotted"/>
        </w:rPr>
      </w:pPr>
      <w:r>
        <w:rPr>
          <w:rFonts w:hint="eastAsia" w:hAnsi="宋体" w:eastAsia="宋体" w:cs="宋体"/>
          <w:color w:val="auto"/>
          <w:sz w:val="24"/>
          <w:szCs w:val="24"/>
          <w:highlight w:val="none"/>
        </w:rPr>
        <mc:AlternateContent>
          <mc:Choice Requires="wps">
            <w:drawing>
              <wp:anchor distT="0" distB="0" distL="0" distR="0" simplePos="0" relativeHeight="251781120" behindDoc="0" locked="0" layoutInCell="1" allowOverlap="1">
                <wp:simplePos x="0" y="0"/>
                <wp:positionH relativeFrom="column">
                  <wp:posOffset>-114300</wp:posOffset>
                </wp:positionH>
                <wp:positionV relativeFrom="paragraph">
                  <wp:posOffset>236220</wp:posOffset>
                </wp:positionV>
                <wp:extent cx="914400" cy="396240"/>
                <wp:effectExtent l="0" t="0" r="0" b="0"/>
                <wp:wrapNone/>
                <wp:docPr id="1145" name="00014c"/>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161FB3C0">
                            <w:pPr>
                              <w:spacing w:line="240" w:lineRule="exact"/>
                              <w:rPr>
                                <w:rFonts w:hint="eastAsia" w:ascii="宋体"/>
                                <w:sz w:val="18"/>
                                <w:szCs w:val="18"/>
                              </w:rPr>
                            </w:pPr>
                            <w:r>
                              <w:rPr>
                                <w:rFonts w:hint="eastAsia" w:ascii="楷体_GB2312" w:hAnsi="宋体" w:eastAsia="楷体_GB2312" w:cs="楷体_GB2312"/>
                                <w:b/>
                                <w:bCs/>
                                <w:color w:val="000000"/>
                                <w:sz w:val="18"/>
                                <w:szCs w:val="18"/>
                              </w:rPr>
                              <w:t>未按规定投保的补救</w:t>
                            </w:r>
                          </w:p>
                        </w:txbxContent>
                      </wps:txbx>
                      <wps:bodyPr wrap="square"/>
                    </wps:wsp>
                  </a:graphicData>
                </a:graphic>
              </wp:anchor>
            </w:drawing>
          </mc:Choice>
          <mc:Fallback>
            <w:pict>
              <v:rect id="00014c" o:spid="_x0000_s1026" o:spt="1" style="position:absolute;left:0pt;margin-left:-9pt;margin-top:18.6pt;height:31.2pt;width:72pt;z-index:251781120;mso-width-relative:page;mso-height-relative:page;" filled="f" stroked="f" coordsize="21600,21600" o:gfxdata="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P5HpMdoAAAAJAQAADwAAAAAAAAABACAAAAAi&#10;AAAAZHJzL2Rvd25yZXYueG1sUEsBAhQAFAAAAAgAh07iQJgpOqOWAQAAOAMAAA4AAAAAAAAAAQAg&#10;AAAAKQEAAGRycy9lMm9Eb2MueG1sUEsFBgAAAAAGAAYAWQEAADEFAAAAAA==&#10;">
                <v:fill on="f" focussize="0,0"/>
                <v:stroke on="f"/>
                <v:imagedata o:title=""/>
                <o:lock v:ext="edit" aspectratio="f"/>
                <v:textbox>
                  <w:txbxContent>
                    <w:p w14:paraId="161FB3C0">
                      <w:pPr>
                        <w:spacing w:line="240" w:lineRule="exact"/>
                        <w:rPr>
                          <w:rFonts w:hint="eastAsia" w:ascii="宋体"/>
                          <w:sz w:val="18"/>
                          <w:szCs w:val="18"/>
                        </w:rPr>
                      </w:pPr>
                      <w:r>
                        <w:rPr>
                          <w:rFonts w:hint="eastAsia" w:ascii="楷体_GB2312" w:hAnsi="宋体" w:eastAsia="楷体_GB2312" w:cs="楷体_GB2312"/>
                          <w:b/>
                          <w:bCs/>
                          <w:color w:val="000000"/>
                          <w:sz w:val="18"/>
                          <w:szCs w:val="18"/>
                        </w:rPr>
                        <w:t>未按规定投保的补救</w:t>
                      </w:r>
                    </w:p>
                  </w:txbxContent>
                </v:textbox>
              </v:rect>
            </w:pict>
          </mc:Fallback>
        </mc:AlternateContent>
      </w:r>
      <w:r>
        <w:rPr>
          <w:rFonts w:hint="eastAsia" w:hAnsi="宋体" w:eastAsia="宋体" w:cs="宋体"/>
          <w:b/>
          <w:bCs/>
          <w:color w:val="auto"/>
          <w:sz w:val="24"/>
          <w:szCs w:val="24"/>
          <w:highlight w:val="none"/>
        </w:rPr>
        <w:t xml:space="preserve">32.4  </w:t>
      </w:r>
      <w:r>
        <w:rPr>
          <w:rFonts w:hint="eastAsia" w:hAnsi="宋体" w:eastAsia="宋体" w:cs="宋体"/>
          <w:b/>
          <w:bCs/>
          <w:color w:val="auto"/>
          <w:sz w:val="24"/>
          <w:szCs w:val="24"/>
          <w:highlight w:val="none"/>
          <w:u w:val="dotted"/>
        </w:rPr>
        <w:t xml:space="preserve">                                                                                                        </w:t>
      </w:r>
    </w:p>
    <w:p w14:paraId="695058E5">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合同双方当事人应遵守本条规定办理有关保险事项。如果未按规定投保的，应按下列规定补偿：</w:t>
      </w:r>
    </w:p>
    <w:p w14:paraId="02EFD993">
      <w:pPr>
        <w:pStyle w:val="22"/>
        <w:adjustRightInd w:val="0"/>
        <w:snapToGrid w:val="0"/>
        <w:spacing w:line="300" w:lineRule="auto"/>
        <w:ind w:left="1617" w:leftChars="770" w:firstLine="1"/>
        <w:rPr>
          <w:rFonts w:hint="eastAsia" w:hAnsi="宋体" w:eastAsia="宋体" w:cs="宋体"/>
          <w:color w:val="auto"/>
          <w:sz w:val="24"/>
          <w:szCs w:val="24"/>
          <w:highlight w:val="none"/>
        </w:rPr>
      </w:pPr>
      <w:r>
        <w:rPr>
          <w:rFonts w:hint="eastAsia" w:hAnsi="宋体" w:eastAsia="宋体" w:cs="宋体"/>
          <w:color w:val="auto"/>
          <w:sz w:val="24"/>
          <w:szCs w:val="24"/>
          <w:highlight w:val="none"/>
        </w:rPr>
        <w:t>(1)由于负有投保义务的合同一方当事人未按合同约定办理保险，或未能使保险持续有效的，则另一方当事人可代为办理，所需费用由对方当事人承担；</w:t>
      </w:r>
    </w:p>
    <w:p w14:paraId="6BF6E244">
      <w:pPr>
        <w:pStyle w:val="22"/>
        <w:adjustRightInd w:val="0"/>
        <w:snapToGrid w:val="0"/>
        <w:spacing w:line="300" w:lineRule="auto"/>
        <w:ind w:left="1617" w:leftChars="770" w:firstLine="1"/>
        <w:rPr>
          <w:rFonts w:hint="eastAsia" w:hAnsi="宋体" w:eastAsia="宋体" w:cs="宋体"/>
          <w:color w:val="auto"/>
          <w:sz w:val="24"/>
          <w:szCs w:val="24"/>
          <w:highlight w:val="none"/>
        </w:rPr>
      </w:pPr>
      <w:r>
        <w:rPr>
          <w:rFonts w:hint="eastAsia" w:hAnsi="宋体" w:eastAsia="宋体" w:cs="宋体"/>
          <w:color w:val="auto"/>
          <w:sz w:val="24"/>
          <w:szCs w:val="24"/>
          <w:highlight w:val="none"/>
        </w:rPr>
        <w:t>(2)由于负有投保义务的合同一方当事人未按合同约定办理某项保险，导致受益人未能得到保险人的赔偿，则该项保险金应由负有投保义务的一方当事人支付。</w:t>
      </w:r>
    </w:p>
    <w:p w14:paraId="187378F8">
      <w:pPr>
        <w:pStyle w:val="22"/>
        <w:adjustRightInd w:val="0"/>
        <w:snapToGrid w:val="0"/>
        <w:spacing w:line="300" w:lineRule="auto"/>
        <w:rPr>
          <w:rFonts w:hint="eastAsia" w:hAnsi="宋体" w:eastAsia="宋体" w:cs="宋体"/>
          <w:color w:val="auto"/>
          <w:sz w:val="24"/>
          <w:szCs w:val="24"/>
          <w:highlight w:val="none"/>
          <w:u w:val="dotted"/>
        </w:rPr>
      </w:pPr>
      <w:r>
        <w:rPr>
          <w:rFonts w:hint="eastAsia" w:hAnsi="宋体" w:eastAsia="宋体" w:cs="宋体"/>
          <w:color w:val="auto"/>
          <w:sz w:val="24"/>
          <w:szCs w:val="24"/>
          <w:highlight w:val="none"/>
        </w:rPr>
        <mc:AlternateContent>
          <mc:Choice Requires="wps">
            <w:drawing>
              <wp:anchor distT="0" distB="0" distL="0" distR="0" simplePos="0" relativeHeight="251782144"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1146" name="00014d"/>
                <wp:cNvGraphicFramePr/>
                <a:graphic xmlns:a="http://schemas.openxmlformats.org/drawingml/2006/main">
                  <a:graphicData uri="http://schemas.microsoft.com/office/word/2010/wordprocessingShape">
                    <wps:wsp>
                      <wps:cNvSpPr/>
                      <wps:spPr>
                        <a:xfrm>
                          <a:off x="0" y="0"/>
                          <a:ext cx="914400" cy="541020"/>
                        </a:xfrm>
                        <a:prstGeom prst="rect">
                          <a:avLst/>
                        </a:prstGeom>
                        <a:ln>
                          <a:noFill/>
                        </a:ln>
                      </wps:spPr>
                      <wps:txbx>
                        <w:txbxContent>
                          <w:p w14:paraId="743F2DC7">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wps:txbx>
                      <wps:bodyPr wrap="square"/>
                    </wps:wsp>
                  </a:graphicData>
                </a:graphic>
              </wp:anchor>
            </w:drawing>
          </mc:Choice>
          <mc:Fallback>
            <w:pict>
              <v:rect id="00014d" o:spid="_x0000_s1026" o:spt="1" style="position:absolute;left:0pt;margin-left:-9pt;margin-top:23pt;height:42.6pt;width:72pt;z-index:251782144;mso-width-relative:page;mso-height-relative:page;" filled="f" stroked="f" coordsize="21600,21600" o:gfxdata="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MRZWibZAAAACgEAAA8AAAAAAAAAAQAgAAAAIgAA&#10;AGRycy9kb3ducmV2LnhtbFBLAQIUABQAAAAIAIdO4kAN2d0TlQEAADgDAAAOAAAAAAAAAAEAIAAA&#10;ACgBAABkcnMvZTJvRG9jLnhtbFBLBQYAAAAABgAGAFkBAAAvBQAAAAA=&#10;">
                <v:fill on="f" focussize="0,0"/>
                <v:stroke on="f"/>
                <v:imagedata o:title=""/>
                <o:lock v:ext="edit" aspectratio="f"/>
                <v:textbox>
                  <w:txbxContent>
                    <w:p w14:paraId="743F2DC7">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v:textbox>
              </v:rect>
            </w:pict>
          </mc:Fallback>
        </mc:AlternateContent>
      </w:r>
      <w:r>
        <w:rPr>
          <w:rFonts w:hint="eastAsia" w:hAnsi="宋体" w:eastAsia="宋体" w:cs="宋体"/>
          <w:b/>
          <w:bCs/>
          <w:color w:val="auto"/>
          <w:sz w:val="24"/>
          <w:szCs w:val="24"/>
          <w:highlight w:val="none"/>
        </w:rPr>
        <w:t xml:space="preserve">32.5 </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3A6988E5">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当合同工程发生保险事故时,被保险人应及时通知保险人，并提供有关资料。合同双方当事人有责任采取合理有效措施防止或减少损失，并应相互协助做好向保险人的报告和理赔工作。</w:t>
      </w:r>
    </w:p>
    <w:p w14:paraId="5A4FC506">
      <w:pPr>
        <w:pStyle w:val="22"/>
        <w:tabs>
          <w:tab w:val="left" w:pos="1320"/>
          <w:tab w:val="left" w:pos="1620"/>
        </w:tabs>
        <w:adjustRightInd w:val="0"/>
        <w:snapToGrid w:val="0"/>
        <w:spacing w:line="300" w:lineRule="auto"/>
        <w:rPr>
          <w:rFonts w:hint="eastAsia"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32.6  </w:t>
      </w:r>
      <w:r>
        <w:rPr>
          <w:rFonts w:hint="eastAsia" w:hAnsi="宋体" w:eastAsia="宋体" w:cs="宋体"/>
          <w:b/>
          <w:bCs/>
          <w:color w:val="auto"/>
          <w:sz w:val="24"/>
          <w:szCs w:val="24"/>
          <w:highlight w:val="none"/>
          <w:u w:val="dotted"/>
        </w:rPr>
        <w:t xml:space="preserve">                                                                                                        </w:t>
      </w:r>
    </w:p>
    <w:p w14:paraId="4AB5A2CE">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783168"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1147" name="00014e"/>
                <wp:cNvGraphicFramePr/>
                <a:graphic xmlns:a="http://schemas.openxmlformats.org/drawingml/2006/main">
                  <a:graphicData uri="http://schemas.microsoft.com/office/word/2010/wordprocessingShape">
                    <wps:wsp>
                      <wps:cNvSpPr/>
                      <wps:spPr>
                        <a:xfrm>
                          <a:off x="0" y="0"/>
                          <a:ext cx="914400" cy="552450"/>
                        </a:xfrm>
                        <a:prstGeom prst="rect">
                          <a:avLst/>
                        </a:prstGeom>
                        <a:ln>
                          <a:noFill/>
                        </a:ln>
                      </wps:spPr>
                      <wps:txbx>
                        <w:txbxContent>
                          <w:p w14:paraId="5821C0C9">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wps:txbx>
                      <wps:bodyPr wrap="square"/>
                    </wps:wsp>
                  </a:graphicData>
                </a:graphic>
              </wp:anchor>
            </w:drawing>
          </mc:Choice>
          <mc:Fallback>
            <w:pict>
              <v:rect id="00014e" o:spid="_x0000_s1026" o:spt="1" style="position:absolute;left:0pt;margin-left:-9pt;margin-top:0pt;height:43.5pt;width:72pt;z-index:251783168;mso-width-relative:page;mso-height-relative:page;" filled="f" stroked="f" coordsize="21600,21600" o:gfxdata="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Q/WlmtgAAAAHAQAADwAAAAAAAAABACAAAAAiAAAA&#10;ZHJzL2Rvd25yZXYueG1sUEsBAhQAFAAAAAgAh07iQAxYaGuVAQAAOAMAAA4AAAAAAAAAAQAgAAAA&#10;JwEAAGRycy9lMm9Eb2MueG1sUEsFBgAAAAAGAAYAWQEAAC4FAAAAAA==&#10;">
                <v:fill on="f" focussize="0,0"/>
                <v:stroke on="f"/>
                <v:imagedata o:title=""/>
                <o:lock v:ext="edit" aspectratio="f"/>
                <v:textbox>
                  <w:txbxContent>
                    <w:p w14:paraId="5821C0C9">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v:textbox>
              </v:rect>
            </w:pict>
          </mc:Fallback>
        </mc:AlternateContent>
      </w:r>
      <w:r>
        <w:rPr>
          <w:rFonts w:hint="eastAsia" w:hAnsi="宋体" w:eastAsia="宋体" w:cs="宋体"/>
          <w:color w:val="auto"/>
          <w:sz w:val="24"/>
          <w:szCs w:val="24"/>
          <w:highlight w:val="none"/>
        </w:rPr>
        <w:t>当合同工程的性质、规模或计划发生变更时，被保险人应及时通知保险人，并在合同履行期间按照本条规定保证足够的保险额，由此造成的费用由责任方承担。</w:t>
      </w:r>
    </w:p>
    <w:p w14:paraId="7A034E66">
      <w:pPr>
        <w:pStyle w:val="22"/>
        <w:tabs>
          <w:tab w:val="left" w:pos="1320"/>
        </w:tabs>
        <w:adjustRightInd w:val="0"/>
        <w:snapToGrid w:val="0"/>
        <w:spacing w:line="300" w:lineRule="auto"/>
        <w:rPr>
          <w:rFonts w:hint="eastAsia"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32.7  </w:t>
      </w:r>
      <w:r>
        <w:rPr>
          <w:rFonts w:hint="eastAsia" w:hAnsi="宋体" w:eastAsia="宋体" w:cs="宋体"/>
          <w:b/>
          <w:bCs/>
          <w:color w:val="auto"/>
          <w:sz w:val="24"/>
          <w:szCs w:val="24"/>
          <w:highlight w:val="none"/>
          <w:u w:val="dotted"/>
        </w:rPr>
        <w:t xml:space="preserve">                                                                                                        </w:t>
      </w:r>
    </w:p>
    <w:p w14:paraId="6966E184">
      <w:pPr>
        <w:pStyle w:val="22"/>
        <w:tabs>
          <w:tab w:val="left" w:pos="1320"/>
        </w:tabs>
        <w:adjustRightInd w:val="0"/>
        <w:snapToGrid w:val="0"/>
        <w:spacing w:line="300" w:lineRule="auto"/>
        <w:ind w:left="1575" w:leftChars="750"/>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784192"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1148" name="00014f"/>
                <wp:cNvGraphicFramePr/>
                <a:graphic xmlns:a="http://schemas.openxmlformats.org/drawingml/2006/main">
                  <a:graphicData uri="http://schemas.microsoft.com/office/word/2010/wordprocessingShape">
                    <wps:wsp>
                      <wps:cNvSpPr/>
                      <wps:spPr>
                        <a:xfrm>
                          <a:off x="0" y="0"/>
                          <a:ext cx="914400" cy="425450"/>
                        </a:xfrm>
                        <a:prstGeom prst="rect">
                          <a:avLst/>
                        </a:prstGeom>
                        <a:ln>
                          <a:noFill/>
                        </a:ln>
                      </wps:spPr>
                      <wps:txbx>
                        <w:txbxContent>
                          <w:p w14:paraId="0F97CAD4">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保险赔偿金的用途</w:t>
                            </w:r>
                          </w:p>
                        </w:txbxContent>
                      </wps:txbx>
                      <wps:bodyPr wrap="square"/>
                    </wps:wsp>
                  </a:graphicData>
                </a:graphic>
              </wp:anchor>
            </w:drawing>
          </mc:Choice>
          <mc:Fallback>
            <w:pict>
              <v:rect id="00014f" o:spid="_x0000_s1026" o:spt="1" style="position:absolute;left:0pt;margin-left:-5.25pt;margin-top:1.1pt;height:33.5pt;width:72pt;z-index:251784192;mso-width-relative:page;mso-height-relative:page;" filled="f" stroked="f" coordsize="21600,21600" o:gfxdata="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5wbS3tgAAAAIAQAADwAAAAAAAAABACAAAAAiAAAA&#10;ZHJzL2Rvd25yZXYueG1sUEsBAhQAFAAAAAgAh07iQNG6g9iVAQAAOAMAAA4AAAAAAAAAAQAgAAAA&#10;JwEAAGRycy9lMm9Eb2MueG1sUEsFBgAAAAAGAAYAWQEAAC4FAAAAAA==&#10;">
                <v:fill on="f" focussize="0,0"/>
                <v:stroke on="f"/>
                <v:imagedata o:title=""/>
                <o:lock v:ext="edit" aspectratio="f"/>
                <v:textbox>
                  <w:txbxContent>
                    <w:p w14:paraId="0F97CAD4">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保险赔偿金的用途</w:t>
                      </w:r>
                    </w:p>
                  </w:txbxContent>
                </v:textbox>
              </v:rect>
            </w:pict>
          </mc:Fallback>
        </mc:AlternateContent>
      </w:r>
      <w:r>
        <w:rPr>
          <w:rFonts w:hint="eastAsia" w:hAnsi="宋体" w:eastAsia="宋体" w:cs="宋体"/>
          <w:color w:val="auto"/>
          <w:sz w:val="24"/>
          <w:szCs w:val="24"/>
          <w:highlight w:val="none"/>
        </w:rPr>
        <w:t>从保险人收到的因合同工程本身损失或损坏的保险金,应专项用于修复合同工程的损失或损坏，或作为对未能修复合同工程这些损失或损坏的补偿。</w:t>
      </w:r>
    </w:p>
    <w:p w14:paraId="63C1C6D9">
      <w:pPr>
        <w:pStyle w:val="22"/>
        <w:tabs>
          <w:tab w:val="left" w:pos="1320"/>
        </w:tabs>
        <w:adjustRightInd w:val="0"/>
        <w:snapToGrid w:val="0"/>
        <w:spacing w:line="300" w:lineRule="auto"/>
        <w:rPr>
          <w:rFonts w:hint="eastAsia" w:hAnsi="宋体" w:eastAsia="宋体" w:cs="宋体"/>
          <w:b/>
          <w:bCs/>
          <w:color w:val="auto"/>
          <w:sz w:val="24"/>
          <w:szCs w:val="24"/>
          <w:highlight w:val="none"/>
          <w:u w:val="dotted"/>
        </w:rPr>
      </w:pPr>
      <w:r>
        <w:rPr>
          <w:rFonts w:hint="eastAsia" w:hAnsi="宋体" w:eastAsia="宋体" w:cs="宋体"/>
          <w:color w:val="auto"/>
          <w:sz w:val="24"/>
          <w:szCs w:val="24"/>
          <w:highlight w:val="none"/>
        </w:rPr>
        <mc:AlternateContent>
          <mc:Choice Requires="wps">
            <w:drawing>
              <wp:anchor distT="0" distB="0" distL="0" distR="0" simplePos="0" relativeHeight="251785216" behindDoc="0" locked="0" layoutInCell="1" allowOverlap="1">
                <wp:simplePos x="0" y="0"/>
                <wp:positionH relativeFrom="column">
                  <wp:posOffset>-114300</wp:posOffset>
                </wp:positionH>
                <wp:positionV relativeFrom="paragraph">
                  <wp:posOffset>226695</wp:posOffset>
                </wp:positionV>
                <wp:extent cx="914400" cy="407035"/>
                <wp:effectExtent l="0" t="0" r="0" b="0"/>
                <wp:wrapNone/>
                <wp:docPr id="1149" name="000150"/>
                <wp:cNvGraphicFramePr/>
                <a:graphic xmlns:a="http://schemas.openxmlformats.org/drawingml/2006/main">
                  <a:graphicData uri="http://schemas.microsoft.com/office/word/2010/wordprocessingShape">
                    <wps:wsp>
                      <wps:cNvSpPr/>
                      <wps:spPr>
                        <a:xfrm>
                          <a:off x="0" y="0"/>
                          <a:ext cx="914400" cy="407035"/>
                        </a:xfrm>
                        <a:prstGeom prst="rect">
                          <a:avLst/>
                        </a:prstGeom>
                        <a:ln>
                          <a:noFill/>
                        </a:ln>
                      </wps:spPr>
                      <wps:txbx>
                        <w:txbxContent>
                          <w:p w14:paraId="13F3A26A">
                            <w:pPr>
                              <w:spacing w:line="240" w:lineRule="exact"/>
                              <w:rPr>
                                <w:rFonts w:hint="eastAsia" w:ascii="宋体"/>
                                <w:sz w:val="18"/>
                                <w:szCs w:val="18"/>
                              </w:rPr>
                            </w:pPr>
                            <w:r>
                              <w:rPr>
                                <w:rFonts w:hint="eastAsia" w:ascii="楷体_GB2312" w:hAnsi="宋体" w:eastAsia="楷体_GB2312" w:cs="楷体_GB2312"/>
                                <w:b/>
                                <w:bCs/>
                                <w:color w:val="000000"/>
                                <w:sz w:val="18"/>
                                <w:szCs w:val="18"/>
                              </w:rPr>
                              <w:t>约定投保事项</w:t>
                            </w:r>
                          </w:p>
                        </w:txbxContent>
                      </wps:txbx>
                      <wps:bodyPr wrap="square"/>
                    </wps:wsp>
                  </a:graphicData>
                </a:graphic>
              </wp:anchor>
            </w:drawing>
          </mc:Choice>
          <mc:Fallback>
            <w:pict>
              <v:rect id="000150" o:spid="_x0000_s1026" o:spt="1" style="position:absolute;left:0pt;margin-left:-9pt;margin-top:17.85pt;height:32.05pt;width:72pt;z-index:251785216;mso-width-relative:page;mso-height-relative:page;" filled="f" stroked="f" coordsize="21600,21600" o:gfxdata="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UIyXS2gAAAAkBAAAPAAAAAAAAAAEAIAAAACIA&#10;AABkcnMvZG93bnJldi54bWxQSwECFAAUAAAACACHTuJATjm0bZUBAAA4AwAADgAAAAAAAAABACAA&#10;AAApAQAAZHJzL2Uyb0RvYy54bWxQSwUGAAAAAAYABgBZAQAAMAUAAAAA&#10;">
                <v:fill on="f" focussize="0,0"/>
                <v:stroke on="f"/>
                <v:imagedata o:title=""/>
                <o:lock v:ext="edit" aspectratio="f"/>
                <v:textbox>
                  <w:txbxContent>
                    <w:p w14:paraId="13F3A26A">
                      <w:pPr>
                        <w:spacing w:line="240" w:lineRule="exact"/>
                        <w:rPr>
                          <w:rFonts w:hint="eastAsia" w:ascii="宋体"/>
                          <w:sz w:val="18"/>
                          <w:szCs w:val="18"/>
                        </w:rPr>
                      </w:pPr>
                      <w:r>
                        <w:rPr>
                          <w:rFonts w:hint="eastAsia" w:ascii="楷体_GB2312" w:hAnsi="宋体" w:eastAsia="楷体_GB2312" w:cs="楷体_GB2312"/>
                          <w:b/>
                          <w:bCs/>
                          <w:color w:val="000000"/>
                          <w:sz w:val="18"/>
                          <w:szCs w:val="18"/>
                        </w:rPr>
                        <w:t>约定投保事项</w:t>
                      </w:r>
                    </w:p>
                  </w:txbxContent>
                </v:textbox>
              </v:rect>
            </w:pict>
          </mc:Fallback>
        </mc:AlternateContent>
      </w:r>
      <w:r>
        <w:rPr>
          <w:rFonts w:hint="eastAsia" w:hAnsi="宋体" w:eastAsia="宋体" w:cs="宋体"/>
          <w:b/>
          <w:bCs/>
          <w:color w:val="auto"/>
          <w:sz w:val="24"/>
          <w:szCs w:val="24"/>
          <w:highlight w:val="none"/>
        </w:rPr>
        <w:t xml:space="preserve">32.8  </w:t>
      </w:r>
      <w:r>
        <w:rPr>
          <w:rFonts w:hint="eastAsia" w:hAnsi="宋体" w:eastAsia="宋体" w:cs="宋体"/>
          <w:b/>
          <w:bCs/>
          <w:color w:val="auto"/>
          <w:sz w:val="24"/>
          <w:szCs w:val="24"/>
          <w:highlight w:val="none"/>
          <w:u w:val="dotted"/>
        </w:rPr>
        <w:t xml:space="preserve">                                                                                                        </w:t>
      </w:r>
    </w:p>
    <w:p w14:paraId="5385D005">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具体投保内容、保险金、保险期限及相关责任等事项，合同双方当事人应在专用条款中约定。</w:t>
      </w:r>
    </w:p>
    <w:p w14:paraId="46816A72">
      <w:pPr>
        <w:pStyle w:val="22"/>
        <w:adjustRightInd w:val="0"/>
        <w:snapToGrid w:val="0"/>
        <w:spacing w:line="300" w:lineRule="auto"/>
        <w:ind w:right="-238"/>
        <w:outlineLvl w:val="1"/>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u w:val="single"/>
        </w:rPr>
        <w:t xml:space="preserve">                                                                                                              </w:t>
      </w:r>
    </w:p>
    <w:p w14:paraId="2ECD7158">
      <w:pPr>
        <w:pStyle w:val="22"/>
        <w:adjustRightInd w:val="0"/>
        <w:snapToGrid w:val="0"/>
        <w:spacing w:line="300" w:lineRule="auto"/>
        <w:ind w:right="-238"/>
        <w:jc w:val="center"/>
        <w:outlineLvl w:val="1"/>
        <w:rPr>
          <w:rFonts w:hint="eastAsia" w:hAnsi="宋体" w:eastAsia="宋体" w:cs="宋体"/>
          <w:b/>
          <w:bCs/>
          <w:color w:val="auto"/>
          <w:sz w:val="24"/>
          <w:szCs w:val="24"/>
          <w:highlight w:val="none"/>
        </w:rPr>
      </w:pPr>
      <w:bookmarkStart w:id="85" w:name="_Toc469384014"/>
      <w:bookmarkStart w:id="86" w:name="_Toc46860835"/>
      <w:r>
        <w:rPr>
          <w:rFonts w:hint="eastAsia" w:hAnsi="宋体" w:eastAsia="宋体" w:cs="宋体"/>
          <w:b/>
          <w:bCs/>
          <w:color w:val="auto"/>
          <w:sz w:val="24"/>
          <w:szCs w:val="24"/>
          <w:highlight w:val="none"/>
        </w:rPr>
        <w:t>四、工  期</w:t>
      </w:r>
      <w:bookmarkEnd w:id="85"/>
      <w:bookmarkEnd w:id="86"/>
    </w:p>
    <w:p w14:paraId="381A3727">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87" w:name="_Toc469384015"/>
      <w:bookmarkStart w:id="88" w:name="_Toc46860836"/>
      <w:r>
        <w:rPr>
          <w:rFonts w:hint="eastAsia" w:hAnsi="宋体" w:eastAsia="宋体" w:cs="宋体"/>
          <w:b/>
          <w:bCs/>
          <w:color w:val="auto"/>
          <w:sz w:val="24"/>
          <w:szCs w:val="24"/>
          <w:highlight w:val="none"/>
        </w:rPr>
        <w:t>33  进度计划和报告</w:t>
      </w:r>
      <w:bookmarkEnd w:id="87"/>
      <w:bookmarkEnd w:id="88"/>
    </w:p>
    <w:p w14:paraId="06BC4B1B">
      <w:pPr>
        <w:pStyle w:val="22"/>
        <w:tabs>
          <w:tab w:val="left" w:pos="1620"/>
        </w:tabs>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786240"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1150" name="000151"/>
                <wp:cNvGraphicFramePr/>
                <a:graphic xmlns:a="http://schemas.openxmlformats.org/drawingml/2006/main">
                  <a:graphicData uri="http://schemas.microsoft.com/office/word/2010/wordprocessingShape">
                    <wps:wsp>
                      <wps:cNvSpPr/>
                      <wps:spPr>
                        <a:xfrm>
                          <a:off x="0" y="0"/>
                          <a:ext cx="914400" cy="412750"/>
                        </a:xfrm>
                        <a:prstGeom prst="rect">
                          <a:avLst/>
                        </a:prstGeom>
                        <a:ln>
                          <a:noFill/>
                        </a:ln>
                      </wps:spPr>
                      <wps:txbx>
                        <w:txbxContent>
                          <w:p w14:paraId="4A1D2E1E">
                            <w:pPr>
                              <w:spacing w:line="240" w:lineRule="exact"/>
                              <w:rPr>
                                <w:rFonts w:hint="eastAsia" w:ascii="楷体_GB2312" w:hAnsi="宋体" w:eastAsia="楷体_GB2312"/>
                                <w:sz w:val="18"/>
                                <w:szCs w:val="18"/>
                              </w:rPr>
                            </w:pPr>
                            <w:r>
                              <w:rPr>
                                <w:rFonts w:hint="eastAsia" w:ascii="楷体_GB2312" w:hAnsi="宋体" w:eastAsia="楷体_GB2312" w:cs="楷体_GB2312"/>
                                <w:b/>
                                <w:bCs/>
                                <w:color w:val="000000"/>
                                <w:sz w:val="18"/>
                                <w:szCs w:val="18"/>
                              </w:rPr>
                              <w:t>提交工程进度计划</w:t>
                            </w:r>
                          </w:p>
                        </w:txbxContent>
                      </wps:txbx>
                      <wps:bodyPr wrap="square"/>
                    </wps:wsp>
                  </a:graphicData>
                </a:graphic>
              </wp:anchor>
            </w:drawing>
          </mc:Choice>
          <mc:Fallback>
            <w:pict>
              <v:rect id="000151" o:spid="_x0000_s1026" o:spt="1" style="position:absolute;left:0pt;margin-left:-9pt;margin-top:22.35pt;height:32.5pt;width:72pt;z-index:251786240;mso-width-relative:page;mso-height-relative:page;" filled="f" stroked="f" coordsize="21600,21600" o:gfxdata="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1FEcK2wAAAAoBAAAPAAAAAAAAAAEAIAAAACIA&#10;AABkcnMvZG93bnJldi54bWxQSwECFAAUAAAACACHTuJAC5j7uZQBAAA4AwAADgAAAAAAAAABACAA&#10;AAAqAQAAZHJzL2Uyb0RvYy54bWxQSwUGAAAAAAYABgBZAQAAMAUAAAAA&#10;">
                <v:fill on="f" focussize="0,0"/>
                <v:stroke on="f"/>
                <v:imagedata o:title=""/>
                <o:lock v:ext="edit" aspectratio="f"/>
                <v:textbox>
                  <w:txbxContent>
                    <w:p w14:paraId="4A1D2E1E">
                      <w:pPr>
                        <w:spacing w:line="240" w:lineRule="exact"/>
                        <w:rPr>
                          <w:rFonts w:hint="eastAsia" w:ascii="楷体_GB2312" w:hAnsi="宋体" w:eastAsia="楷体_GB2312"/>
                          <w:sz w:val="18"/>
                          <w:szCs w:val="18"/>
                        </w:rPr>
                      </w:pPr>
                      <w:r>
                        <w:rPr>
                          <w:rFonts w:hint="eastAsia" w:ascii="楷体_GB2312" w:hAnsi="宋体" w:eastAsia="楷体_GB2312" w:cs="楷体_GB2312"/>
                          <w:b/>
                          <w:bCs/>
                          <w:color w:val="000000"/>
                          <w:sz w:val="18"/>
                          <w:szCs w:val="18"/>
                        </w:rPr>
                        <w:t>提交工程进度计划</w:t>
                      </w:r>
                    </w:p>
                  </w:txbxContent>
                </v:textbox>
              </v:rect>
            </w:pict>
          </mc:Fallback>
        </mc:AlternateContent>
      </w:r>
      <w:r>
        <w:rPr>
          <w:rFonts w:hint="eastAsia" w:hAnsi="宋体" w:eastAsia="宋体" w:cs="宋体"/>
          <w:b/>
          <w:bCs/>
          <w:color w:val="auto"/>
          <w:sz w:val="24"/>
          <w:szCs w:val="24"/>
          <w:highlight w:val="none"/>
        </w:rPr>
        <w:t xml:space="preserve">33.1      </w:t>
      </w:r>
    </w:p>
    <w:p w14:paraId="4764F2CA">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承包人应在签订本合同后的31天内，向监理工程师提交一式两份施工组织设计和合同工程进度计划，向发包方提交一份施工组织设计和合同工程进度计划。经发包人批准后，监理工程师应在收到该设计和计划后的7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14:paraId="22E7D10B">
      <w:pPr>
        <w:pStyle w:val="22"/>
        <w:adjustRightInd w:val="0"/>
        <w:snapToGrid w:val="0"/>
        <w:spacing w:line="300" w:lineRule="auto"/>
        <w:ind w:left="1619" w:leftChars="771"/>
        <w:rPr>
          <w:rFonts w:hint="eastAsia" w:hAnsi="宋体" w:eastAsia="宋体" w:cs="宋体"/>
          <w:color w:val="auto"/>
          <w:sz w:val="24"/>
          <w:szCs w:val="24"/>
          <w:highlight w:val="none"/>
        </w:rPr>
      </w:pPr>
    </w:p>
    <w:p w14:paraId="1FBEB37B">
      <w:pPr>
        <w:pStyle w:val="22"/>
        <w:tabs>
          <w:tab w:val="left" w:pos="1620"/>
        </w:tabs>
        <w:adjustRightInd w:val="0"/>
        <w:snapToGrid w:val="0"/>
        <w:spacing w:line="300" w:lineRule="auto"/>
        <w:rPr>
          <w:rFonts w:hint="eastAsia" w:hAnsi="宋体" w:eastAsia="宋体" w:cs="宋体"/>
          <w:b/>
          <w:bCs/>
          <w:color w:val="auto"/>
          <w:sz w:val="24"/>
          <w:szCs w:val="24"/>
          <w:highlight w:val="none"/>
          <w:u w:val="dotted"/>
        </w:rPr>
      </w:pPr>
      <w:r>
        <w:rPr>
          <w:rFonts w:hint="eastAsia" w:hAnsi="宋体" w:eastAsia="宋体" w:cs="宋体"/>
          <w:color w:val="auto"/>
          <w:sz w:val="24"/>
          <w:szCs w:val="24"/>
          <w:highlight w:val="none"/>
        </w:rPr>
        <mc:AlternateContent>
          <mc:Choice Requires="wps">
            <w:drawing>
              <wp:anchor distT="0" distB="0" distL="0" distR="0" simplePos="0" relativeHeight="251787264"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1151" name="000152"/>
                <wp:cNvGraphicFramePr/>
                <a:graphic xmlns:a="http://schemas.openxmlformats.org/drawingml/2006/main">
                  <a:graphicData uri="http://schemas.microsoft.com/office/word/2010/wordprocessingShape">
                    <wps:wsp>
                      <wps:cNvSpPr/>
                      <wps:spPr>
                        <a:xfrm>
                          <a:off x="0" y="0"/>
                          <a:ext cx="914400" cy="471804"/>
                        </a:xfrm>
                        <a:prstGeom prst="rect">
                          <a:avLst/>
                        </a:prstGeom>
                        <a:ln>
                          <a:noFill/>
                        </a:ln>
                      </wps:spPr>
                      <wps:txbx>
                        <w:txbxContent>
                          <w:p w14:paraId="224EF93D">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工程进度的监督和检查</w:t>
                            </w:r>
                          </w:p>
                        </w:txbxContent>
                      </wps:txbx>
                      <wps:bodyPr wrap="square"/>
                    </wps:wsp>
                  </a:graphicData>
                </a:graphic>
              </wp:anchor>
            </w:drawing>
          </mc:Choice>
          <mc:Fallback>
            <w:pict>
              <v:rect id="000152" o:spid="_x0000_s1026" o:spt="1" style="position:absolute;left:0pt;margin-left:-9pt;margin-top:22.15pt;height:37.15pt;width:72pt;z-index:251787264;mso-width-relative:page;mso-height-relative:page;" filled="f" stroked="f" coordsize="21600,21600" o:gfxdata="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SnpLSdsAAAAKAQAADwAAAAAAAAABACAAAAAi&#10;AAAAZHJzL2Rvd25yZXYueG1sUEsBAhQAFAAAAAgAh07iQA/hCvOVAQAAOAMAAA4AAAAAAAAAAQAg&#10;AAAAKgEAAGRycy9lMm9Eb2MueG1sUEsFBgAAAAAGAAYAWQEAADEFAAAAAA==&#10;">
                <v:fill on="f" focussize="0,0"/>
                <v:stroke on="f"/>
                <v:imagedata o:title=""/>
                <o:lock v:ext="edit" aspectratio="f"/>
                <v:textbox>
                  <w:txbxContent>
                    <w:p w14:paraId="224EF93D">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工程进度的监督和检查</w:t>
                      </w:r>
                    </w:p>
                  </w:txbxContent>
                </v:textbox>
              </v:rect>
            </w:pict>
          </mc:Fallback>
        </mc:AlternateContent>
      </w:r>
      <w:r>
        <w:rPr>
          <w:rFonts w:hint="eastAsia" w:hAnsi="宋体" w:eastAsia="宋体" w:cs="宋体"/>
          <w:b/>
          <w:bCs/>
          <w:color w:val="auto"/>
          <w:sz w:val="24"/>
          <w:szCs w:val="24"/>
          <w:highlight w:val="none"/>
        </w:rPr>
        <w:t xml:space="preserve">33.2  </w:t>
      </w:r>
      <w:r>
        <w:rPr>
          <w:rFonts w:hint="eastAsia" w:hAnsi="宋体" w:eastAsia="宋体" w:cs="宋体"/>
          <w:b/>
          <w:bCs/>
          <w:color w:val="auto"/>
          <w:sz w:val="24"/>
          <w:szCs w:val="24"/>
          <w:highlight w:val="none"/>
          <w:u w:val="dotted"/>
        </w:rPr>
        <w:t xml:space="preserve">                                                                                                        </w:t>
      </w:r>
    </w:p>
    <w:p w14:paraId="0C43D85F">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承包人应按照经监理工程师确认并由其报发包人批准的进度计划组织施工，接受监理工程师对工程进度的监督和检查。</w:t>
      </w:r>
    </w:p>
    <w:p w14:paraId="0D45F650">
      <w:pPr>
        <w:pStyle w:val="22"/>
        <w:tabs>
          <w:tab w:val="left" w:pos="1620"/>
        </w:tabs>
        <w:adjustRightInd w:val="0"/>
        <w:snapToGrid w:val="0"/>
        <w:spacing w:line="300" w:lineRule="auto"/>
        <w:rPr>
          <w:rFonts w:hint="eastAsia" w:hAnsi="宋体" w:eastAsia="宋体" w:cs="宋体"/>
          <w:b/>
          <w:bCs/>
          <w:color w:val="auto"/>
          <w:sz w:val="24"/>
          <w:szCs w:val="24"/>
          <w:highlight w:val="none"/>
          <w:u w:val="dotted"/>
        </w:rPr>
      </w:pPr>
      <w:r>
        <w:rPr>
          <w:rFonts w:hint="eastAsia" w:hAnsi="宋体" w:eastAsia="宋体" w:cs="宋体"/>
          <w:color w:val="auto"/>
          <w:sz w:val="24"/>
          <w:szCs w:val="24"/>
          <w:highlight w:val="none"/>
        </w:rPr>
        <mc:AlternateContent>
          <mc:Choice Requires="wps">
            <w:drawing>
              <wp:anchor distT="0" distB="0" distL="0" distR="0" simplePos="0" relativeHeight="251788288"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1152" name="000153"/>
                <wp:cNvGraphicFramePr/>
                <a:graphic xmlns:a="http://schemas.openxmlformats.org/drawingml/2006/main">
                  <a:graphicData uri="http://schemas.microsoft.com/office/word/2010/wordprocessingShape">
                    <wps:wsp>
                      <wps:cNvSpPr/>
                      <wps:spPr>
                        <a:xfrm>
                          <a:off x="0" y="0"/>
                          <a:ext cx="914400" cy="555625"/>
                        </a:xfrm>
                        <a:prstGeom prst="rect">
                          <a:avLst/>
                        </a:prstGeom>
                        <a:ln>
                          <a:noFill/>
                        </a:ln>
                      </wps:spPr>
                      <wps:txbx>
                        <w:txbxContent>
                          <w:p w14:paraId="05CC8C55">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wps:txbx>
                      <wps:bodyPr wrap="square"/>
                    </wps:wsp>
                  </a:graphicData>
                </a:graphic>
              </wp:anchor>
            </w:drawing>
          </mc:Choice>
          <mc:Fallback>
            <w:pict>
              <v:rect id="000153" o:spid="_x0000_s1026" o:spt="1" style="position:absolute;left:0pt;margin-left:-9pt;margin-top:20.9pt;height:43.75pt;width:72pt;z-index:251788288;mso-width-relative:page;mso-height-relative:page;" filled="f" stroked="f" coordsize="21600,21600" o:gfxdata="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i3Ec52gAAAAoBAAAPAAAAAAAAAAEAIAAAACIA&#10;AABkcnMvZG93bnJldi54bWxQSwECFAAUAAAACACHTuJAQ4ZYwpUBAAA4AwAADgAAAAAAAAABACAA&#10;AAApAQAAZHJzL2Uyb0RvYy54bWxQSwUGAAAAAAYABgBZAQAAMAUAAAAA&#10;">
                <v:fill on="f" focussize="0,0"/>
                <v:stroke on="f"/>
                <v:imagedata o:title=""/>
                <o:lock v:ext="edit" aspectratio="f"/>
                <v:textbox>
                  <w:txbxContent>
                    <w:p w14:paraId="05CC8C55">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v:textbox>
              </v:rect>
            </w:pict>
          </mc:Fallback>
        </mc:AlternateContent>
      </w:r>
      <w:r>
        <w:rPr>
          <w:rFonts w:hint="eastAsia" w:hAnsi="宋体" w:eastAsia="宋体" w:cs="宋体"/>
          <w:b/>
          <w:bCs/>
          <w:color w:val="auto"/>
          <w:sz w:val="24"/>
          <w:szCs w:val="24"/>
          <w:highlight w:val="none"/>
        </w:rPr>
        <w:t xml:space="preserve">33.3  </w:t>
      </w:r>
      <w:r>
        <w:rPr>
          <w:rFonts w:hint="eastAsia" w:hAnsi="宋体" w:eastAsia="宋体" w:cs="宋体"/>
          <w:b/>
          <w:bCs/>
          <w:color w:val="auto"/>
          <w:sz w:val="24"/>
          <w:szCs w:val="24"/>
          <w:highlight w:val="none"/>
          <w:u w:val="dotted"/>
        </w:rPr>
        <w:t xml:space="preserve">                                                                                                        </w:t>
      </w:r>
    </w:p>
    <w:p w14:paraId="15E9B420">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除专用条款另有约定外，承包人应编制每月施工进度报告，同时每季度对进度计划修订一次，并在每月或季结束后的7天内向监理工程师提交上述报告和修订计划一式两份。月施工进度报告的内容至少应包括：</w:t>
      </w:r>
    </w:p>
    <w:p w14:paraId="6D4F07BE">
      <w:pPr>
        <w:pStyle w:val="22"/>
        <w:adjustRightInd w:val="0"/>
        <w:snapToGrid w:val="0"/>
        <w:spacing w:line="300" w:lineRule="auto"/>
        <w:ind w:firstLine="1560" w:firstLineChars="650"/>
        <w:rPr>
          <w:rFonts w:hint="eastAsia" w:hAnsi="宋体" w:eastAsia="宋体" w:cs="宋体"/>
          <w:color w:val="auto"/>
          <w:sz w:val="24"/>
          <w:szCs w:val="24"/>
          <w:highlight w:val="none"/>
        </w:rPr>
      </w:pPr>
      <w:r>
        <w:rPr>
          <w:rFonts w:hint="eastAsia" w:hAnsi="宋体" w:eastAsia="宋体" w:cs="宋体"/>
          <w:color w:val="auto"/>
          <w:sz w:val="24"/>
          <w:szCs w:val="24"/>
          <w:highlight w:val="none"/>
        </w:rPr>
        <w:t>（1）施工、安装、试验以及其他发包人工作等进展情况的图表</w:t>
      </w:r>
    </w:p>
    <w:p w14:paraId="3371DE2E">
      <w:pPr>
        <w:pStyle w:val="22"/>
        <w:adjustRightInd w:val="0"/>
        <w:snapToGrid w:val="0"/>
        <w:spacing w:line="300" w:lineRule="auto"/>
        <w:ind w:firstLine="1560" w:firstLineChars="650"/>
        <w:rPr>
          <w:rFonts w:hint="eastAsia" w:hAnsi="宋体" w:eastAsia="宋体" w:cs="宋体"/>
          <w:color w:val="auto"/>
          <w:sz w:val="24"/>
          <w:szCs w:val="24"/>
          <w:highlight w:val="none"/>
        </w:rPr>
      </w:pPr>
      <w:r>
        <w:rPr>
          <w:rFonts w:hint="eastAsia" w:hAnsi="宋体" w:eastAsia="宋体" w:cs="宋体"/>
          <w:color w:val="auto"/>
          <w:sz w:val="24"/>
          <w:szCs w:val="24"/>
          <w:highlight w:val="none"/>
        </w:rPr>
        <w:t>和说明；</w:t>
      </w:r>
    </w:p>
    <w:p w14:paraId="2B9F9013">
      <w:pPr>
        <w:pStyle w:val="22"/>
        <w:adjustRightInd w:val="0"/>
        <w:snapToGrid w:val="0"/>
        <w:spacing w:line="300" w:lineRule="auto"/>
        <w:ind w:firstLine="1560" w:firstLineChars="650"/>
        <w:rPr>
          <w:rFonts w:hint="eastAsia" w:hAnsi="宋体" w:eastAsia="宋体" w:cs="宋体"/>
          <w:color w:val="auto"/>
          <w:sz w:val="24"/>
          <w:szCs w:val="24"/>
          <w:highlight w:val="none"/>
        </w:rPr>
      </w:pPr>
      <w:r>
        <w:rPr>
          <w:rFonts w:hint="eastAsia" w:hAnsi="宋体" w:eastAsia="宋体" w:cs="宋体"/>
          <w:color w:val="auto"/>
          <w:sz w:val="24"/>
          <w:szCs w:val="24"/>
          <w:highlight w:val="none"/>
        </w:rPr>
        <w:t>（2）材料、设备、货物的采购和制造商名称、地点以及进入现</w:t>
      </w:r>
    </w:p>
    <w:p w14:paraId="6D11AC80">
      <w:pPr>
        <w:pStyle w:val="22"/>
        <w:adjustRightInd w:val="0"/>
        <w:snapToGrid w:val="0"/>
        <w:spacing w:line="300" w:lineRule="auto"/>
        <w:ind w:firstLine="1560" w:firstLineChars="650"/>
        <w:rPr>
          <w:rFonts w:hint="eastAsia" w:hAnsi="宋体" w:eastAsia="宋体" w:cs="宋体"/>
          <w:color w:val="auto"/>
          <w:sz w:val="24"/>
          <w:szCs w:val="24"/>
          <w:highlight w:val="none"/>
        </w:rPr>
      </w:pPr>
      <w:r>
        <w:rPr>
          <w:rFonts w:hint="eastAsia" w:hAnsi="宋体" w:eastAsia="宋体" w:cs="宋体"/>
          <w:color w:val="auto"/>
          <w:sz w:val="24"/>
          <w:szCs w:val="24"/>
          <w:highlight w:val="none"/>
        </w:rPr>
        <w:t>场情况；</w:t>
      </w:r>
    </w:p>
    <w:p w14:paraId="21A0147F">
      <w:pPr>
        <w:pStyle w:val="22"/>
        <w:adjustRightInd w:val="0"/>
        <w:snapToGrid w:val="0"/>
        <w:spacing w:line="300" w:lineRule="auto"/>
        <w:ind w:firstLine="1560" w:firstLineChars="650"/>
        <w:rPr>
          <w:rFonts w:hint="eastAsia" w:hAnsi="宋体" w:eastAsia="宋体" w:cs="宋体"/>
          <w:color w:val="auto"/>
          <w:sz w:val="24"/>
          <w:szCs w:val="24"/>
          <w:highlight w:val="none"/>
        </w:rPr>
      </w:pPr>
      <w:r>
        <w:rPr>
          <w:rFonts w:hint="eastAsia" w:hAnsi="宋体" w:eastAsia="宋体" w:cs="宋体"/>
          <w:color w:val="auto"/>
          <w:sz w:val="24"/>
          <w:szCs w:val="24"/>
          <w:highlight w:val="none"/>
        </w:rPr>
        <w:t>（3）索赔情况和安全统计；</w:t>
      </w:r>
    </w:p>
    <w:p w14:paraId="49921315">
      <w:pPr>
        <w:pStyle w:val="22"/>
        <w:adjustRightInd w:val="0"/>
        <w:snapToGrid w:val="0"/>
        <w:spacing w:line="300" w:lineRule="auto"/>
        <w:ind w:left="1558" w:leftChars="742"/>
        <w:rPr>
          <w:rFonts w:hint="eastAsia" w:hAnsi="宋体" w:eastAsia="宋体" w:cs="宋体"/>
          <w:color w:val="auto"/>
          <w:sz w:val="24"/>
          <w:szCs w:val="24"/>
          <w:highlight w:val="none"/>
        </w:rPr>
      </w:pPr>
      <w:r>
        <w:rPr>
          <w:rFonts w:hint="eastAsia" w:hAnsi="宋体" w:eastAsia="宋体" w:cs="宋体"/>
          <w:color w:val="auto"/>
          <w:sz w:val="24"/>
          <w:szCs w:val="24"/>
          <w:highlight w:val="none"/>
        </w:rPr>
        <w:t>（4）实际进度与计划进度的对比，以及为消除延误正在或准备采取的措施。</w:t>
      </w:r>
    </w:p>
    <w:p w14:paraId="3D77F88A">
      <w:pPr>
        <w:pStyle w:val="22"/>
        <w:tabs>
          <w:tab w:val="left" w:pos="1620"/>
        </w:tabs>
        <w:adjustRightInd w:val="0"/>
        <w:snapToGrid w:val="0"/>
        <w:spacing w:line="300" w:lineRule="auto"/>
        <w:rPr>
          <w:rFonts w:hint="eastAsia" w:hAnsi="宋体" w:eastAsia="宋体" w:cs="宋体"/>
          <w:color w:val="auto"/>
          <w:sz w:val="24"/>
          <w:szCs w:val="24"/>
          <w:highlight w:val="none"/>
          <w:u w:val="dotted"/>
        </w:rPr>
      </w:pPr>
      <w:r>
        <w:rPr>
          <w:rFonts w:hint="eastAsia" w:hAnsi="宋体" w:eastAsia="宋体" w:cs="宋体"/>
          <w:color w:val="auto"/>
          <w:sz w:val="24"/>
          <w:szCs w:val="24"/>
          <w:highlight w:val="none"/>
        </w:rPr>
        <mc:AlternateContent>
          <mc:Choice Requires="wps">
            <w:drawing>
              <wp:anchor distT="0" distB="0" distL="0" distR="0" simplePos="0" relativeHeight="251789312"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1153" name="000154"/>
                <wp:cNvGraphicFramePr/>
                <a:graphic xmlns:a="http://schemas.openxmlformats.org/drawingml/2006/main">
                  <a:graphicData uri="http://schemas.microsoft.com/office/word/2010/wordprocessingShape">
                    <wps:wsp>
                      <wps:cNvSpPr/>
                      <wps:spPr>
                        <a:xfrm>
                          <a:off x="0" y="0"/>
                          <a:ext cx="914400" cy="644524"/>
                        </a:xfrm>
                        <a:prstGeom prst="rect">
                          <a:avLst/>
                        </a:prstGeom>
                        <a:ln>
                          <a:noFill/>
                        </a:ln>
                      </wps:spPr>
                      <wps:txbx>
                        <w:txbxContent>
                          <w:p w14:paraId="4B33B7BD">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wps:txbx>
                      <wps:bodyPr wrap="square"/>
                    </wps:wsp>
                  </a:graphicData>
                </a:graphic>
              </wp:anchor>
            </w:drawing>
          </mc:Choice>
          <mc:Fallback>
            <w:pict>
              <v:rect id="000154" o:spid="_x0000_s1026" o:spt="1" style="position:absolute;left:0pt;margin-left:-9pt;margin-top:19.2pt;height:50.75pt;width:72pt;z-index:251789312;mso-width-relative:page;mso-height-relative:page;" filled="f" stroked="f" coordsize="21600,21600" o:gfxdata="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KOMWmHbAAAACgEAAA8AAAAAAAAAAQAgAAAA&#10;IgAAAGRycy9kb3ducmV2LnhtbFBLAQIUABQAAAAIAIdO4kApN8gplgEAADgDAAAOAAAAAAAAAAEA&#10;IAAAACoBAABkcnMvZTJvRG9jLnhtbFBLBQYAAAAABgAGAFkBAAAyBQAAAAA=&#10;">
                <v:fill on="f" focussize="0,0"/>
                <v:stroke on="f"/>
                <v:imagedata o:title=""/>
                <o:lock v:ext="edit" aspectratio="f"/>
                <v:textbox>
                  <w:txbxContent>
                    <w:p w14:paraId="4B33B7BD">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v:textbox>
              </v:rect>
            </w:pict>
          </mc:Fallback>
        </mc:AlternateContent>
      </w:r>
      <w:r>
        <w:rPr>
          <w:rFonts w:hint="eastAsia" w:hAnsi="宋体" w:eastAsia="宋体" w:cs="宋体"/>
          <w:b/>
          <w:bCs/>
          <w:color w:val="auto"/>
          <w:sz w:val="24"/>
          <w:szCs w:val="24"/>
          <w:highlight w:val="none"/>
        </w:rPr>
        <w:t xml:space="preserve">33.4  </w:t>
      </w:r>
      <w:r>
        <w:rPr>
          <w:rFonts w:hint="eastAsia" w:hAnsi="宋体" w:eastAsia="宋体" w:cs="宋体"/>
          <w:color w:val="auto"/>
          <w:sz w:val="24"/>
          <w:szCs w:val="24"/>
          <w:highlight w:val="none"/>
          <w:u w:val="dotted"/>
        </w:rPr>
        <w:t xml:space="preserve">                                                                                                        </w:t>
      </w:r>
    </w:p>
    <w:p w14:paraId="70CC95B5">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66.2款规定向发包人支付由此产生的误期赔偿费。工程进度计划即使经监理工程师确认，也不能免除承包人按照合同约定应承担的任何责任和应履行的任何义务。</w:t>
      </w:r>
    </w:p>
    <w:p w14:paraId="4BB858CB">
      <w:pPr>
        <w:pStyle w:val="22"/>
        <w:adjustRightInd w:val="0"/>
        <w:snapToGrid w:val="0"/>
        <w:spacing w:line="300" w:lineRule="auto"/>
        <w:ind w:right="-238"/>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u w:val="single"/>
        </w:rPr>
        <w:t xml:space="preserve">                                                                                                                                                       </w:t>
      </w:r>
    </w:p>
    <w:p w14:paraId="163A2B20">
      <w:pPr>
        <w:pStyle w:val="22"/>
        <w:adjustRightInd w:val="0"/>
        <w:snapToGrid w:val="0"/>
        <w:spacing w:line="300" w:lineRule="auto"/>
        <w:ind w:right="-238"/>
        <w:outlineLvl w:val="2"/>
        <w:rPr>
          <w:rFonts w:hint="eastAsia" w:hAnsi="宋体" w:eastAsia="宋体" w:cs="宋体"/>
          <w:b/>
          <w:bCs/>
          <w:color w:val="auto"/>
          <w:sz w:val="24"/>
          <w:szCs w:val="24"/>
          <w:highlight w:val="none"/>
        </w:rPr>
      </w:pPr>
      <w:bookmarkStart w:id="89" w:name="_Toc46860837"/>
      <w:bookmarkStart w:id="90" w:name="_Toc469384016"/>
      <w:r>
        <w:rPr>
          <w:rFonts w:hint="eastAsia" w:hAnsi="宋体" w:eastAsia="宋体" w:cs="宋体"/>
          <w:b/>
          <w:bCs/>
          <w:color w:val="auto"/>
          <w:sz w:val="24"/>
          <w:szCs w:val="24"/>
          <w:highlight w:val="none"/>
        </w:rPr>
        <w:t>34  开工</w:t>
      </w:r>
      <w:bookmarkEnd w:id="89"/>
      <w:bookmarkEnd w:id="90"/>
    </w:p>
    <w:p w14:paraId="565888F8">
      <w:pPr>
        <w:pStyle w:val="22"/>
        <w:tabs>
          <w:tab w:val="left" w:pos="1320"/>
        </w:tabs>
        <w:adjustRightInd w:val="0"/>
        <w:snapToGrid w:val="0"/>
        <w:spacing w:line="300" w:lineRule="auto"/>
        <w:ind w:right="3"/>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790336"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1154" name="000155"/>
                <wp:cNvGraphicFramePr/>
                <a:graphic xmlns:a="http://schemas.openxmlformats.org/drawingml/2006/main">
                  <a:graphicData uri="http://schemas.microsoft.com/office/word/2010/wordprocessingShape">
                    <wps:wsp>
                      <wps:cNvSpPr/>
                      <wps:spPr>
                        <a:xfrm>
                          <a:off x="0" y="0"/>
                          <a:ext cx="800100" cy="310515"/>
                        </a:xfrm>
                        <a:prstGeom prst="rect">
                          <a:avLst/>
                        </a:prstGeom>
                        <a:ln>
                          <a:noFill/>
                        </a:ln>
                      </wps:spPr>
                      <wps:txbx>
                        <w:txbxContent>
                          <w:p w14:paraId="1BDFCCAB">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开工条件</w:t>
                            </w:r>
                          </w:p>
                        </w:txbxContent>
                      </wps:txbx>
                      <wps:bodyPr wrap="square"/>
                    </wps:wsp>
                  </a:graphicData>
                </a:graphic>
              </wp:anchor>
            </w:drawing>
          </mc:Choice>
          <mc:Fallback>
            <w:pict>
              <v:rect id="000155" o:spid="_x0000_s1026" o:spt="1" style="position:absolute;left:0pt;margin-left:-9pt;margin-top:19.45pt;height:24.45pt;width:63pt;z-index:251790336;mso-width-relative:page;mso-height-relative:page;" filled="f" stroked="f" coordsize="21600,21600" o:gfxdata="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zxV+EdkAAAAJAQAADwAAAAAAAAABACAAAAAiAAAA&#10;ZHJzL2Rvd25yZXYueG1sUEsBAhQAFAAAAAgAh07iQCljqo6UAQAAOAMAAA4AAAAAAAAAAQAgAAAA&#10;KAEAAGRycy9lMm9Eb2MueG1sUEsFBgAAAAAGAAYAWQEAAC4FAAAAAA==&#10;">
                <v:fill on="f" focussize="0,0"/>
                <v:stroke on="f"/>
                <v:imagedata o:title=""/>
                <o:lock v:ext="edit" aspectratio="f"/>
                <v:textbox>
                  <w:txbxContent>
                    <w:p w14:paraId="1BDFCCAB">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开工条件</w:t>
                      </w:r>
                    </w:p>
                  </w:txbxContent>
                </v:textbox>
              </v:rect>
            </w:pict>
          </mc:Fallback>
        </mc:AlternateContent>
      </w:r>
      <w:r>
        <w:rPr>
          <w:rFonts w:hint="eastAsia" w:hAnsi="宋体" w:eastAsia="宋体" w:cs="宋体"/>
          <w:b/>
          <w:bCs/>
          <w:color w:val="auto"/>
          <w:sz w:val="24"/>
          <w:szCs w:val="24"/>
          <w:highlight w:val="none"/>
        </w:rPr>
        <w:t xml:space="preserve">34.1    </w:t>
      </w:r>
    </w:p>
    <w:p w14:paraId="5EC32752">
      <w:pPr>
        <w:pStyle w:val="22"/>
        <w:adjustRightInd w:val="0"/>
        <w:snapToGrid w:val="0"/>
        <w:spacing w:line="300" w:lineRule="auto"/>
        <w:ind w:left="1619" w:leftChars="771" w:right="6"/>
        <w:rPr>
          <w:rFonts w:hint="eastAsia" w:hAnsi="宋体" w:eastAsia="宋体" w:cs="宋体"/>
          <w:color w:val="auto"/>
          <w:sz w:val="24"/>
          <w:szCs w:val="24"/>
          <w:highlight w:val="none"/>
        </w:rPr>
      </w:pPr>
      <w:r>
        <w:rPr>
          <w:rFonts w:hint="eastAsia" w:hAnsi="宋体" w:eastAsia="宋体" w:cs="宋体"/>
          <w:color w:val="auto"/>
          <w:sz w:val="24"/>
          <w:szCs w:val="24"/>
          <w:highlight w:val="none"/>
        </w:rPr>
        <w:t>工程开工必须具备法律规定的开工条件，并已经领取了施工许可证。</w:t>
      </w:r>
    </w:p>
    <w:p w14:paraId="14740713">
      <w:pPr>
        <w:pStyle w:val="22"/>
        <w:tabs>
          <w:tab w:val="left" w:pos="1320"/>
        </w:tabs>
        <w:adjustRightInd w:val="0"/>
        <w:snapToGrid w:val="0"/>
        <w:spacing w:line="300" w:lineRule="auto"/>
        <w:ind w:right="3"/>
        <w:rPr>
          <w:rFonts w:hint="eastAsia" w:hAnsi="宋体" w:eastAsia="宋体" w:cs="宋体"/>
          <w:b/>
          <w:bCs/>
          <w:color w:val="auto"/>
          <w:sz w:val="24"/>
          <w:szCs w:val="24"/>
          <w:highlight w:val="none"/>
          <w:u w:val="dotted"/>
        </w:rPr>
      </w:pPr>
      <w:r>
        <w:rPr>
          <w:rFonts w:hint="eastAsia" w:hAnsi="宋体" w:eastAsia="宋体" w:cs="宋体"/>
          <w:color w:val="auto"/>
          <w:sz w:val="24"/>
          <w:szCs w:val="24"/>
          <w:highlight w:val="none"/>
        </w:rPr>
        <mc:AlternateContent>
          <mc:Choice Requires="wps">
            <w:drawing>
              <wp:anchor distT="0" distB="0" distL="0" distR="0" simplePos="0" relativeHeight="251791360"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1155" name="000156"/>
                <wp:cNvGraphicFramePr/>
                <a:graphic xmlns:a="http://schemas.openxmlformats.org/drawingml/2006/main">
                  <a:graphicData uri="http://schemas.microsoft.com/office/word/2010/wordprocessingShape">
                    <wps:wsp>
                      <wps:cNvSpPr/>
                      <wps:spPr>
                        <a:xfrm>
                          <a:off x="0" y="0"/>
                          <a:ext cx="800100" cy="297180"/>
                        </a:xfrm>
                        <a:prstGeom prst="rect">
                          <a:avLst/>
                        </a:prstGeom>
                        <a:ln>
                          <a:noFill/>
                        </a:ln>
                      </wps:spPr>
                      <wps:txbx>
                        <w:txbxContent>
                          <w:p w14:paraId="7E3D67BE">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工程开工</w:t>
                            </w:r>
                          </w:p>
                        </w:txbxContent>
                      </wps:txbx>
                      <wps:bodyPr wrap="square"/>
                    </wps:wsp>
                  </a:graphicData>
                </a:graphic>
              </wp:anchor>
            </w:drawing>
          </mc:Choice>
          <mc:Fallback>
            <w:pict>
              <v:rect id="000156" o:spid="_x0000_s1026" o:spt="1" style="position:absolute;left:0pt;margin-left:-9pt;margin-top:19.1pt;height:23.4pt;width:63pt;z-index:251791360;mso-width-relative:page;mso-height-relative:page;" filled="f" stroked="f" coordsize="21600,21600" o:gfxdata="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FrRRxtgAAAAJAQAADwAAAAAAAAABACAAAAAiAAAA&#10;ZHJzL2Rvd25yZXYueG1sUEsBAhQAFAAAAAgAh07iQMMoxoyVAQAAOAMAAA4AAAAAAAAAAQAgAAAA&#10;JwEAAGRycy9lMm9Eb2MueG1sUEsFBgAAAAAGAAYAWQEAAC4FAAAAAA==&#10;">
                <v:fill on="f" focussize="0,0"/>
                <v:stroke on="f"/>
                <v:imagedata o:title=""/>
                <o:lock v:ext="edit" aspectratio="f"/>
                <v:textbox>
                  <w:txbxContent>
                    <w:p w14:paraId="7E3D67BE">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工程开工</w:t>
                      </w:r>
                    </w:p>
                  </w:txbxContent>
                </v:textbox>
              </v:rect>
            </w:pict>
          </mc:Fallback>
        </mc:AlternateContent>
      </w:r>
      <w:r>
        <w:rPr>
          <w:rFonts w:hint="eastAsia" w:hAnsi="宋体" w:eastAsia="宋体" w:cs="宋体"/>
          <w:b/>
          <w:bCs/>
          <w:color w:val="auto"/>
          <w:sz w:val="24"/>
          <w:szCs w:val="24"/>
          <w:highlight w:val="none"/>
        </w:rPr>
        <w:t xml:space="preserve">34.2  </w:t>
      </w:r>
      <w:r>
        <w:rPr>
          <w:rFonts w:hint="eastAsia" w:hAnsi="宋体" w:eastAsia="宋体" w:cs="宋体"/>
          <w:b/>
          <w:bCs/>
          <w:color w:val="auto"/>
          <w:sz w:val="24"/>
          <w:szCs w:val="24"/>
          <w:highlight w:val="none"/>
          <w:u w:val="dotted"/>
        </w:rPr>
        <w:t xml:space="preserve">                                                                                                        </w:t>
      </w:r>
    </w:p>
    <w:p w14:paraId="607F124E">
      <w:pPr>
        <w:pStyle w:val="22"/>
        <w:adjustRightInd w:val="0"/>
        <w:snapToGrid w:val="0"/>
        <w:spacing w:line="300" w:lineRule="auto"/>
        <w:ind w:left="1619" w:leftChars="771" w:right="3"/>
        <w:rPr>
          <w:rFonts w:hint="eastAsia" w:hAnsi="宋体" w:eastAsia="宋体" w:cs="宋体"/>
          <w:color w:val="auto"/>
          <w:sz w:val="24"/>
          <w:szCs w:val="24"/>
          <w:highlight w:val="none"/>
        </w:rPr>
      </w:pPr>
      <w:r>
        <w:rPr>
          <w:rFonts w:hint="eastAsia" w:hAnsi="宋体" w:eastAsia="宋体" w:cs="宋体"/>
          <w:color w:val="auto"/>
          <w:sz w:val="24"/>
          <w:szCs w:val="24"/>
          <w:highlight w:val="none"/>
        </w:rPr>
        <w:t>承包人应在签订本合同后的28天内，向监理工程师提交开工申请书，并附上表明已做好开工准备的有关资料。除专用条款另有约定外，监理工程师应在本合同签订后的42天内报发包人批准后向承包人发出开工令；承包人应在接到开工令后的7天内开工，并一直保持合同工程连续均衡施工，直至其被改变为止。</w:t>
      </w:r>
    </w:p>
    <w:p w14:paraId="1534D135">
      <w:pPr>
        <w:pStyle w:val="22"/>
        <w:tabs>
          <w:tab w:val="left" w:pos="1320"/>
        </w:tabs>
        <w:adjustRightInd w:val="0"/>
        <w:snapToGrid w:val="0"/>
        <w:spacing w:line="300" w:lineRule="auto"/>
        <w:ind w:right="3"/>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792384"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1156" name="000157"/>
                <wp:cNvGraphicFramePr/>
                <a:graphic xmlns:a="http://schemas.openxmlformats.org/drawingml/2006/main">
                  <a:graphicData uri="http://schemas.microsoft.com/office/word/2010/wordprocessingShape">
                    <wps:wsp>
                      <wps:cNvSpPr/>
                      <wps:spPr>
                        <a:xfrm>
                          <a:off x="0" y="0"/>
                          <a:ext cx="914400" cy="594360"/>
                        </a:xfrm>
                        <a:prstGeom prst="rect">
                          <a:avLst/>
                        </a:prstGeom>
                        <a:ln>
                          <a:noFill/>
                        </a:ln>
                      </wps:spPr>
                      <wps:txbx>
                        <w:txbxContent>
                          <w:p w14:paraId="34FA0E42">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wps:txbx>
                      <wps:bodyPr wrap="square"/>
                    </wps:wsp>
                  </a:graphicData>
                </a:graphic>
              </wp:anchor>
            </w:drawing>
          </mc:Choice>
          <mc:Fallback>
            <w:pict>
              <v:rect id="000157" o:spid="_x0000_s1026" o:spt="1" style="position:absolute;left:0pt;margin-left:-9pt;margin-top:21.25pt;height:46.8pt;width:72pt;z-index:251792384;mso-width-relative:page;mso-height-relative:page;" filled="f" stroked="f" coordsize="21600,21600" o:gfxdata="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VxVvR2wAAAAoBAAAPAAAAAAAAAAEAIAAA&#10;ACIAAABkcnMvZG93bnJldi54bWxQSwECFAAUAAAACACHTuJAtN7uopcBAAA4AwAADgAAAAAAAAAB&#10;ACAAAAAqAQAAZHJzL2Uyb0RvYy54bWxQSwUGAAAAAAYABgBZAQAAMwUAAAAA&#10;">
                <v:fill on="f" focussize="0,0"/>
                <v:stroke on="f"/>
                <v:imagedata o:title=""/>
                <o:lock v:ext="edit" aspectratio="f"/>
                <v:textbox>
                  <w:txbxContent>
                    <w:p w14:paraId="34FA0E42">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v:textbox>
              </v:rect>
            </w:pict>
          </mc:Fallback>
        </mc:AlternateContent>
      </w:r>
      <w:r>
        <w:rPr>
          <w:rFonts w:hint="eastAsia" w:hAnsi="宋体" w:eastAsia="宋体" w:cs="宋体"/>
          <w:b/>
          <w:bCs/>
          <w:color w:val="auto"/>
          <w:sz w:val="24"/>
          <w:szCs w:val="24"/>
          <w:highlight w:val="none"/>
        </w:rPr>
        <w:t xml:space="preserve">34.3  </w:t>
      </w:r>
      <w:r>
        <w:rPr>
          <w:rFonts w:hint="eastAsia" w:hAnsi="宋体" w:eastAsia="宋体" w:cs="宋体"/>
          <w:b/>
          <w:bCs/>
          <w:color w:val="auto"/>
          <w:sz w:val="24"/>
          <w:szCs w:val="24"/>
          <w:highlight w:val="none"/>
          <w:u w:val="dotted"/>
        </w:rPr>
        <w:t xml:space="preserve">                                                                                                        </w:t>
      </w:r>
    </w:p>
    <w:p w14:paraId="53BA361B">
      <w:pPr>
        <w:pStyle w:val="22"/>
        <w:adjustRightInd w:val="0"/>
        <w:snapToGrid w:val="0"/>
        <w:spacing w:line="300" w:lineRule="auto"/>
        <w:ind w:left="1619" w:leftChars="771" w:right="3"/>
        <w:rPr>
          <w:rFonts w:hint="eastAsia" w:hAnsi="宋体" w:eastAsia="宋体" w:cs="宋体"/>
          <w:color w:val="auto"/>
          <w:sz w:val="24"/>
          <w:szCs w:val="24"/>
          <w:highlight w:val="none"/>
        </w:rPr>
      </w:pPr>
      <w:r>
        <w:rPr>
          <w:rFonts w:hint="eastAsia" w:hAnsi="宋体" w:eastAsia="宋体" w:cs="宋体"/>
          <w:color w:val="auto"/>
          <w:sz w:val="24"/>
          <w:szCs w:val="24"/>
          <w:highlight w:val="none"/>
        </w:rPr>
        <w:t>承包人未能按照时开工，应在接到开工令后立即以书面形式向监理工程师提出延期开工的要求并说明理由。监理工程师应当在接到延期开工申请后的48小时内书面予以答复，否则视为同意。由此造成的损失和延误的工期由承包人承担.</w:t>
      </w:r>
    </w:p>
    <w:p w14:paraId="55DECC01">
      <w:pPr>
        <w:pStyle w:val="22"/>
        <w:tabs>
          <w:tab w:val="left" w:pos="1320"/>
        </w:tabs>
        <w:adjustRightInd w:val="0"/>
        <w:snapToGrid w:val="0"/>
        <w:spacing w:line="300" w:lineRule="auto"/>
        <w:ind w:right="3"/>
        <w:rPr>
          <w:rFonts w:hint="eastAsia" w:hAnsi="宋体" w:eastAsia="宋体" w:cs="宋体"/>
          <w:color w:val="auto"/>
          <w:sz w:val="24"/>
          <w:szCs w:val="24"/>
          <w:highlight w:val="none"/>
          <w:u w:val="dotted"/>
        </w:rPr>
      </w:pPr>
      <w:r>
        <w:rPr>
          <w:rFonts w:hint="eastAsia" w:hAnsi="宋体" w:eastAsia="宋体" w:cs="宋体"/>
          <w:color w:val="auto"/>
          <w:sz w:val="24"/>
          <w:szCs w:val="24"/>
          <w:highlight w:val="none"/>
        </w:rPr>
        <mc:AlternateContent>
          <mc:Choice Requires="wps">
            <w:drawing>
              <wp:anchor distT="0" distB="0" distL="0" distR="0" simplePos="0" relativeHeight="251793408"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1157" name="000158"/>
                <wp:cNvGraphicFramePr/>
                <a:graphic xmlns:a="http://schemas.openxmlformats.org/drawingml/2006/main">
                  <a:graphicData uri="http://schemas.microsoft.com/office/word/2010/wordprocessingShape">
                    <wps:wsp>
                      <wps:cNvSpPr/>
                      <wps:spPr>
                        <a:xfrm>
                          <a:off x="0" y="0"/>
                          <a:ext cx="914400" cy="568325"/>
                        </a:xfrm>
                        <a:prstGeom prst="rect">
                          <a:avLst/>
                        </a:prstGeom>
                        <a:ln>
                          <a:noFill/>
                        </a:ln>
                      </wps:spPr>
                      <wps:txbx>
                        <w:txbxContent>
                          <w:p w14:paraId="3B49F8A8">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建设单位推迟开工的处理程序和责任</w:t>
                            </w:r>
                          </w:p>
                        </w:txbxContent>
                      </wps:txbx>
                      <wps:bodyPr wrap="square"/>
                    </wps:wsp>
                  </a:graphicData>
                </a:graphic>
              </wp:anchor>
            </w:drawing>
          </mc:Choice>
          <mc:Fallback>
            <w:pict>
              <v:rect id="000158" o:spid="_x0000_s1026" o:spt="1" style="position:absolute;left:0pt;margin-left:-9pt;margin-top:18.7pt;height:44.75pt;width:72pt;z-index:251793408;mso-width-relative:page;mso-height-relative:page;" filled="f" stroked="f" coordsize="21600,21600" o:gfxdata="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pngmI9oAAAAKAQAADwAAAAAAAAABACAAAAAi&#10;AAAAZHJzL2Rvd25yZXYueG1sUEsBAhQAFAAAAAgAh07iQPgypAKWAQAAOAMAAA4AAAAAAAAAAQAg&#10;AAAAKQEAAGRycy9lMm9Eb2MueG1sUEsFBgAAAAAGAAYAWQEAADEFAAAAAA==&#10;">
                <v:fill on="f" focussize="0,0"/>
                <v:stroke on="f"/>
                <v:imagedata o:title=""/>
                <o:lock v:ext="edit" aspectratio="f"/>
                <v:textbox>
                  <w:txbxContent>
                    <w:p w14:paraId="3B49F8A8">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建设单位推迟开工的处理程序和责任</w:t>
                      </w:r>
                    </w:p>
                  </w:txbxContent>
                </v:textbox>
              </v:rect>
            </w:pict>
          </mc:Fallback>
        </mc:AlternateContent>
      </w:r>
      <w:r>
        <w:rPr>
          <w:rFonts w:hint="eastAsia" w:hAnsi="宋体" w:eastAsia="宋体" w:cs="宋体"/>
          <w:color w:val="auto"/>
          <w:sz w:val="24"/>
          <w:szCs w:val="24"/>
          <w:highlight w:val="none"/>
        </w:rPr>
        <w:t xml:space="preserve">34.4  </w:t>
      </w:r>
      <w:r>
        <w:rPr>
          <w:rFonts w:hint="eastAsia" w:hAnsi="宋体" w:eastAsia="宋体" w:cs="宋体"/>
          <w:color w:val="auto"/>
          <w:sz w:val="24"/>
          <w:szCs w:val="24"/>
          <w:highlight w:val="none"/>
          <w:u w:val="dotted"/>
        </w:rPr>
        <w:t xml:space="preserve">                                                                                                        </w:t>
      </w:r>
    </w:p>
    <w:p w14:paraId="2CFEDE1C">
      <w:pPr>
        <w:pStyle w:val="22"/>
        <w:adjustRightInd w:val="0"/>
        <w:snapToGrid w:val="0"/>
        <w:spacing w:line="300" w:lineRule="auto"/>
        <w:ind w:left="1619" w:leftChars="771" w:right="3"/>
        <w:rPr>
          <w:rFonts w:hint="eastAsia" w:hAnsi="宋体" w:eastAsia="宋体" w:cs="宋体"/>
          <w:color w:val="auto"/>
          <w:sz w:val="24"/>
          <w:szCs w:val="24"/>
          <w:highlight w:val="none"/>
        </w:rPr>
      </w:pPr>
      <w:r>
        <w:rPr>
          <w:rFonts w:hint="eastAsia" w:hAnsi="宋体" w:eastAsia="宋体" w:cs="宋体"/>
          <w:color w:val="auto"/>
          <w:sz w:val="24"/>
          <w:szCs w:val="24"/>
          <w:highlight w:val="none"/>
        </w:rPr>
        <w:t>因发包人的原因不能在第34.2款规定的时间内发出开工令的，监理工程师应至少提前7天以书面形式通知承包人推迟开工。由此造成的损失由发包人承担，开工日期相应顺延。监理工程师未能提前7天通知承包人推迟开工的，由此造成损失的扩大由发包人承担。</w:t>
      </w:r>
    </w:p>
    <w:p w14:paraId="42582AF2">
      <w:pPr>
        <w:pStyle w:val="22"/>
        <w:adjustRightInd w:val="0"/>
        <w:snapToGrid w:val="0"/>
        <w:spacing w:line="300" w:lineRule="auto"/>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420FCF9A">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      </w:t>
      </w:r>
    </w:p>
    <w:p w14:paraId="1F3AB500">
      <w:pPr>
        <w:pStyle w:val="22"/>
        <w:adjustRightInd w:val="0"/>
        <w:snapToGrid w:val="0"/>
        <w:spacing w:line="300" w:lineRule="auto"/>
        <w:outlineLvl w:val="2"/>
        <w:rPr>
          <w:rFonts w:hint="eastAsia" w:hAnsi="宋体" w:eastAsia="宋体" w:cs="宋体"/>
          <w:b/>
          <w:bCs/>
          <w:color w:val="auto"/>
          <w:sz w:val="24"/>
          <w:szCs w:val="24"/>
          <w:highlight w:val="none"/>
        </w:rPr>
      </w:pPr>
      <w:bookmarkStart w:id="91" w:name="_Toc46860838"/>
      <w:bookmarkStart w:id="92" w:name="_Toc469384017"/>
      <w:r>
        <w:rPr>
          <w:rFonts w:hint="eastAsia" w:hAnsi="宋体" w:eastAsia="宋体" w:cs="宋体"/>
          <w:b/>
          <w:bCs/>
          <w:color w:val="auto"/>
          <w:sz w:val="24"/>
          <w:szCs w:val="24"/>
          <w:highlight w:val="none"/>
        </w:rPr>
        <w:t>35  暂停施工和复工</w:t>
      </w:r>
      <w:bookmarkEnd w:id="91"/>
      <w:bookmarkEnd w:id="92"/>
    </w:p>
    <w:p w14:paraId="490E38AC">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794432"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1158" name="000159"/>
                <wp:cNvGraphicFramePr/>
                <a:graphic xmlns:a="http://schemas.openxmlformats.org/drawingml/2006/main">
                  <a:graphicData uri="http://schemas.microsoft.com/office/word/2010/wordprocessingShape">
                    <wps:wsp>
                      <wps:cNvSpPr/>
                      <wps:spPr>
                        <a:xfrm>
                          <a:off x="0" y="0"/>
                          <a:ext cx="914400" cy="497205"/>
                        </a:xfrm>
                        <a:prstGeom prst="rect">
                          <a:avLst/>
                        </a:prstGeom>
                        <a:ln>
                          <a:noFill/>
                        </a:ln>
                      </wps:spPr>
                      <wps:txbx>
                        <w:txbxContent>
                          <w:p w14:paraId="65044CD0">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暂停施工的指令</w:t>
                            </w:r>
                          </w:p>
                        </w:txbxContent>
                      </wps:txbx>
                      <wps:bodyPr wrap="square"/>
                    </wps:wsp>
                  </a:graphicData>
                </a:graphic>
              </wp:anchor>
            </w:drawing>
          </mc:Choice>
          <mc:Fallback>
            <w:pict>
              <v:rect id="000159" o:spid="_x0000_s1026" o:spt="1" style="position:absolute;left:0pt;margin-left:-9pt;margin-top:20.6pt;height:39.15pt;width:72pt;z-index:251794432;mso-width-relative:page;mso-height-relative:page;" filled="f" stroked="f" coordsize="21600,21600" o:gfxdata="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T0LLZ2gAAAAoBAAAPAAAAAAAAAAEAIAAAACIA&#10;AABkcnMvZG93bnJldi54bWxQSwECFAAUAAAACACHTuJAdeTPDZUBAAA4AwAADgAAAAAAAAABACAA&#10;AAApAQAAZHJzL2Uyb0RvYy54bWxQSwUGAAAAAAYABgBZAQAAMAUAAAAA&#10;">
                <v:fill on="f" focussize="0,0"/>
                <v:stroke on="f"/>
                <v:imagedata o:title=""/>
                <o:lock v:ext="edit" aspectratio="f"/>
                <v:textbox>
                  <w:txbxContent>
                    <w:p w14:paraId="65044CD0">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暂停施工的指令</w:t>
                      </w:r>
                    </w:p>
                  </w:txbxContent>
                </v:textbox>
              </v:rect>
            </w:pict>
          </mc:Fallback>
        </mc:AlternateContent>
      </w:r>
      <w:r>
        <w:rPr>
          <w:rFonts w:hint="eastAsia" w:hAnsi="宋体" w:eastAsia="宋体" w:cs="宋体"/>
          <w:b/>
          <w:bCs/>
          <w:color w:val="auto"/>
          <w:sz w:val="24"/>
          <w:szCs w:val="24"/>
          <w:highlight w:val="none"/>
        </w:rPr>
        <w:t xml:space="preserve">35.1      </w:t>
      </w:r>
    </w:p>
    <w:p w14:paraId="34FC8270">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监理工程师认为有必要时，可向承包人发出暂停施工令，并在48小时内提出处理意见，承包人应按照监理工程师的指令停止施工。不论任何原因造成的暂停施工，暂停施工期间承包人应妥善保护已完工程并提供安全保障。</w:t>
      </w:r>
    </w:p>
    <w:p w14:paraId="378D4190">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因发包人的原因引起暂停施工的合同工程发生紧急情况，且监理工程师又未及时发出暂停施工令时，承包人可先暂停施工，并及时向监理工程师提出暂停施工报告。监理工程师应在收到暂停施工报告后的24小时内予以答复；逾期未答复的，视为承包人的暂停施工报告被认可。</w:t>
      </w:r>
    </w:p>
    <w:p w14:paraId="36AE74D1">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35.2</w:t>
      </w:r>
      <w:r>
        <w:rPr>
          <w:rFonts w:hint="eastAsia" w:hAnsi="宋体" w:eastAsia="宋体" w:cs="宋体"/>
          <w:b/>
          <w:bCs/>
          <w:color w:val="auto"/>
          <w:sz w:val="24"/>
          <w:szCs w:val="24"/>
          <w:highlight w:val="none"/>
          <w:u w:val="dotted"/>
        </w:rPr>
        <w:t xml:space="preserve">                                                                             </w:t>
      </w:r>
      <w:r>
        <w:rPr>
          <w:rFonts w:hint="eastAsia" w:hAnsi="宋体" w:eastAsia="宋体" w:cs="宋体"/>
          <w:b/>
          <w:bCs/>
          <w:color w:val="auto"/>
          <w:sz w:val="24"/>
          <w:szCs w:val="24"/>
          <w:highlight w:val="none"/>
        </w:rPr>
        <w:t xml:space="preserve">      </w:t>
      </w:r>
    </w:p>
    <w:p w14:paraId="6142B973">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795456"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1159" name="00015a"/>
                <wp:cNvGraphicFramePr/>
                <a:graphic xmlns:a="http://schemas.openxmlformats.org/drawingml/2006/main">
                  <a:graphicData uri="http://schemas.microsoft.com/office/word/2010/wordprocessingShape">
                    <wps:wsp>
                      <wps:cNvSpPr/>
                      <wps:spPr>
                        <a:xfrm>
                          <a:off x="0" y="0"/>
                          <a:ext cx="914400" cy="497205"/>
                        </a:xfrm>
                        <a:prstGeom prst="rect">
                          <a:avLst/>
                        </a:prstGeom>
                        <a:ln>
                          <a:noFill/>
                        </a:ln>
                      </wps:spPr>
                      <wps:txbx>
                        <w:txbxContent>
                          <w:p w14:paraId="21A16C69">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复工的要求</w:t>
                            </w:r>
                          </w:p>
                        </w:txbxContent>
                      </wps:txbx>
                      <wps:bodyPr wrap="square"/>
                    </wps:wsp>
                  </a:graphicData>
                </a:graphic>
              </wp:anchor>
            </w:drawing>
          </mc:Choice>
          <mc:Fallback>
            <w:pict>
              <v:rect id="00015a" o:spid="_x0000_s1026" o:spt="1" style="position:absolute;left:0pt;margin-left:-9pt;margin-top:1.6pt;height:39.15pt;width:72pt;z-index:251795456;mso-width-relative:page;mso-height-relative:page;" filled="f" stroked="f" coordsize="21600,21600" o:gfxdata="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w69O9gAAAAIAQAADwAAAAAAAAABACAAAAAiAAAA&#10;ZHJzL2Rvd25yZXYueG1sUEsBAhQAFAAAAAgAh07iQNeCAgGVAQAAOAMAAA4AAAAAAAAAAQAgAAAA&#10;JwEAAGRycy9lMm9Eb2MueG1sUEsFBgAAAAAGAAYAWQEAAC4FAAAAAA==&#10;">
                <v:fill on="f" focussize="0,0"/>
                <v:stroke on="f"/>
                <v:imagedata o:title=""/>
                <o:lock v:ext="edit" aspectratio="f"/>
                <v:textbox>
                  <w:txbxContent>
                    <w:p w14:paraId="21A16C69">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复工的要求</w:t>
                      </w:r>
                    </w:p>
                  </w:txbxContent>
                </v:textbox>
              </v:rect>
            </w:pict>
          </mc:Fallback>
        </mc:AlternateContent>
      </w:r>
      <w:r>
        <w:rPr>
          <w:rFonts w:hint="eastAsia" w:hAnsi="宋体" w:eastAsia="宋体" w:cs="宋体"/>
          <w:color w:val="auto"/>
          <w:sz w:val="24"/>
          <w:szCs w:val="24"/>
          <w:highlight w:val="none"/>
        </w:rPr>
        <w:t>承包人实施监理工程师的处理意见后，可向监理工程师提交复工报审表要求复工；监理工程师应在收到复工报审表后的48小时内予以答复。具备复工条件时，监理工程师应立即向承包人发出复工令，承包人应立即组织复工。监理工程师在收到复工报审表后的48小时内未答复也未提出处理意见的，承包人可自行复工，监理工程师应予认可。</w:t>
      </w:r>
    </w:p>
    <w:p w14:paraId="2A5DD9F6">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承包人无故拖延或拒绝复工的，由此增加的费用和（或）延误的工期由承包人承担；因发包人的原因无法按时复工的，承包人有权要求发包人增加发生的费用和（或）顺延工期，并支付合理利润。</w:t>
      </w:r>
    </w:p>
    <w:p w14:paraId="29C5B429">
      <w:pPr>
        <w:pStyle w:val="22"/>
        <w:adjustRightInd w:val="0"/>
        <w:snapToGrid w:val="0"/>
        <w:spacing w:line="300" w:lineRule="auto"/>
        <w:rPr>
          <w:rFonts w:hint="eastAsia" w:hAnsi="宋体" w:eastAsia="宋体" w:cs="宋体"/>
          <w:b/>
          <w:bCs/>
          <w:color w:val="auto"/>
          <w:sz w:val="24"/>
          <w:szCs w:val="24"/>
          <w:highlight w:val="none"/>
          <w:u w:val="dotted"/>
        </w:rPr>
      </w:pPr>
      <w:r>
        <w:rPr>
          <w:rFonts w:hint="eastAsia" w:hAnsi="宋体" w:eastAsia="宋体" w:cs="宋体"/>
          <w:color w:val="auto"/>
          <w:sz w:val="24"/>
          <w:szCs w:val="24"/>
          <w:highlight w:val="none"/>
        </w:rPr>
        <mc:AlternateContent>
          <mc:Choice Requires="wps">
            <w:drawing>
              <wp:anchor distT="0" distB="0" distL="0" distR="0" simplePos="0" relativeHeight="251796480"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1160" name="00015b"/>
                <wp:cNvGraphicFramePr/>
                <a:graphic xmlns:a="http://schemas.openxmlformats.org/drawingml/2006/main">
                  <a:graphicData uri="http://schemas.microsoft.com/office/word/2010/wordprocessingShape">
                    <wps:wsp>
                      <wps:cNvSpPr/>
                      <wps:spPr>
                        <a:xfrm>
                          <a:off x="0" y="0"/>
                          <a:ext cx="914400" cy="792480"/>
                        </a:xfrm>
                        <a:prstGeom prst="rect">
                          <a:avLst/>
                        </a:prstGeom>
                        <a:ln>
                          <a:noFill/>
                        </a:ln>
                      </wps:spPr>
                      <wps:txbx>
                        <w:txbxContent>
                          <w:p w14:paraId="692A9A32">
                            <w:pPr>
                              <w:spacing w:line="22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wps:txbx>
                      <wps:bodyPr wrap="square"/>
                    </wps:wsp>
                  </a:graphicData>
                </a:graphic>
              </wp:anchor>
            </w:drawing>
          </mc:Choice>
          <mc:Fallback>
            <w:pict>
              <v:rect id="00015b" o:spid="_x0000_s1026" o:spt="1" style="position:absolute;left:0pt;margin-left:-9pt;margin-top:19.25pt;height:62.4pt;width:72pt;z-index:251796480;mso-width-relative:page;mso-height-relative:page;" filled="f" stroked="f" coordsize="21600,21600" o:gfxdata="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06eJRtoAAAAKAQAADwAAAAAAAAABACAAAAAi&#10;AAAAZHJzL2Rvd25yZXYueG1sUEsBAhQAFAAAAAgAh07iQF+ILeCWAQAAOAMAAA4AAAAAAAAAAQAg&#10;AAAAKQEAAGRycy9lMm9Eb2MueG1sUEsFBgAAAAAGAAYAWQEAADEFAAAAAA==&#10;">
                <v:fill on="f" focussize="0,0"/>
                <v:stroke on="f"/>
                <v:imagedata o:title=""/>
                <o:lock v:ext="edit" aspectratio="f"/>
                <v:textbox>
                  <w:txbxContent>
                    <w:p w14:paraId="692A9A32">
                      <w:pPr>
                        <w:spacing w:line="22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v:textbox>
              </v:rect>
            </w:pict>
          </mc:Fallback>
        </mc:AlternateContent>
      </w:r>
      <w:r>
        <w:rPr>
          <w:rFonts w:hint="eastAsia" w:hAnsi="宋体" w:eastAsia="宋体" w:cs="宋体"/>
          <w:b/>
          <w:bCs/>
          <w:color w:val="auto"/>
          <w:sz w:val="24"/>
          <w:szCs w:val="24"/>
          <w:highlight w:val="none"/>
        </w:rPr>
        <w:t xml:space="preserve">35.3  </w:t>
      </w:r>
      <w:r>
        <w:rPr>
          <w:rFonts w:hint="eastAsia" w:hAnsi="宋体" w:eastAsia="宋体" w:cs="宋体"/>
          <w:b/>
          <w:bCs/>
          <w:color w:val="auto"/>
          <w:sz w:val="24"/>
          <w:szCs w:val="24"/>
          <w:highlight w:val="none"/>
          <w:u w:val="dotted"/>
        </w:rPr>
        <w:t xml:space="preserve">                                                                                                       </w:t>
      </w:r>
    </w:p>
    <w:p w14:paraId="0109124F">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非承包人的原因造成暂停施工持续56天以上时，承包人可向监理工程师提交复工报审表要求复工；监理工程师应在收到复工报审表后的28天内准许复工。如果在上述期限内监理工程师未予准许，则承包人可以作如下选择：</w:t>
      </w:r>
    </w:p>
    <w:p w14:paraId="141C9652">
      <w:pPr>
        <w:pStyle w:val="22"/>
        <w:numPr>
          <w:ilvl w:val="0"/>
          <w:numId w:val="17"/>
        </w:numPr>
        <w:tabs>
          <w:tab w:val="left" w:pos="1080"/>
        </w:tabs>
        <w:adjustRightInd w:val="0"/>
        <w:snapToGrid w:val="0"/>
        <w:spacing w:line="300" w:lineRule="auto"/>
        <w:ind w:left="1618" w:leftChars="770" w:hanging="1"/>
        <w:rPr>
          <w:rFonts w:hint="eastAsia" w:hAnsi="宋体" w:eastAsia="宋体" w:cs="宋体"/>
          <w:color w:val="auto"/>
          <w:sz w:val="24"/>
          <w:szCs w:val="24"/>
          <w:highlight w:val="none"/>
        </w:rPr>
      </w:pPr>
      <w:r>
        <w:rPr>
          <w:rFonts w:hint="eastAsia" w:hAnsi="宋体" w:eastAsia="宋体" w:cs="宋体"/>
          <w:color w:val="auto"/>
          <w:sz w:val="24"/>
          <w:szCs w:val="24"/>
          <w:highlight w:val="none"/>
        </w:rPr>
        <w:t>如果此项停工仅影响合同工程的一部分时，则根据第56.2款规定及时提出工程变更，取消该部分工程，并书面通知发包人，抄送监理工程师和造价工程师；</w:t>
      </w:r>
    </w:p>
    <w:p w14:paraId="14B177C5">
      <w:pPr>
        <w:pStyle w:val="22"/>
        <w:numPr>
          <w:ilvl w:val="0"/>
          <w:numId w:val="17"/>
        </w:numPr>
        <w:tabs>
          <w:tab w:val="left" w:pos="1080"/>
        </w:tabs>
        <w:adjustRightInd w:val="0"/>
        <w:snapToGrid w:val="0"/>
        <w:spacing w:line="300" w:lineRule="auto"/>
        <w:ind w:left="2159" w:leftChars="771" w:hanging="540" w:hangingChars="225"/>
        <w:rPr>
          <w:rFonts w:hint="eastAsia" w:hAnsi="宋体" w:eastAsia="宋体" w:cs="宋体"/>
          <w:color w:val="auto"/>
          <w:sz w:val="24"/>
          <w:szCs w:val="24"/>
          <w:highlight w:val="none"/>
        </w:rPr>
      </w:pPr>
      <w:r>
        <w:rPr>
          <w:rFonts w:hint="eastAsia" w:hAnsi="宋体" w:eastAsia="宋体" w:cs="宋体"/>
          <w:color w:val="auto"/>
          <w:sz w:val="24"/>
          <w:szCs w:val="24"/>
          <w:highlight w:val="none"/>
        </w:rPr>
        <w:t>如果此项停工影响整个合同工程时，则根据第87.4款规定解除合同。</w:t>
      </w:r>
    </w:p>
    <w:p w14:paraId="6C81CB57">
      <w:pPr>
        <w:pStyle w:val="22"/>
        <w:adjustRightInd w:val="0"/>
        <w:snapToGrid w:val="0"/>
        <w:spacing w:line="300" w:lineRule="auto"/>
        <w:ind w:left="1619"/>
        <w:rPr>
          <w:rFonts w:hint="eastAsia" w:hAnsi="宋体" w:eastAsia="宋体" w:cs="宋体"/>
          <w:color w:val="auto"/>
          <w:sz w:val="24"/>
          <w:szCs w:val="24"/>
          <w:highlight w:val="none"/>
        </w:rPr>
      </w:pPr>
      <w:r>
        <w:rPr>
          <w:rFonts w:hint="eastAsia" w:hAnsi="宋体" w:eastAsia="宋体" w:cs="宋体"/>
          <w:color w:val="auto"/>
          <w:sz w:val="24"/>
          <w:szCs w:val="24"/>
          <w:highlight w:val="none"/>
        </w:rPr>
        <w:t>因承包人的原因引起暂停施工持续56天以上，承包人不采取有效的复工措施，造成工期延误的，发包人可根据第87.3款规定解除合同。</w:t>
      </w:r>
    </w:p>
    <w:p w14:paraId="453EC5BF">
      <w:pPr>
        <w:pStyle w:val="22"/>
        <w:tabs>
          <w:tab w:val="left" w:pos="2160"/>
        </w:tabs>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35.4  </w:t>
      </w:r>
      <w:r>
        <w:rPr>
          <w:rFonts w:hint="eastAsia" w:hAnsi="宋体" w:eastAsia="宋体" w:cs="宋体"/>
          <w:b/>
          <w:bCs/>
          <w:color w:val="auto"/>
          <w:sz w:val="24"/>
          <w:szCs w:val="24"/>
          <w:highlight w:val="none"/>
          <w:u w:val="dotted"/>
        </w:rPr>
        <w:t xml:space="preserve">                                                                                                        </w:t>
      </w:r>
    </w:p>
    <w:p w14:paraId="0658F09C">
      <w:pPr>
        <w:pStyle w:val="22"/>
        <w:adjustRightInd w:val="0"/>
        <w:snapToGrid w:val="0"/>
        <w:spacing w:line="300" w:lineRule="auto"/>
        <w:ind w:left="1619" w:leftChars="771" w:firstLine="2"/>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797504"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1161" name="00015c"/>
                <wp:cNvGraphicFramePr/>
                <a:graphic xmlns:a="http://schemas.openxmlformats.org/drawingml/2006/main">
                  <a:graphicData uri="http://schemas.microsoft.com/office/word/2010/wordprocessingShape">
                    <wps:wsp>
                      <wps:cNvSpPr/>
                      <wps:spPr>
                        <a:xfrm>
                          <a:off x="0" y="0"/>
                          <a:ext cx="914400" cy="792480"/>
                        </a:xfrm>
                        <a:prstGeom prst="rect">
                          <a:avLst/>
                        </a:prstGeom>
                        <a:ln>
                          <a:noFill/>
                        </a:ln>
                      </wps:spPr>
                      <wps:txbx>
                        <w:txbxContent>
                          <w:p w14:paraId="20BC2EBB">
                            <w:pPr>
                              <w:spacing w:line="22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建设单位、承包人原因和不可抗力因素造成暂停施工的责任</w:t>
                            </w:r>
                          </w:p>
                        </w:txbxContent>
                      </wps:txbx>
                      <wps:bodyPr wrap="square"/>
                    </wps:wsp>
                  </a:graphicData>
                </a:graphic>
              </wp:anchor>
            </w:drawing>
          </mc:Choice>
          <mc:Fallback>
            <w:pict>
              <v:rect id="00015c" o:spid="_x0000_s1026" o:spt="1" style="position:absolute;left:0pt;margin-left:-9pt;margin-top:0.05pt;height:62.4pt;width:72pt;z-index:251797504;mso-width-relative:page;mso-height-relative:page;" filled="f" stroked="f" coordsize="21600,21600" o:gfxdata="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I+MGxNcAAAAIAQAADwAAAAAAAAABACAAAAAiAAAA&#10;ZHJzL2Rvd25yZXYueG1sUEsBAhQAFAAAAAgAh07iQOzVkIqWAQAAOAMAAA4AAAAAAAAAAQAgAAAA&#10;JgEAAGRycy9lMm9Eb2MueG1sUEsFBgAAAAAGAAYAWQEAAC4FAAAAAA==&#10;">
                <v:fill on="f" focussize="0,0"/>
                <v:stroke on="f"/>
                <v:imagedata o:title=""/>
                <o:lock v:ext="edit" aspectratio="f"/>
                <v:textbox>
                  <w:txbxContent>
                    <w:p w14:paraId="20BC2EBB">
                      <w:pPr>
                        <w:spacing w:line="22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建设单位、承包人原因和不可抗力因素造成暂停施工的责任</w:t>
                      </w:r>
                    </w:p>
                  </w:txbxContent>
                </v:textbox>
              </v:rect>
            </w:pict>
          </mc:Fallback>
        </mc:AlternateContent>
      </w:r>
      <w:r>
        <w:rPr>
          <w:rFonts w:hint="eastAsia" w:hAnsi="宋体" w:eastAsia="宋体" w:cs="宋体"/>
          <w:color w:val="auto"/>
          <w:sz w:val="24"/>
          <w:szCs w:val="24"/>
          <w:highlight w:val="none"/>
        </w:rPr>
        <w:t>因发包人的原因造成暂停施工且引起工期延误的，承包人有权要求发包人增加由此发生的费用和（或）顺延工期，并支付合理利润。</w:t>
      </w:r>
    </w:p>
    <w:p w14:paraId="3675AD90">
      <w:pPr>
        <w:pStyle w:val="22"/>
        <w:adjustRightInd w:val="0"/>
        <w:snapToGrid w:val="0"/>
        <w:spacing w:line="300" w:lineRule="auto"/>
        <w:ind w:left="1619" w:leftChars="771" w:firstLine="2"/>
        <w:rPr>
          <w:rFonts w:hint="eastAsia" w:hAnsi="宋体" w:eastAsia="宋体" w:cs="宋体"/>
          <w:color w:val="auto"/>
          <w:sz w:val="24"/>
          <w:szCs w:val="24"/>
          <w:highlight w:val="none"/>
        </w:rPr>
      </w:pPr>
      <w:r>
        <w:rPr>
          <w:rFonts w:hint="eastAsia" w:hAnsi="宋体" w:eastAsia="宋体" w:cs="宋体"/>
          <w:color w:val="auto"/>
          <w:sz w:val="24"/>
          <w:szCs w:val="24"/>
          <w:highlight w:val="none"/>
        </w:rPr>
        <w:t>因承包人下列原因造成的暂停施工，增加的费用和（或）延误的工期由承包人承担：</w:t>
      </w:r>
    </w:p>
    <w:p w14:paraId="79A1F369">
      <w:pPr>
        <w:pStyle w:val="22"/>
        <w:numPr>
          <w:ilvl w:val="0"/>
          <w:numId w:val="18"/>
        </w:numPr>
        <w:adjustRightInd w:val="0"/>
        <w:snapToGrid w:val="0"/>
        <w:spacing w:line="300" w:lineRule="auto"/>
        <w:ind w:left="1617" w:leftChars="770" w:firstLine="0"/>
        <w:rPr>
          <w:rFonts w:hint="eastAsia" w:hAnsi="宋体" w:eastAsia="宋体" w:cs="宋体"/>
          <w:color w:val="auto"/>
          <w:sz w:val="24"/>
          <w:szCs w:val="24"/>
          <w:highlight w:val="none"/>
        </w:rPr>
      </w:pPr>
      <w:r>
        <w:rPr>
          <w:rFonts w:hint="eastAsia" w:hAnsi="宋体" w:eastAsia="宋体" w:cs="宋体"/>
          <w:color w:val="auto"/>
          <w:sz w:val="24"/>
          <w:szCs w:val="24"/>
          <w:highlight w:val="none"/>
        </w:rPr>
        <w:t>工作失误或违约造成的；</w:t>
      </w:r>
    </w:p>
    <w:p w14:paraId="4407E1AF">
      <w:pPr>
        <w:pStyle w:val="22"/>
        <w:numPr>
          <w:ilvl w:val="0"/>
          <w:numId w:val="18"/>
        </w:numPr>
        <w:adjustRightInd w:val="0"/>
        <w:snapToGrid w:val="0"/>
        <w:spacing w:line="300" w:lineRule="auto"/>
        <w:ind w:left="2157" w:leftChars="770" w:hanging="540" w:hangingChars="225"/>
        <w:rPr>
          <w:rFonts w:hint="eastAsia" w:hAnsi="宋体" w:eastAsia="宋体" w:cs="宋体"/>
          <w:color w:val="auto"/>
          <w:sz w:val="24"/>
          <w:szCs w:val="24"/>
          <w:highlight w:val="none"/>
        </w:rPr>
      </w:pPr>
      <w:r>
        <w:rPr>
          <w:rFonts w:hint="eastAsia" w:hAnsi="宋体" w:eastAsia="宋体" w:cs="宋体"/>
          <w:color w:val="auto"/>
          <w:sz w:val="24"/>
          <w:szCs w:val="24"/>
          <w:highlight w:val="none"/>
        </w:rPr>
        <w:t>为合同工程合理施工和安全保障所必需的；</w:t>
      </w:r>
    </w:p>
    <w:p w14:paraId="1DD54A7A">
      <w:pPr>
        <w:pStyle w:val="22"/>
        <w:numPr>
          <w:ilvl w:val="0"/>
          <w:numId w:val="18"/>
        </w:numPr>
        <w:adjustRightInd w:val="0"/>
        <w:snapToGrid w:val="0"/>
        <w:spacing w:line="300" w:lineRule="auto"/>
        <w:ind w:left="1617" w:leftChars="770" w:firstLine="0"/>
        <w:rPr>
          <w:rFonts w:hint="eastAsia" w:hAnsi="宋体" w:eastAsia="宋体" w:cs="宋体"/>
          <w:color w:val="auto"/>
          <w:sz w:val="24"/>
          <w:szCs w:val="24"/>
          <w:highlight w:val="none"/>
        </w:rPr>
      </w:pPr>
      <w:r>
        <w:rPr>
          <w:rFonts w:hint="eastAsia" w:hAnsi="宋体" w:eastAsia="宋体" w:cs="宋体"/>
          <w:color w:val="auto"/>
          <w:sz w:val="24"/>
          <w:szCs w:val="24"/>
          <w:highlight w:val="none"/>
        </w:rPr>
        <w:t>施工现场气候条件（除不可抗力停工外）导致的；</w:t>
      </w:r>
    </w:p>
    <w:p w14:paraId="3CAC9D1E">
      <w:pPr>
        <w:pStyle w:val="22"/>
        <w:numPr>
          <w:ilvl w:val="0"/>
          <w:numId w:val="18"/>
        </w:numPr>
        <w:adjustRightInd w:val="0"/>
        <w:snapToGrid w:val="0"/>
        <w:spacing w:line="300" w:lineRule="auto"/>
        <w:ind w:left="1617" w:leftChars="770" w:firstLine="0"/>
        <w:rPr>
          <w:rFonts w:hint="eastAsia" w:hAnsi="宋体" w:eastAsia="宋体" w:cs="宋体"/>
          <w:color w:val="auto"/>
          <w:sz w:val="24"/>
          <w:szCs w:val="24"/>
          <w:highlight w:val="none"/>
        </w:rPr>
      </w:pPr>
      <w:r>
        <w:rPr>
          <w:rFonts w:hint="eastAsia" w:hAnsi="宋体" w:eastAsia="宋体" w:cs="宋体"/>
          <w:color w:val="auto"/>
          <w:sz w:val="24"/>
          <w:szCs w:val="24"/>
          <w:highlight w:val="none"/>
        </w:rPr>
        <w:t>擅自停工的；</w:t>
      </w:r>
    </w:p>
    <w:p w14:paraId="3B9C72AC">
      <w:pPr>
        <w:pStyle w:val="22"/>
        <w:numPr>
          <w:ilvl w:val="0"/>
          <w:numId w:val="18"/>
        </w:numPr>
        <w:adjustRightInd w:val="0"/>
        <w:snapToGrid w:val="0"/>
        <w:spacing w:line="300" w:lineRule="auto"/>
        <w:ind w:left="1617" w:leftChars="770" w:firstLine="0"/>
        <w:rPr>
          <w:rFonts w:hint="eastAsia" w:hAnsi="宋体" w:eastAsia="宋体" w:cs="宋体"/>
          <w:color w:val="auto"/>
          <w:sz w:val="24"/>
          <w:szCs w:val="24"/>
          <w:highlight w:val="none"/>
        </w:rPr>
      </w:pPr>
      <w:r>
        <w:rPr>
          <w:rFonts w:hint="eastAsia" w:hAnsi="宋体" w:eastAsia="宋体" w:cs="宋体"/>
          <w:color w:val="auto"/>
          <w:sz w:val="24"/>
          <w:szCs w:val="24"/>
          <w:highlight w:val="none"/>
        </w:rPr>
        <w:t>专用条款约定的其他原因。</w:t>
      </w:r>
    </w:p>
    <w:p w14:paraId="4791692D">
      <w:pPr>
        <w:pStyle w:val="22"/>
        <w:tabs>
          <w:tab w:val="left" w:pos="1980"/>
        </w:tabs>
        <w:adjustRightInd w:val="0"/>
        <w:snapToGrid w:val="0"/>
        <w:spacing w:line="300" w:lineRule="auto"/>
        <w:ind w:left="1617" w:leftChars="770"/>
        <w:rPr>
          <w:rFonts w:hint="eastAsia" w:hAnsi="宋体" w:eastAsia="宋体" w:cs="宋体"/>
          <w:color w:val="auto"/>
          <w:sz w:val="24"/>
          <w:szCs w:val="24"/>
          <w:highlight w:val="none"/>
        </w:rPr>
      </w:pPr>
      <w:r>
        <w:rPr>
          <w:rFonts w:hint="eastAsia" w:hAnsi="宋体" w:eastAsia="宋体" w:cs="宋体"/>
          <w:color w:val="auto"/>
          <w:sz w:val="24"/>
          <w:szCs w:val="24"/>
          <w:highlight w:val="none"/>
        </w:rPr>
        <w:t>因不可抗力因素造成暂停施工的，按照第31条规定处理。</w:t>
      </w:r>
    </w:p>
    <w:p w14:paraId="10B4EB9D">
      <w:pPr>
        <w:pStyle w:val="22"/>
        <w:tabs>
          <w:tab w:val="left" w:pos="1320"/>
        </w:tabs>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35.5  </w:t>
      </w:r>
      <w:r>
        <w:rPr>
          <w:rFonts w:hint="eastAsia" w:hAnsi="宋体" w:eastAsia="宋体" w:cs="宋体"/>
          <w:b/>
          <w:bCs/>
          <w:color w:val="auto"/>
          <w:sz w:val="24"/>
          <w:szCs w:val="24"/>
          <w:highlight w:val="none"/>
          <w:u w:val="dotted"/>
        </w:rPr>
        <w:t xml:space="preserve">                                                                                                        </w:t>
      </w:r>
    </w:p>
    <w:p w14:paraId="4F087E67">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798528"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1162" name="00015d"/>
                <wp:cNvGraphicFramePr/>
                <a:graphic xmlns:a="http://schemas.openxmlformats.org/drawingml/2006/main">
                  <a:graphicData uri="http://schemas.microsoft.com/office/word/2010/wordprocessingShape">
                    <wps:wsp>
                      <wps:cNvSpPr/>
                      <wps:spPr>
                        <a:xfrm>
                          <a:off x="0" y="0"/>
                          <a:ext cx="914400" cy="693420"/>
                        </a:xfrm>
                        <a:prstGeom prst="rect">
                          <a:avLst/>
                        </a:prstGeom>
                        <a:ln>
                          <a:noFill/>
                        </a:ln>
                      </wps:spPr>
                      <wps:txbx>
                        <w:txbxContent>
                          <w:p w14:paraId="43846863">
                            <w:pPr>
                              <w:spacing w:line="22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建设单位不按规定支付工程款造成暂停施工的责任</w:t>
                            </w:r>
                          </w:p>
                        </w:txbxContent>
                      </wps:txbx>
                      <wps:bodyPr wrap="square"/>
                    </wps:wsp>
                  </a:graphicData>
                </a:graphic>
              </wp:anchor>
            </w:drawing>
          </mc:Choice>
          <mc:Fallback>
            <w:pict>
              <v:rect id="00015d" o:spid="_x0000_s1026" o:spt="1" style="position:absolute;left:0pt;margin-left:-5.25pt;margin-top:0.5pt;height:54.6pt;width:72pt;z-index:251798528;mso-width-relative:page;mso-height-relative:page;" filled="f" stroked="f" coordsize="21600,21600" o:gfxdata="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Aw4x0/YAAAACQEAAA8AAAAAAAAAAQAgAAAAIgAA&#10;AGRycy9kb3ducmV2LnhtbFBLAQIUABQAAAAIAIdO4kChYD28lgEAADgDAAAOAAAAAAAAAAEAIAAA&#10;ACcBAABkcnMvZTJvRG9jLnhtbFBLBQYAAAAABgAGAFkBAAAvBQAAAAA=&#10;">
                <v:fill on="f" focussize="0,0"/>
                <v:stroke on="f"/>
                <v:imagedata o:title=""/>
                <o:lock v:ext="edit" aspectratio="f"/>
                <v:textbox>
                  <w:txbxContent>
                    <w:p w14:paraId="43846863">
                      <w:pPr>
                        <w:spacing w:line="22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建设单位不按规定支付工程款造成暂停施工的责任</w:t>
                      </w:r>
                    </w:p>
                  </w:txbxContent>
                </v:textbox>
              </v:rect>
            </w:pict>
          </mc:Fallback>
        </mc:AlternateContent>
      </w:r>
      <w:r>
        <w:rPr>
          <w:rFonts w:hint="eastAsia" w:hAnsi="宋体" w:eastAsia="宋体" w:cs="宋体"/>
          <w:color w:val="auto"/>
          <w:sz w:val="24"/>
          <w:szCs w:val="24"/>
          <w:highlight w:val="none"/>
        </w:rPr>
        <w:t>如果发包人未按照合同约定支付工程进度款，经催告后在28天内仍未支付的，承包人可以暂停施工，直至收到包括第78.2款规定的应付利息在内的所欠全部款项。由此造成的暂停施工，视为是因发包人的原因引起的，并按照第35.4款规定处理。</w:t>
      </w:r>
    </w:p>
    <w:p w14:paraId="00456B6D">
      <w:pPr>
        <w:pStyle w:val="22"/>
        <w:tabs>
          <w:tab w:val="left" w:pos="1320"/>
        </w:tabs>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35.6  </w:t>
      </w:r>
      <w:r>
        <w:rPr>
          <w:rFonts w:hint="eastAsia" w:hAnsi="宋体" w:eastAsia="宋体" w:cs="宋体"/>
          <w:b/>
          <w:bCs/>
          <w:color w:val="auto"/>
          <w:sz w:val="24"/>
          <w:szCs w:val="24"/>
          <w:highlight w:val="none"/>
          <w:u w:val="dotted"/>
        </w:rPr>
        <w:t xml:space="preserve">                                                                                                        </w:t>
      </w:r>
    </w:p>
    <w:p w14:paraId="10E95812">
      <w:pPr>
        <w:pStyle w:val="22"/>
        <w:adjustRightInd w:val="0"/>
        <w:snapToGrid w:val="0"/>
        <w:spacing w:line="300" w:lineRule="auto"/>
        <w:ind w:left="1619" w:leftChars="771"/>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799552"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1163" name="00015e"/>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3D72EFAB">
                            <w:pPr>
                              <w:spacing w:line="22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暂停施工结束后的处理</w:t>
                            </w:r>
                          </w:p>
                        </w:txbxContent>
                      </wps:txbx>
                      <wps:bodyPr wrap="square"/>
                    </wps:wsp>
                  </a:graphicData>
                </a:graphic>
              </wp:anchor>
            </w:drawing>
          </mc:Choice>
          <mc:Fallback>
            <w:pict>
              <v:rect id="00015e" o:spid="_x0000_s1026" o:spt="1" style="position:absolute;left:0pt;margin-left:-9pt;margin-top:0.05pt;height:31.2pt;width:72pt;z-index:251799552;mso-width-relative:page;mso-height-relative:page;" filled="f" stroked="f" coordsize="21600,21600" o:gfxdata="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&#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NwGsnWAAAABwEAAA8AAAAAAAAAAQAgAAAAIgAAAGRy&#10;cy9kb3ducmV2LnhtbFBLAQIUABQAAAAIAIdO4kCJQpPQlQEAADgDAAAOAAAAAAAAAAEAIAAAACUB&#10;AABkcnMvZTJvRG9jLnhtbFBLBQYAAAAABgAGAFkBAAAsBQAAAAA=&#10;">
                <v:fill on="f" focussize="0,0"/>
                <v:stroke on="f"/>
                <v:imagedata o:title=""/>
                <o:lock v:ext="edit" aspectratio="f"/>
                <v:textbox>
                  <w:txbxContent>
                    <w:p w14:paraId="3D72EFAB">
                      <w:pPr>
                        <w:spacing w:line="22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暂停施工结束后的处理</w:t>
                      </w:r>
                    </w:p>
                  </w:txbxContent>
                </v:textbox>
              </v:rect>
            </w:pict>
          </mc:Fallback>
        </mc:AlternateContent>
      </w:r>
      <w:r>
        <w:rPr>
          <w:rFonts w:hint="eastAsia" w:hAnsi="宋体" w:eastAsia="宋体" w:cs="宋体"/>
          <w:color w:val="auto"/>
          <w:sz w:val="24"/>
          <w:szCs w:val="24"/>
          <w:highlight w:val="none"/>
        </w:rPr>
        <w:t>暂停施工结束后，承包人和监理工程师应对受暂停施工影响的工程、材料和工程设备进行检查。承包人负责修复在暂停期间发生的任何变质、缺陷或损坏，因而发生的费用和造成的损失按照第35.4款规定处理。</w:t>
      </w:r>
    </w:p>
    <w:p w14:paraId="2D9B4481">
      <w:pPr>
        <w:pStyle w:val="22"/>
        <w:adjustRightInd w:val="0"/>
        <w:snapToGrid w:val="0"/>
        <w:spacing w:line="300" w:lineRule="auto"/>
        <w:outlineLvl w:val="2"/>
        <w:rPr>
          <w:rFonts w:hint="eastAsia" w:hAnsi="宋体" w:eastAsia="宋体" w:cs="宋体"/>
          <w:b/>
          <w:bCs/>
          <w:color w:val="auto"/>
          <w:sz w:val="24"/>
          <w:szCs w:val="24"/>
          <w:highlight w:val="none"/>
        </w:rPr>
      </w:pPr>
      <w:bookmarkStart w:id="93" w:name="_Toc46860839"/>
      <w:bookmarkStart w:id="94" w:name="_Toc469384018"/>
      <w:r>
        <w:rPr>
          <w:rFonts w:hint="eastAsia" w:hAnsi="宋体" w:eastAsia="宋体" w:cs="宋体"/>
          <w:b/>
          <w:bCs/>
          <w:color w:val="auto"/>
          <w:sz w:val="24"/>
          <w:szCs w:val="24"/>
          <w:highlight w:val="none"/>
        </w:rPr>
        <w:t>36  工期和工期延误</w:t>
      </w:r>
      <w:bookmarkEnd w:id="93"/>
      <w:bookmarkEnd w:id="94"/>
    </w:p>
    <w:p w14:paraId="75006E86">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36.1     </w:t>
      </w:r>
    </w:p>
    <w:p w14:paraId="0448288E">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合同工程的工期，由合同双方当事人根据广东省建设工程工期定额等有关规定，结合合同工程拟实施的施工组织设计或施工方案等情况，科学合理地编制工期，并在合同中约定。</w:t>
      </w:r>
      <w:r>
        <w:rPr>
          <w:rFonts w:hint="eastAsia" w:ascii="宋体" w:hAnsi="宋体" w:eastAsia="宋体" w:cs="宋体"/>
          <w:color w:val="auto"/>
          <w:sz w:val="24"/>
          <w:highlight w:val="none"/>
        </w:rPr>
        <mc:AlternateContent>
          <mc:Choice Requires="wps">
            <w:drawing>
              <wp:anchor distT="0" distB="0" distL="0" distR="0" simplePos="0" relativeHeight="251800576"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1164" name="00015f"/>
                <wp:cNvGraphicFramePr/>
                <a:graphic xmlns:a="http://schemas.openxmlformats.org/drawingml/2006/main">
                  <a:graphicData uri="http://schemas.microsoft.com/office/word/2010/wordprocessingShape">
                    <wps:wsp>
                      <wps:cNvSpPr/>
                      <wps:spPr>
                        <a:xfrm>
                          <a:off x="0" y="0"/>
                          <a:ext cx="977900" cy="335914"/>
                        </a:xfrm>
                        <a:prstGeom prst="rect">
                          <a:avLst/>
                        </a:prstGeom>
                        <a:ln>
                          <a:noFill/>
                        </a:ln>
                      </wps:spPr>
                      <wps:txbx>
                        <w:txbxContent>
                          <w:p w14:paraId="46A4461D">
                            <w:pPr>
                              <w:rPr>
                                <w:rFonts w:hint="eastAsia"/>
                              </w:rPr>
                            </w:pPr>
                          </w:p>
                        </w:txbxContent>
                      </wps:txbx>
                      <wps:bodyPr wrap="square"/>
                    </wps:wsp>
                  </a:graphicData>
                </a:graphic>
              </wp:anchor>
            </w:drawing>
          </mc:Choice>
          <mc:Fallback>
            <w:pict>
              <v:rect id="00015f" o:spid="_x0000_s1026" o:spt="1" style="position:absolute;left:0pt;margin-left:-9pt;margin-top:31pt;height:26.45pt;width:77pt;z-index:251800576;mso-width-relative:page;mso-height-relative:page;" filled="f" stroked="f" coordsize="21600,21600" o:gfxdata="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bGiG52gAAAAoBAAAPAAAAAAAAAAEAIAAAACIA&#10;AABkcnMvZG93bnJldi54bWxQSwECFAAUAAAACACHTuJAHhSegZUBAAA4AwAADgAAAAAAAAABACAA&#10;AAApAQAAZHJzL2Uyb0RvYy54bWxQSwUGAAAAAAYABgBZAQAAMAUAAAAA&#10;">
                <v:fill on="f" focussize="0,0"/>
                <v:stroke on="f"/>
                <v:imagedata o:title=""/>
                <o:lock v:ext="edit" aspectratio="f"/>
                <v:textbox>
                  <w:txbxContent>
                    <w:p w14:paraId="46A4461D">
                      <w:pPr>
                        <w:rPr>
                          <w:rFonts w:hint="eastAsia"/>
                        </w:rPr>
                      </w:pPr>
                    </w:p>
                  </w:txbxContent>
                </v:textbox>
              </v:rect>
            </w:pict>
          </mc:Fallback>
        </mc:AlternateContent>
      </w:r>
      <w:r>
        <w:rPr>
          <w:rFonts w:hint="eastAsia" w:ascii="宋体" w:hAnsi="宋体" w:eastAsia="宋体" w:cs="宋体"/>
          <w:color w:val="auto"/>
          <w:sz w:val="24"/>
          <w:highlight w:val="none"/>
        </w:rPr>
        <mc:AlternateContent>
          <mc:Choice Requires="wps">
            <w:drawing>
              <wp:anchor distT="0" distB="0" distL="0" distR="0" simplePos="0" relativeHeight="251801600"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165" name="000160"/>
                <wp:cNvGraphicFramePr/>
                <a:graphic xmlns:a="http://schemas.openxmlformats.org/drawingml/2006/main">
                  <a:graphicData uri="http://schemas.microsoft.com/office/word/2010/wordprocessingShape">
                    <wps:wsp>
                      <wps:cNvSpPr/>
                      <wps:spPr>
                        <a:xfrm>
                          <a:off x="0" y="0"/>
                          <a:ext cx="800100" cy="459739"/>
                        </a:xfrm>
                        <a:prstGeom prst="rect">
                          <a:avLst/>
                        </a:prstGeom>
                        <a:ln>
                          <a:noFill/>
                        </a:ln>
                      </wps:spPr>
                      <wps:txbx>
                        <w:txbxContent>
                          <w:p w14:paraId="65B5738C">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工期计算</w:t>
                            </w:r>
                          </w:p>
                        </w:txbxContent>
                      </wps:txbx>
                      <wps:bodyPr wrap="square"/>
                    </wps:wsp>
                  </a:graphicData>
                </a:graphic>
              </wp:anchor>
            </w:drawing>
          </mc:Choice>
          <mc:Fallback>
            <w:pict>
              <v:rect id="000160" o:spid="_x0000_s1026" o:spt="1" style="position:absolute;left:0pt;margin-left:-9pt;margin-top:2.5pt;height:36.2pt;width:63pt;z-index:251801600;mso-width-relative:page;mso-height-relative:page;" filled="f" stroked="f" coordsize="21600,21600" o:gfxdata="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AZGSev2AAAAAgBAAAPAAAAAAAAAAEAIAAAACIAAABk&#10;cnMvZG93bnJldi54bWxQSwECFAAUAAAACACHTuJADl6cppQBAAA4AwAADgAAAAAAAAABACAAAAAn&#10;AQAAZHJzL2Uyb0RvYy54bWxQSwUGAAAAAAYABgBZAQAALQUAAAAA&#10;">
                <v:fill on="f" focussize="0,0"/>
                <v:stroke on="f"/>
                <v:imagedata o:title=""/>
                <o:lock v:ext="edit" aspectratio="f"/>
                <v:textbox>
                  <w:txbxContent>
                    <w:p w14:paraId="65B5738C">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工期计算</w:t>
                      </w:r>
                    </w:p>
                  </w:txbxContent>
                </v:textbox>
              </v:rect>
            </w:pict>
          </mc:Fallback>
        </mc:AlternateContent>
      </w:r>
      <w:r>
        <w:rPr>
          <w:rFonts w:hint="eastAsia" w:ascii="宋体" w:hAnsi="宋体" w:eastAsia="宋体" w:cs="宋体"/>
          <w:color w:val="auto"/>
          <w:sz w:val="24"/>
          <w:highlight w:val="none"/>
        </w:rPr>
        <w:t>如合同工期与广东省建设工程工期定额规定不一致的，需说明与省工期定额规定不一致的原因，并制定保障措施，确保质量、施工安全。</w:t>
      </w:r>
    </w:p>
    <w:p w14:paraId="69E73F2D">
      <w:pPr>
        <w:pStyle w:val="22"/>
        <w:adjustRightInd w:val="0"/>
        <w:snapToGrid w:val="0"/>
        <w:spacing w:line="300" w:lineRule="auto"/>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 xml:space="preserve">36.2 </w:t>
      </w:r>
      <w:r>
        <w:rPr>
          <w:rFonts w:hint="eastAsia" w:hAnsi="宋体" w:eastAsia="宋体" w:cs="宋体"/>
          <w:color w:val="auto"/>
          <w:sz w:val="24"/>
          <w:szCs w:val="24"/>
          <w:highlight w:val="none"/>
          <w:u w:val="dotted"/>
        </w:rPr>
        <w:t xml:space="preserve">                                                                          </w:t>
      </w:r>
    </w:p>
    <w:p w14:paraId="4ACB5372">
      <w:pPr>
        <w:pStyle w:val="22"/>
        <w:adjustRightInd w:val="0"/>
        <w:snapToGrid w:val="0"/>
        <w:spacing w:line="300" w:lineRule="auto"/>
        <w:ind w:left="1679" w:leftChars="771" w:hanging="60" w:hangingChars="25"/>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80262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166" name="000161"/>
                <wp:cNvGraphicFramePr/>
                <a:graphic xmlns:a="http://schemas.openxmlformats.org/drawingml/2006/main">
                  <a:graphicData uri="http://schemas.microsoft.com/office/word/2010/wordprocessingShape">
                    <wps:wsp>
                      <wps:cNvSpPr/>
                      <wps:spPr>
                        <a:xfrm>
                          <a:off x="0" y="0"/>
                          <a:ext cx="800100" cy="459739"/>
                        </a:xfrm>
                        <a:prstGeom prst="rect">
                          <a:avLst/>
                        </a:prstGeom>
                        <a:ln>
                          <a:noFill/>
                        </a:ln>
                      </wps:spPr>
                      <wps:txbx>
                        <w:txbxContent>
                          <w:p w14:paraId="5DABE522">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工期约定的要求</w:t>
                            </w:r>
                          </w:p>
                        </w:txbxContent>
                      </wps:txbx>
                      <wps:bodyPr wrap="square"/>
                    </wps:wsp>
                  </a:graphicData>
                </a:graphic>
              </wp:anchor>
            </w:drawing>
          </mc:Choice>
          <mc:Fallback>
            <w:pict>
              <v:rect id="000161" o:spid="_x0000_s1026" o:spt="1" style="position:absolute;left:0pt;margin-left:-9pt;margin-top:2.5pt;height:36.2pt;width:63pt;z-index:251802624;mso-width-relative:page;mso-height-relative:page;" filled="f" stroked="f" coordsize="21600,21600" o:gfxdata="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GRknr9gAAAAIAQAADwAAAAAAAAABACAAAAAiAAAA&#10;ZHJzL2Rvd25yZXYueG1sUEsBAhQAFAAAAAgAh07iQCFyq+yVAQAAOAMAAA4AAAAAAAAAAQAgAAAA&#10;JwEAAGRycy9lMm9Eb2MueG1sUEsFBgAAAAAGAAYAWQEAAC4FAAAAAA==&#10;">
                <v:fill on="f" focussize="0,0"/>
                <v:stroke on="f"/>
                <v:imagedata o:title=""/>
                <o:lock v:ext="edit" aspectratio="f"/>
                <v:textbox>
                  <w:txbxContent>
                    <w:p w14:paraId="5DABE522">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工期约定的要求</w:t>
                      </w:r>
                    </w:p>
                  </w:txbxContent>
                </v:textbox>
              </v:rect>
            </w:pict>
          </mc:Fallback>
        </mc:AlternateContent>
      </w:r>
      <w:r>
        <w:rPr>
          <w:rFonts w:hint="eastAsia" w:hAnsi="宋体" w:eastAsia="宋体" w:cs="宋体"/>
          <w:color w:val="auto"/>
          <w:sz w:val="24"/>
          <w:szCs w:val="24"/>
          <w:highlight w:val="none"/>
        </w:rPr>
        <w:t>合同双方当事人应在专用条款中约定合同工程的工期，工期从开工日期开始计算。合同中包括有多个单位工程的，应在专用条款中约定各单位工程的工期。</w:t>
      </w:r>
    </w:p>
    <w:p w14:paraId="33133902">
      <w:pPr>
        <w:pStyle w:val="22"/>
        <w:adjustRightInd w:val="0"/>
        <w:snapToGrid w:val="0"/>
        <w:spacing w:line="300" w:lineRule="auto"/>
        <w:ind w:right="-2"/>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36.3  </w:t>
      </w:r>
      <w:r>
        <w:rPr>
          <w:rFonts w:hint="eastAsia" w:hAnsi="宋体" w:eastAsia="宋体" w:cs="宋体"/>
          <w:b/>
          <w:bCs/>
          <w:color w:val="auto"/>
          <w:sz w:val="24"/>
          <w:szCs w:val="24"/>
          <w:highlight w:val="none"/>
          <w:u w:val="dotted"/>
        </w:rPr>
        <w:t xml:space="preserve">                                                                                                       </w:t>
      </w:r>
    </w:p>
    <w:p w14:paraId="4BBBEC16">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03648"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1167" name="000162"/>
                <wp:cNvGraphicFramePr/>
                <a:graphic xmlns:a="http://schemas.openxmlformats.org/drawingml/2006/main">
                  <a:graphicData uri="http://schemas.microsoft.com/office/word/2010/wordprocessingShape">
                    <wps:wsp>
                      <wps:cNvSpPr/>
                      <wps:spPr>
                        <a:xfrm>
                          <a:off x="0" y="0"/>
                          <a:ext cx="800100" cy="261620"/>
                        </a:xfrm>
                        <a:prstGeom prst="rect">
                          <a:avLst/>
                        </a:prstGeom>
                        <a:ln>
                          <a:noFill/>
                        </a:ln>
                      </wps:spPr>
                      <wps:txbx>
                        <w:txbxContent>
                          <w:p w14:paraId="2D5C3294">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w:t>
                            </w:r>
                          </w:p>
                        </w:txbxContent>
                      </wps:txbx>
                      <wps:bodyPr wrap="square"/>
                    </wps:wsp>
                  </a:graphicData>
                </a:graphic>
              </wp:anchor>
            </w:drawing>
          </mc:Choice>
          <mc:Fallback>
            <w:pict>
              <v:rect id="000162" o:spid="_x0000_s1026" o:spt="1" style="position:absolute;left:0pt;margin-left:-9pt;margin-top:1.3pt;height:20.6pt;width:63pt;z-index:251803648;mso-width-relative:page;mso-height-relative:page;" filled="f" stroked="f" coordsize="21600,21600" o:gfxdata="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n/u+H1wAAAAgBAAAPAAAAAAAAAAEAIAAAACIAAABkcnMv&#10;ZG93bnJldi54bWxQSwECFAAUAAAACACHTuJAPs3aHpIBAAA4AwAADgAAAAAAAAABACAAAAAmAQAA&#10;ZHJzL2Uyb0RvYy54bWxQSwUGAAAAAAYABgBZAQAAKgUAAAAA&#10;">
                <v:fill on="f" focussize="0,0"/>
                <v:stroke on="f"/>
                <v:imagedata o:title=""/>
                <o:lock v:ext="edit" aspectratio="f"/>
                <v:textbox>
                  <w:txbxContent>
                    <w:p w14:paraId="2D5C3294">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w:t>
                      </w:r>
                    </w:p>
                  </w:txbxContent>
                </v:textbox>
              </v:rect>
            </w:pict>
          </mc:Fallback>
        </mc:AlternateContent>
      </w:r>
      <w:r>
        <w:rPr>
          <w:rFonts w:hint="eastAsia" w:ascii="宋体" w:hAnsi="宋体" w:eastAsia="宋体" w:cs="宋体"/>
          <w:color w:val="auto"/>
          <w:sz w:val="24"/>
          <w:highlight w:val="none"/>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86条规定处理。</w:t>
      </w:r>
    </w:p>
    <w:p w14:paraId="37F79105">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（1） 发包人未能按照专用条款的约定提供施工设计图纸及其它开工条件；</w:t>
      </w:r>
    </w:p>
    <w:p w14:paraId="20580809">
      <w:pPr>
        <w:pStyle w:val="22"/>
        <w:adjustRightInd w:val="0"/>
        <w:snapToGrid w:val="0"/>
        <w:spacing w:line="300" w:lineRule="auto"/>
        <w:ind w:left="1680" w:leftChars="800"/>
        <w:rPr>
          <w:rFonts w:hint="eastAsia" w:hAnsi="宋体" w:eastAsia="宋体" w:cs="宋体"/>
          <w:color w:val="auto"/>
          <w:sz w:val="24"/>
          <w:szCs w:val="24"/>
          <w:highlight w:val="none"/>
        </w:rPr>
      </w:pPr>
      <w:r>
        <w:rPr>
          <w:rFonts w:hint="eastAsia" w:hAnsi="宋体" w:eastAsia="宋体" w:cs="宋体"/>
          <w:color w:val="auto"/>
          <w:sz w:val="24"/>
          <w:szCs w:val="24"/>
          <w:highlight w:val="none"/>
        </w:rPr>
        <w:t>（2）发包人未能按照专用条款约定的时间支付工程预付款、绿色施工安全防护费和进度款；</w:t>
      </w:r>
    </w:p>
    <w:p w14:paraId="4C7D6DEA">
      <w:pPr>
        <w:pStyle w:val="22"/>
        <w:adjustRightInd w:val="0"/>
        <w:snapToGrid w:val="0"/>
        <w:spacing w:line="300" w:lineRule="auto"/>
        <w:ind w:left="2339" w:leftChars="771" w:hanging="720" w:hangingChars="300"/>
        <w:rPr>
          <w:rFonts w:hint="eastAsia" w:hAnsi="宋体" w:eastAsia="宋体" w:cs="宋体"/>
          <w:color w:val="auto"/>
          <w:sz w:val="24"/>
          <w:szCs w:val="24"/>
          <w:highlight w:val="none"/>
        </w:rPr>
      </w:pPr>
      <w:r>
        <w:rPr>
          <w:rFonts w:hint="eastAsia" w:hAnsi="宋体" w:eastAsia="宋体" w:cs="宋体"/>
          <w:color w:val="auto"/>
          <w:sz w:val="24"/>
          <w:szCs w:val="24"/>
          <w:highlight w:val="none"/>
        </w:rPr>
        <w:t>（3） 发包人代表或施工现场发包人雇用的其他人员造成的人</w:t>
      </w:r>
    </w:p>
    <w:p w14:paraId="05C8F263">
      <w:pPr>
        <w:pStyle w:val="22"/>
        <w:adjustRightInd w:val="0"/>
        <w:snapToGrid w:val="0"/>
        <w:spacing w:line="300" w:lineRule="auto"/>
        <w:ind w:left="2339" w:leftChars="771" w:hanging="720" w:hangingChars="300"/>
        <w:rPr>
          <w:rFonts w:hint="eastAsia" w:hAnsi="宋体" w:eastAsia="宋体" w:cs="宋体"/>
          <w:color w:val="auto"/>
          <w:sz w:val="24"/>
          <w:szCs w:val="24"/>
          <w:highlight w:val="none"/>
        </w:rPr>
      </w:pPr>
      <w:r>
        <w:rPr>
          <w:rFonts w:hint="eastAsia" w:hAnsi="宋体" w:eastAsia="宋体" w:cs="宋体"/>
          <w:color w:val="auto"/>
          <w:sz w:val="24"/>
          <w:szCs w:val="24"/>
          <w:highlight w:val="none"/>
        </w:rPr>
        <w:t>为因素；</w:t>
      </w:r>
    </w:p>
    <w:p w14:paraId="45356AAE">
      <w:pPr>
        <w:pStyle w:val="22"/>
        <w:adjustRightInd w:val="0"/>
        <w:snapToGrid w:val="0"/>
        <w:spacing w:line="300" w:lineRule="auto"/>
        <w:ind w:left="2339" w:leftChars="771" w:hanging="720" w:hangingChars="300"/>
        <w:rPr>
          <w:rFonts w:hint="eastAsia" w:hAnsi="宋体" w:eastAsia="宋体" w:cs="宋体"/>
          <w:color w:val="auto"/>
          <w:sz w:val="24"/>
          <w:szCs w:val="24"/>
          <w:highlight w:val="none"/>
        </w:rPr>
      </w:pPr>
      <w:r>
        <w:rPr>
          <w:rFonts w:hint="eastAsia" w:hAnsi="宋体" w:eastAsia="宋体" w:cs="宋体"/>
          <w:color w:val="auto"/>
          <w:sz w:val="24"/>
          <w:szCs w:val="24"/>
          <w:highlight w:val="none"/>
        </w:rPr>
        <w:t>（4） 监理工程师未按照合同约定及时提供所需指令、回复</w:t>
      </w:r>
    </w:p>
    <w:p w14:paraId="790BD603">
      <w:pPr>
        <w:pStyle w:val="22"/>
        <w:adjustRightInd w:val="0"/>
        <w:snapToGrid w:val="0"/>
        <w:spacing w:line="300" w:lineRule="auto"/>
        <w:ind w:left="2339" w:leftChars="771" w:hanging="720" w:hangingChars="300"/>
        <w:rPr>
          <w:rFonts w:hint="eastAsia" w:hAnsi="宋体" w:eastAsia="宋体" w:cs="宋体"/>
          <w:color w:val="auto"/>
          <w:sz w:val="24"/>
          <w:szCs w:val="24"/>
          <w:highlight w:val="none"/>
        </w:rPr>
      </w:pPr>
      <w:r>
        <w:rPr>
          <w:rFonts w:hint="eastAsia" w:hAnsi="宋体" w:eastAsia="宋体" w:cs="宋体"/>
          <w:color w:val="auto"/>
          <w:sz w:val="24"/>
          <w:szCs w:val="24"/>
          <w:highlight w:val="none"/>
        </w:rPr>
        <w:t>等；</w:t>
      </w:r>
    </w:p>
    <w:p w14:paraId="0F9C2B83">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（5） 工程变更（含增加合同工作内容、改变合同的任何一项工作等）；</w:t>
      </w:r>
    </w:p>
    <w:p w14:paraId="380CE72E">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（6） 工程量增加；</w:t>
      </w:r>
    </w:p>
    <w:p w14:paraId="34383560">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（7） 一周内非承包人原因停水、停电、停气造成停工累计超过8小时；</w:t>
      </w:r>
    </w:p>
    <w:p w14:paraId="0951032D">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（8） 不可抗力；</w:t>
      </w:r>
    </w:p>
    <w:p w14:paraId="1D55DD87">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（9） 发包人风险事件；</w:t>
      </w:r>
    </w:p>
    <w:p w14:paraId="628BAF79">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（10）因发包人的原因导致的暂停施工；</w:t>
      </w:r>
    </w:p>
    <w:p w14:paraId="51D512C0">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（11）非承包人失误、违约，以及监理工程师同意的工期顺延。</w:t>
      </w:r>
    </w:p>
    <w:p w14:paraId="0B44ECC4">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（12）发包人造成工期延误的其他原因。</w:t>
      </w:r>
    </w:p>
    <w:p w14:paraId="5545B484">
      <w:pPr>
        <w:pStyle w:val="22"/>
        <w:adjustRightInd w:val="0"/>
        <w:snapToGrid w:val="0"/>
        <w:spacing w:line="300" w:lineRule="auto"/>
        <w:ind w:right="-2"/>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 xml:space="preserve">36.4 </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6BFC720E">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804672"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1168" name="000163"/>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269B6B84">
                            <w:pPr>
                              <w:spacing w:line="220" w:lineRule="exact"/>
                              <w:rPr>
                                <w:rFonts w:hint="eastAsia" w:ascii="宋体"/>
                                <w:sz w:val="18"/>
                                <w:szCs w:val="18"/>
                              </w:rPr>
                            </w:pPr>
                            <w:r>
                              <w:rPr>
                                <w:rFonts w:hint="eastAsia" w:ascii="楷体_GB2312" w:hAnsi="宋体" w:eastAsia="楷体_GB2312" w:cs="楷体_GB2312"/>
                                <w:b/>
                                <w:bCs/>
                                <w:color w:val="000000"/>
                                <w:sz w:val="18"/>
                                <w:szCs w:val="18"/>
                              </w:rPr>
                              <w:t>提交工期顺延报告</w:t>
                            </w:r>
                          </w:p>
                        </w:txbxContent>
                      </wps:txbx>
                      <wps:bodyPr wrap="square"/>
                    </wps:wsp>
                  </a:graphicData>
                </a:graphic>
              </wp:anchor>
            </w:drawing>
          </mc:Choice>
          <mc:Fallback>
            <w:pict>
              <v:rect id="000163" o:spid="_x0000_s1026" o:spt="1" style="position:absolute;left:0pt;margin-left:-9pt;margin-top:4.9pt;height:31.2pt;width:72pt;z-index:251804672;mso-width-relative:page;mso-height-relative:page;" filled="f" stroked="f" coordsize="21600,21600" o:gfxdata="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BTcOBXYAAAACAEAAA8AAAAAAAAAAQAgAAAAIgAA&#10;AGRycy9kb3ducmV2LnhtbFBLAQIUABQAAAAIAIdO4kDO8++plgEAADgDAAAOAAAAAAAAAAEAIAAA&#10;ACcBAABkcnMvZTJvRG9jLnhtbFBLBQYAAAAABgAGAFkBAAAvBQAAAAA=&#10;">
                <v:fill on="f" focussize="0,0"/>
                <v:stroke on="f"/>
                <v:imagedata o:title=""/>
                <o:lock v:ext="edit" aspectratio="f"/>
                <v:textbox>
                  <w:txbxContent>
                    <w:p w14:paraId="269B6B84">
                      <w:pPr>
                        <w:spacing w:line="220" w:lineRule="exact"/>
                        <w:rPr>
                          <w:rFonts w:hint="eastAsia" w:ascii="宋体"/>
                          <w:sz w:val="18"/>
                          <w:szCs w:val="18"/>
                        </w:rPr>
                      </w:pPr>
                      <w:r>
                        <w:rPr>
                          <w:rFonts w:hint="eastAsia" w:ascii="楷体_GB2312" w:hAnsi="宋体" w:eastAsia="楷体_GB2312" w:cs="楷体_GB2312"/>
                          <w:b/>
                          <w:bCs/>
                          <w:color w:val="000000"/>
                          <w:sz w:val="18"/>
                          <w:szCs w:val="18"/>
                        </w:rPr>
                        <w:t>提交工期顺延报告</w:t>
                      </w:r>
                    </w:p>
                  </w:txbxContent>
                </v:textbox>
              </v:rect>
            </w:pict>
          </mc:Fallback>
        </mc:AlternateContent>
      </w:r>
      <w:r>
        <w:rPr>
          <w:rFonts w:hint="eastAsia" w:hAnsi="宋体" w:eastAsia="宋体" w:cs="宋体"/>
          <w:color w:val="auto"/>
          <w:sz w:val="24"/>
          <w:szCs w:val="24"/>
          <w:highlight w:val="none"/>
        </w:rPr>
        <w:t>当第36.3款所述事件首次发生后，承包人应在14天内向监理工程师发出工期顺延意向书，并抄送发包人。承包人应在发出工期顺延意向书后的14天内，向监理工程师提交工期顺延报告和有关详细资料。</w:t>
      </w:r>
    </w:p>
    <w:p w14:paraId="7DC0E2E6">
      <w:pPr>
        <w:pStyle w:val="22"/>
        <w:adjustRightInd w:val="0"/>
        <w:snapToGrid w:val="0"/>
        <w:spacing w:line="300" w:lineRule="auto"/>
        <w:rPr>
          <w:rFonts w:hint="eastAsia"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36.5 </w:t>
      </w:r>
      <w:r>
        <w:rPr>
          <w:rFonts w:hint="eastAsia" w:hAnsi="宋体" w:eastAsia="宋体" w:cs="宋体"/>
          <w:b/>
          <w:bCs/>
          <w:color w:val="auto"/>
          <w:sz w:val="24"/>
          <w:szCs w:val="24"/>
          <w:highlight w:val="none"/>
          <w:u w:val="dotted"/>
        </w:rPr>
        <w:t xml:space="preserve">                                                                                                        </w:t>
      </w:r>
    </w:p>
    <w:p w14:paraId="3A13E715">
      <w:pPr>
        <w:pStyle w:val="22"/>
        <w:adjustRightInd w:val="0"/>
        <w:snapToGrid w:val="0"/>
        <w:spacing w:line="300" w:lineRule="auto"/>
        <w:ind w:left="1619" w:leftChars="771"/>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805696"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1169" name="000164"/>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5177324B">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工期顺延持续发生的要求</w:t>
                            </w:r>
                          </w:p>
                        </w:txbxContent>
                      </wps:txbx>
                      <wps:bodyPr wrap="square"/>
                    </wps:wsp>
                  </a:graphicData>
                </a:graphic>
              </wp:anchor>
            </w:drawing>
          </mc:Choice>
          <mc:Fallback>
            <w:pict>
              <v:rect id="000164" o:spid="_x0000_s1026" o:spt="1" style="position:absolute;left:0pt;margin-left:-9pt;margin-top:3.7pt;height:31.2pt;width:72pt;z-index:251805696;mso-width-relative:page;mso-height-relative:page;" filled="f" stroked="f" coordsize="21600,21600" o:gfxdata="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IHlEeXYAAAACAEAAA8AAAAAAAAAAQAgAAAAIgAA&#10;AGRycy9kb3ducmV2LnhtbFBLAQIUABQAAAAIAIdO4kAy9zIGlgEAADgDAAAOAAAAAAAAAAEAIAAA&#10;ACcBAABkcnMvZTJvRG9jLnhtbFBLBQYAAAAABgAGAFkBAAAvBQAAAAA=&#10;">
                <v:fill on="f" focussize="0,0"/>
                <v:stroke on="f"/>
                <v:imagedata o:title=""/>
                <o:lock v:ext="edit" aspectratio="f"/>
                <v:textbox>
                  <w:txbxContent>
                    <w:p w14:paraId="5177324B">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工期顺延持续发生的要求</w:t>
                      </w:r>
                    </w:p>
                  </w:txbxContent>
                </v:textbox>
              </v:rect>
            </w:pict>
          </mc:Fallback>
        </mc:AlternateContent>
      </w:r>
      <w:r>
        <w:rPr>
          <w:rFonts w:hint="eastAsia" w:hAnsi="宋体" w:eastAsia="宋体" w:cs="宋体"/>
          <w:color w:val="auto"/>
          <w:sz w:val="24"/>
          <w:szCs w:val="24"/>
          <w:highlight w:val="none"/>
        </w:rPr>
        <w:t>如果工期顺延事件持续发生时，承包人应每隔7天向监理工程师发出工期顺延意向书，并在工期顺延事件终结后的14天内，向监理工程师提交最终工期顺延报告和详细资料。</w:t>
      </w:r>
    </w:p>
    <w:p w14:paraId="0522F28F">
      <w:pPr>
        <w:pStyle w:val="22"/>
        <w:adjustRightInd w:val="0"/>
        <w:snapToGrid w:val="0"/>
        <w:spacing w:line="300" w:lineRule="auto"/>
        <w:ind w:right="-2"/>
        <w:rPr>
          <w:rFonts w:hint="eastAsia"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36.6  </w:t>
      </w:r>
      <w:r>
        <w:rPr>
          <w:rFonts w:hint="eastAsia" w:hAnsi="宋体" w:eastAsia="宋体" w:cs="宋体"/>
          <w:b/>
          <w:bCs/>
          <w:color w:val="auto"/>
          <w:sz w:val="24"/>
          <w:szCs w:val="24"/>
          <w:highlight w:val="none"/>
          <w:u w:val="dotted"/>
        </w:rPr>
        <w:t xml:space="preserve">                                                                                                        </w:t>
      </w:r>
    </w:p>
    <w:p w14:paraId="605139E3">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806720"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170" name="000165"/>
                <wp:cNvGraphicFramePr/>
                <a:graphic xmlns:a="http://schemas.openxmlformats.org/drawingml/2006/main">
                  <a:graphicData uri="http://schemas.microsoft.com/office/word/2010/wordprocessingShape">
                    <wps:wsp>
                      <wps:cNvSpPr/>
                      <wps:spPr>
                        <a:xfrm>
                          <a:off x="0" y="0"/>
                          <a:ext cx="914400" cy="483869"/>
                        </a:xfrm>
                        <a:prstGeom prst="rect">
                          <a:avLst/>
                        </a:prstGeom>
                        <a:ln>
                          <a:noFill/>
                        </a:ln>
                      </wps:spPr>
                      <wps:txbx>
                        <w:txbxContent>
                          <w:p w14:paraId="22691A30">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拒绝延期</w:t>
                            </w:r>
                          </w:p>
                        </w:txbxContent>
                      </wps:txbx>
                      <wps:bodyPr wrap="square"/>
                    </wps:wsp>
                  </a:graphicData>
                </a:graphic>
              </wp:anchor>
            </w:drawing>
          </mc:Choice>
          <mc:Fallback>
            <w:pict>
              <v:rect id="000165" o:spid="_x0000_s1026" o:spt="1" style="position:absolute;left:0pt;margin-left:-9pt;margin-top:3.6pt;height:38.1pt;width:72pt;z-index:251806720;mso-width-relative:page;mso-height-relative:page;" filled="f" stroked="f" coordsize="21600,21600" o:gfxdata="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JSuwkjYAAAACAEAAA8AAAAAAAAAAQAgAAAAIgAA&#10;AGRycy9kb3ducmV2LnhtbFBLAQIUABQAAAAIAIdO4kCTlbxDlgEAADgDAAAOAAAAAAAAAAEAIAAA&#10;ACcBAABkcnMvZTJvRG9jLnhtbFBLBQYAAAAABgAGAFkBAAAvBQAAAAA=&#10;">
                <v:fill on="f" focussize="0,0"/>
                <v:stroke on="f"/>
                <v:imagedata o:title=""/>
                <o:lock v:ext="edit" aspectratio="f"/>
                <v:textbox>
                  <w:txbxContent>
                    <w:p w14:paraId="22691A30">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拒绝延期</w:t>
                      </w:r>
                    </w:p>
                  </w:txbxContent>
                </v:textbox>
              </v:rect>
            </w:pict>
          </mc:Fallback>
        </mc:AlternateContent>
      </w:r>
      <w:r>
        <w:rPr>
          <w:rFonts w:hint="eastAsia" w:hAnsi="宋体" w:eastAsia="宋体" w:cs="宋体"/>
          <w:color w:val="auto"/>
          <w:sz w:val="24"/>
          <w:szCs w:val="24"/>
          <w:highlight w:val="none"/>
        </w:rPr>
        <w:t xml:space="preserve">如果承包人未能在第36.4款和第36.5款（发生时）规定的时间内提交（最终）工期顺延报告和详细资料，则视为该事件不影响施工进度或承包人放弃顺延工期的权利。 </w:t>
      </w:r>
    </w:p>
    <w:p w14:paraId="492C71FE">
      <w:pPr>
        <w:pStyle w:val="22"/>
        <w:adjustRightInd w:val="0"/>
        <w:snapToGrid w:val="0"/>
        <w:spacing w:line="300" w:lineRule="auto"/>
        <w:ind w:right="-2"/>
        <w:rPr>
          <w:rFonts w:hint="eastAsia"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36.7  </w:t>
      </w:r>
      <w:r>
        <w:rPr>
          <w:rFonts w:hint="eastAsia" w:hAnsi="宋体" w:eastAsia="宋体" w:cs="宋体"/>
          <w:b/>
          <w:bCs/>
          <w:color w:val="auto"/>
          <w:sz w:val="24"/>
          <w:szCs w:val="24"/>
          <w:highlight w:val="none"/>
          <w:u w:val="dotted"/>
        </w:rPr>
        <w:t xml:space="preserve">                                                                                                        </w:t>
      </w:r>
    </w:p>
    <w:p w14:paraId="365F51A9">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807744"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171" name="000166"/>
                <wp:cNvGraphicFramePr/>
                <a:graphic xmlns:a="http://schemas.openxmlformats.org/drawingml/2006/main">
                  <a:graphicData uri="http://schemas.microsoft.com/office/word/2010/wordprocessingShape">
                    <wps:wsp>
                      <wps:cNvSpPr/>
                      <wps:spPr>
                        <a:xfrm>
                          <a:off x="0" y="0"/>
                          <a:ext cx="914400" cy="483869"/>
                        </a:xfrm>
                        <a:prstGeom prst="rect">
                          <a:avLst/>
                        </a:prstGeom>
                        <a:ln>
                          <a:noFill/>
                        </a:ln>
                      </wps:spPr>
                      <wps:txbx>
                        <w:txbxContent>
                          <w:p w14:paraId="62905817">
                            <w:pPr>
                              <w:spacing w:line="240" w:lineRule="exact"/>
                              <w:rPr>
                                <w:rFonts w:hint="eastAsia" w:ascii="宋体"/>
                                <w:sz w:val="18"/>
                                <w:szCs w:val="18"/>
                              </w:rPr>
                            </w:pPr>
                            <w:r>
                              <w:rPr>
                                <w:rFonts w:hint="eastAsia" w:ascii="楷体_GB2312" w:hAnsi="宋体" w:eastAsia="楷体_GB2312" w:cs="楷体_GB2312"/>
                                <w:b/>
                                <w:bCs/>
                                <w:color w:val="000000"/>
                                <w:sz w:val="18"/>
                                <w:szCs w:val="18"/>
                              </w:rPr>
                              <w:t>工期顺延的核实与确定</w:t>
                            </w:r>
                          </w:p>
                        </w:txbxContent>
                      </wps:txbx>
                      <wps:bodyPr wrap="square"/>
                    </wps:wsp>
                  </a:graphicData>
                </a:graphic>
              </wp:anchor>
            </w:drawing>
          </mc:Choice>
          <mc:Fallback>
            <w:pict>
              <v:rect id="000166" o:spid="_x0000_s1026" o:spt="1" style="position:absolute;left:0pt;margin-left:-9pt;margin-top:3.6pt;height:38.1pt;width:72pt;z-index:251807744;mso-width-relative:page;mso-height-relative:page;" filled="f" stroked="f" coordsize="21600,21600" o:gfxdata="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lK7CSNgAAAAIAQAADwAAAAAAAAABACAAAAAiAAAA&#10;ZHJzL2Rvd25yZXYueG1sUEsBAhQAFAAAAAgAh07iQNoC8dyVAQAAOAMAAA4AAAAAAAAAAQAgAAAA&#10;JwEAAGRycy9lMm9Eb2MueG1sUEsFBgAAAAAGAAYAWQEAAC4FAAAAAA==&#10;">
                <v:fill on="f" focussize="0,0"/>
                <v:stroke on="f"/>
                <v:imagedata o:title=""/>
                <o:lock v:ext="edit" aspectratio="f"/>
                <v:textbox>
                  <w:txbxContent>
                    <w:p w14:paraId="62905817">
                      <w:pPr>
                        <w:spacing w:line="240" w:lineRule="exact"/>
                        <w:rPr>
                          <w:rFonts w:hint="eastAsia" w:ascii="宋体"/>
                          <w:sz w:val="18"/>
                          <w:szCs w:val="18"/>
                        </w:rPr>
                      </w:pPr>
                      <w:r>
                        <w:rPr>
                          <w:rFonts w:hint="eastAsia" w:ascii="楷体_GB2312" w:hAnsi="宋体" w:eastAsia="楷体_GB2312" w:cs="楷体_GB2312"/>
                          <w:b/>
                          <w:bCs/>
                          <w:color w:val="000000"/>
                          <w:sz w:val="18"/>
                          <w:szCs w:val="18"/>
                        </w:rPr>
                        <w:t>工期顺延的核实与确定</w:t>
                      </w:r>
                    </w:p>
                  </w:txbxContent>
                </v:textbox>
              </v:rect>
            </w:pict>
          </mc:Fallback>
        </mc:AlternateContent>
      </w:r>
      <w:r>
        <w:rPr>
          <w:rFonts w:hint="eastAsia" w:hAnsi="宋体" w:eastAsia="宋体" w:cs="宋体"/>
          <w:color w:val="auto"/>
          <w:sz w:val="24"/>
          <w:szCs w:val="24"/>
          <w:highlight w:val="none"/>
        </w:rPr>
        <w:t>监理工程师应在收到承包人按照第36.4款和第36.5款（发生时）规定提交（最终）工期顺延报告和详细资料后的28天内，按照第36.3款规定予以核实，或要求承包人进一步补充顺延工期的理由。合同双方当事人一旦协商确定顺延的工期，发包人应承担由此增加的费用，并向承包人支付合理利润。</w:t>
      </w:r>
    </w:p>
    <w:p w14:paraId="2CE25F69">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如果监理工程师在收到上述报告和资料后的28天内未予核实也未对承包人作出进一步要求，则视为监理工程师已认可承包人上述报告中提出的顺延工期天数。</w:t>
      </w:r>
    </w:p>
    <w:p w14:paraId="52107C5C">
      <w:pPr>
        <w:pStyle w:val="22"/>
        <w:adjustRightInd w:val="0"/>
        <w:snapToGrid w:val="0"/>
        <w:spacing w:line="300" w:lineRule="auto"/>
        <w:ind w:left="1626" w:leftChars="1" w:hanging="1624" w:hangingChars="674"/>
        <w:rPr>
          <w:rFonts w:hint="eastAsia"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36.8  </w:t>
      </w:r>
      <w:r>
        <w:rPr>
          <w:rFonts w:hint="eastAsia" w:hAnsi="宋体" w:eastAsia="宋体" w:cs="宋体"/>
          <w:b/>
          <w:bCs/>
          <w:color w:val="auto"/>
          <w:sz w:val="24"/>
          <w:szCs w:val="24"/>
          <w:highlight w:val="none"/>
          <w:u w:val="dotted"/>
        </w:rPr>
        <w:t xml:space="preserve">                                                                                                        </w:t>
      </w:r>
    </w:p>
    <w:p w14:paraId="5A81E613">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808768" behindDoc="0" locked="0" layoutInCell="1" allowOverlap="1">
                <wp:simplePos x="0" y="0"/>
                <wp:positionH relativeFrom="column">
                  <wp:posOffset>-114300</wp:posOffset>
                </wp:positionH>
                <wp:positionV relativeFrom="paragraph">
                  <wp:posOffset>45720</wp:posOffset>
                </wp:positionV>
                <wp:extent cx="914400" cy="593725"/>
                <wp:effectExtent l="0" t="0" r="0" b="0"/>
                <wp:wrapNone/>
                <wp:docPr id="1172" name="000167"/>
                <wp:cNvGraphicFramePr/>
                <a:graphic xmlns:a="http://schemas.openxmlformats.org/drawingml/2006/main">
                  <a:graphicData uri="http://schemas.microsoft.com/office/word/2010/wordprocessingShape">
                    <wps:wsp>
                      <wps:cNvSpPr/>
                      <wps:spPr>
                        <a:xfrm>
                          <a:off x="0" y="0"/>
                          <a:ext cx="914400" cy="593725"/>
                        </a:xfrm>
                        <a:prstGeom prst="rect">
                          <a:avLst/>
                        </a:prstGeom>
                        <a:ln>
                          <a:noFill/>
                        </a:ln>
                      </wps:spPr>
                      <wps:txbx>
                        <w:txbxContent>
                          <w:p w14:paraId="11607D85">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承包人误期的赔偿、责任承担</w:t>
                            </w:r>
                          </w:p>
                        </w:txbxContent>
                      </wps:txbx>
                      <wps:bodyPr wrap="square"/>
                    </wps:wsp>
                  </a:graphicData>
                </a:graphic>
              </wp:anchor>
            </w:drawing>
          </mc:Choice>
          <mc:Fallback>
            <w:pict>
              <v:rect id="000167" o:spid="_x0000_s1026" o:spt="1" style="position:absolute;left:0pt;margin-left:-9pt;margin-top:3.6pt;height:46.75pt;width:72pt;z-index:251808768;mso-width-relative:page;mso-height-relative:page;" filled="f" stroked="f" coordsize="21600,21600" o:gfxdata="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Ax9M+2QAAAAkBAAAPAAAAAAAAAAEAIAAAACIA&#10;AABkcnMvZG93bnJldi54bWxQSwECFAAUAAAACACHTuJAGwLkKpYBAAA4AwAADgAAAAAAAAABACAA&#10;AAAoAQAAZHJzL2Uyb0RvYy54bWxQSwUGAAAAAAYABgBZAQAAMAUAAAAA&#10;">
                <v:fill on="f" focussize="0,0"/>
                <v:stroke on="f"/>
                <v:imagedata o:title=""/>
                <o:lock v:ext="edit" aspectratio="f"/>
                <v:textbox>
                  <w:txbxContent>
                    <w:p w14:paraId="11607D85">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承包人误期的赔偿、责任承担</w:t>
                      </w:r>
                    </w:p>
                  </w:txbxContent>
                </v:textbox>
              </v:rect>
            </w:pict>
          </mc:Fallback>
        </mc:AlternateContent>
      </w:r>
      <w:r>
        <w:rPr>
          <w:rFonts w:hint="eastAsia" w:hAnsi="宋体" w:eastAsia="宋体" w:cs="宋体"/>
          <w:color w:val="auto"/>
          <w:sz w:val="24"/>
          <w:szCs w:val="24"/>
          <w:highlight w:val="none"/>
        </w:rPr>
        <w:t>承包人未能按照合同进度计划完成工作，或因承包人的原因造成工期延误，发包人可按照本条规定的时限和第66.2款规定要求承包人支付该支付期的误期赔偿费。</w:t>
      </w:r>
    </w:p>
    <w:p w14:paraId="228CEAE1">
      <w:pPr>
        <w:spacing w:line="300" w:lineRule="auto"/>
        <w:rPr>
          <w:rFonts w:hint="eastAsia"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36.9  </w:t>
      </w:r>
      <w:r>
        <w:rPr>
          <w:rFonts w:hint="eastAsia" w:ascii="宋体" w:hAnsi="宋体" w:eastAsia="宋体" w:cs="宋体"/>
          <w:b/>
          <w:bCs/>
          <w:color w:val="auto"/>
          <w:sz w:val="24"/>
          <w:highlight w:val="none"/>
          <w:u w:val="dotted"/>
        </w:rPr>
        <w:t xml:space="preserve">                                                                                </w:t>
      </w:r>
    </w:p>
    <w:p w14:paraId="2E557AC1">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809792" behindDoc="0" locked="0" layoutInCell="1" allowOverlap="1">
                <wp:simplePos x="0" y="0"/>
                <wp:positionH relativeFrom="column">
                  <wp:posOffset>-63500</wp:posOffset>
                </wp:positionH>
                <wp:positionV relativeFrom="paragraph">
                  <wp:posOffset>65405</wp:posOffset>
                </wp:positionV>
                <wp:extent cx="923290" cy="454025"/>
                <wp:effectExtent l="0" t="0" r="0" b="0"/>
                <wp:wrapNone/>
                <wp:docPr id="1173" name="000168"/>
                <wp:cNvGraphicFramePr/>
                <a:graphic xmlns:a="http://schemas.openxmlformats.org/drawingml/2006/main">
                  <a:graphicData uri="http://schemas.microsoft.com/office/word/2010/wordprocessingShape">
                    <wps:wsp>
                      <wps:cNvSpPr/>
                      <wps:spPr>
                        <a:xfrm>
                          <a:off x="0" y="0"/>
                          <a:ext cx="923290" cy="454025"/>
                        </a:xfrm>
                        <a:prstGeom prst="rect">
                          <a:avLst/>
                        </a:prstGeom>
                        <a:ln>
                          <a:noFill/>
                        </a:ln>
                      </wps:spPr>
                      <wps:txbx>
                        <w:txbxContent>
                          <w:p w14:paraId="57EC90DD">
                            <w:pPr>
                              <w:spacing w:line="240" w:lineRule="exact"/>
                              <w:rPr>
                                <w:rFonts w:hint="eastAsia"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wps:txbx>
                      <wps:bodyPr wrap="square"/>
                    </wps:wsp>
                  </a:graphicData>
                </a:graphic>
              </wp:anchor>
            </w:drawing>
          </mc:Choice>
          <mc:Fallback>
            <w:pict>
              <v:rect id="000168" o:spid="_x0000_s1026" o:spt="1" style="position:absolute;left:0pt;margin-left:-5pt;margin-top:5.15pt;height:35.75pt;width:72.7pt;z-index:251809792;mso-width-relative:page;mso-height-relative:page;" filled="f" stroked="f" coordsize="21600,21600" o:gfxdata="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rdsna2QAAAAkBAAAPAAAAAAAAAAEAIAAAACIA&#10;AABkcnMvZG93bnJldi54bWxQSwECFAAUAAAACACHTuJAkDFlsJYBAAA4AwAADgAAAAAAAAABACAA&#10;AAAoAQAAZHJzL2Uyb0RvYy54bWxQSwUGAAAAAAYABgBZAQAAMAUAAAAA&#10;">
                <v:fill on="f" focussize="0,0"/>
                <v:stroke on="f"/>
                <v:imagedata o:title=""/>
                <o:lock v:ext="edit" aspectratio="f"/>
                <v:textbox>
                  <w:txbxContent>
                    <w:p w14:paraId="57EC90DD">
                      <w:pPr>
                        <w:spacing w:line="240" w:lineRule="exact"/>
                        <w:rPr>
                          <w:rFonts w:hint="eastAsia"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v:textbox>
              </v:rect>
            </w:pict>
          </mc:Fallback>
        </mc:AlternateContent>
      </w:r>
      <w:r>
        <w:rPr>
          <w:rFonts w:hint="eastAsia" w:hAnsi="宋体" w:eastAsia="宋体" w:cs="宋体"/>
          <w:color w:val="auto"/>
          <w:sz w:val="24"/>
          <w:szCs w:val="24"/>
          <w:highlight w:val="none"/>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14:paraId="61046CC8">
      <w:pPr>
        <w:pStyle w:val="22"/>
        <w:adjustRightInd w:val="0"/>
        <w:snapToGrid w:val="0"/>
        <w:spacing w:line="300" w:lineRule="auto"/>
        <w:ind w:left="1619" w:leftChars="771"/>
        <w:rPr>
          <w:rFonts w:hint="eastAsia" w:hAnsi="宋体" w:eastAsia="宋体" w:cs="宋体"/>
          <w:color w:val="auto"/>
          <w:sz w:val="24"/>
          <w:szCs w:val="24"/>
          <w:highlight w:val="none"/>
        </w:rPr>
      </w:pPr>
    </w:p>
    <w:p w14:paraId="7E8B1604">
      <w:pPr>
        <w:pStyle w:val="22"/>
        <w:tabs>
          <w:tab w:val="left" w:pos="540"/>
        </w:tabs>
        <w:adjustRightInd w:val="0"/>
        <w:snapToGrid w:val="0"/>
        <w:spacing w:before="240" w:beforeLines="100" w:line="300" w:lineRule="auto"/>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2E3CC586">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95" w:name="_Toc469384019"/>
      <w:bookmarkStart w:id="96" w:name="_Toc46860840"/>
      <w:r>
        <w:rPr>
          <w:rFonts w:hint="eastAsia" w:hAnsi="宋体" w:eastAsia="宋体" w:cs="宋体"/>
          <w:b/>
          <w:bCs/>
          <w:color w:val="auto"/>
          <w:sz w:val="24"/>
          <w:szCs w:val="24"/>
          <w:highlight w:val="none"/>
        </w:rPr>
        <w:t>37  加快进度</w:t>
      </w:r>
      <w:bookmarkEnd w:id="95"/>
      <w:bookmarkEnd w:id="96"/>
    </w:p>
    <w:p w14:paraId="12114242">
      <w:pPr>
        <w:pStyle w:val="22"/>
        <w:tabs>
          <w:tab w:val="left" w:pos="1320"/>
        </w:tabs>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810816"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1174" name="000169"/>
                <wp:cNvGraphicFramePr/>
                <a:graphic xmlns:a="http://schemas.openxmlformats.org/drawingml/2006/main">
                  <a:graphicData uri="http://schemas.microsoft.com/office/word/2010/wordprocessingShape">
                    <wps:wsp>
                      <wps:cNvSpPr/>
                      <wps:spPr>
                        <a:xfrm>
                          <a:off x="0" y="0"/>
                          <a:ext cx="914400" cy="540385"/>
                        </a:xfrm>
                        <a:prstGeom prst="rect">
                          <a:avLst/>
                        </a:prstGeom>
                        <a:ln>
                          <a:noFill/>
                        </a:ln>
                      </wps:spPr>
                      <wps:txbx>
                        <w:txbxContent>
                          <w:p w14:paraId="17A371A3">
                            <w:pPr>
                              <w:rPr>
                                <w:rFonts w:hint="eastAsia" w:ascii="宋体"/>
                                <w:sz w:val="18"/>
                                <w:szCs w:val="18"/>
                              </w:rPr>
                            </w:pPr>
                            <w:r>
                              <w:rPr>
                                <w:rFonts w:hint="eastAsia" w:ascii="楷体_GB2312" w:hAnsi="宋体" w:eastAsia="楷体_GB2312" w:cs="楷体_GB2312"/>
                                <w:b/>
                                <w:bCs/>
                                <w:color w:val="000000"/>
                                <w:sz w:val="18"/>
                                <w:szCs w:val="18"/>
                              </w:rPr>
                              <w:t>承包人原因加快进度的要求</w:t>
                            </w:r>
                          </w:p>
                        </w:txbxContent>
                      </wps:txbx>
                      <wps:bodyPr wrap="square"/>
                    </wps:wsp>
                  </a:graphicData>
                </a:graphic>
              </wp:anchor>
            </w:drawing>
          </mc:Choice>
          <mc:Fallback>
            <w:pict>
              <v:rect id="000169" o:spid="_x0000_s1026" o:spt="1" style="position:absolute;left:0pt;margin-left:-9pt;margin-top:12.65pt;height:42.55pt;width:72pt;z-index:251810816;mso-width-relative:page;mso-height-relative:page;" filled="f" stroked="f" coordsize="21600,21600" o:gfxdata="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XGjrUdoAAAAKAQAADwAAAAAAAAABACAAAAAi&#10;AAAAZHJzL2Rvd25yZXYueG1sUEsBAhQAFAAAAAgAh07iQGD+cguWAQAAOAMAAA4AAAAAAAAAAQAg&#10;AAAAKQEAAGRycy9lMm9Eb2MueG1sUEsFBgAAAAAGAAYAWQEAADEFAAAAAA==&#10;">
                <v:fill on="f" focussize="0,0"/>
                <v:stroke on="f"/>
                <v:imagedata o:title=""/>
                <o:lock v:ext="edit" aspectratio="f"/>
                <v:textbox>
                  <w:txbxContent>
                    <w:p w14:paraId="17A371A3">
                      <w:pPr>
                        <w:rPr>
                          <w:rFonts w:hint="eastAsia" w:ascii="宋体"/>
                          <w:sz w:val="18"/>
                          <w:szCs w:val="18"/>
                        </w:rPr>
                      </w:pPr>
                      <w:r>
                        <w:rPr>
                          <w:rFonts w:hint="eastAsia" w:ascii="楷体_GB2312" w:hAnsi="宋体" w:eastAsia="楷体_GB2312" w:cs="楷体_GB2312"/>
                          <w:b/>
                          <w:bCs/>
                          <w:color w:val="000000"/>
                          <w:sz w:val="18"/>
                          <w:szCs w:val="18"/>
                        </w:rPr>
                        <w:t>承包人原因加快进度的要求</w:t>
                      </w:r>
                    </w:p>
                  </w:txbxContent>
                </v:textbox>
              </v:rect>
            </w:pict>
          </mc:Fallback>
        </mc:AlternateContent>
      </w:r>
      <w:r>
        <w:rPr>
          <w:rFonts w:hint="eastAsia" w:hAnsi="宋体" w:eastAsia="宋体" w:cs="宋体"/>
          <w:b/>
          <w:bCs/>
          <w:color w:val="auto"/>
          <w:sz w:val="24"/>
          <w:szCs w:val="24"/>
          <w:highlight w:val="none"/>
        </w:rPr>
        <w:t xml:space="preserve">37.1     </w:t>
      </w:r>
    </w:p>
    <w:p w14:paraId="71E08CD7">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在非发包人延误工期的情况下，如果监理工程师书面指出承包人实施合同工程或其任何部分的进度过慢，迟于进度计划或不能按期竣工，则承包人应按照第33.4款规定采取改进措施，加快工程进度。</w:t>
      </w:r>
    </w:p>
    <w:p w14:paraId="42415CDE">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如果承包人在接到监理工程师通知后的14天内，未能采取加快工程进度的措施，致使实际进度进一步延迟；或承包人虽然采取了改进措施，仍无法按期竣工，监理工程师应立即报告发包人，并抄送承包人。发包人可按照第87.3款规定解除合同，也可将合同工程中的一部分工作交由第三方完成，由此增加的一切费用由承包人承担。即使承包人承担增加的费用，也不能免除其按照合同约定应承担的任何责任和应履行的任何义务。 </w:t>
      </w:r>
    </w:p>
    <w:p w14:paraId="4B774618">
      <w:pPr>
        <w:pStyle w:val="22"/>
        <w:tabs>
          <w:tab w:val="left" w:pos="1320"/>
        </w:tabs>
        <w:adjustRightInd w:val="0"/>
        <w:snapToGrid w:val="0"/>
        <w:spacing w:line="300" w:lineRule="auto"/>
        <w:rPr>
          <w:rFonts w:hint="eastAsia" w:hAnsi="宋体" w:eastAsia="宋体" w:cs="宋体"/>
          <w:b/>
          <w:bCs/>
          <w:color w:val="auto"/>
          <w:sz w:val="24"/>
          <w:szCs w:val="24"/>
          <w:highlight w:val="none"/>
          <w:u w:val="dotted"/>
        </w:rPr>
      </w:pPr>
      <w:r>
        <w:rPr>
          <w:rFonts w:hint="eastAsia" w:hAnsi="宋体" w:eastAsia="宋体" w:cs="宋体"/>
          <w:color w:val="auto"/>
          <w:sz w:val="24"/>
          <w:szCs w:val="24"/>
          <w:highlight w:val="none"/>
        </w:rPr>
        <mc:AlternateContent>
          <mc:Choice Requires="wps">
            <w:drawing>
              <wp:anchor distT="0" distB="0" distL="0" distR="0" simplePos="0" relativeHeight="251811840"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1175" name="00016a"/>
                <wp:cNvGraphicFramePr/>
                <a:graphic xmlns:a="http://schemas.openxmlformats.org/drawingml/2006/main">
                  <a:graphicData uri="http://schemas.microsoft.com/office/word/2010/wordprocessingShape">
                    <wps:wsp>
                      <wps:cNvSpPr/>
                      <wps:spPr>
                        <a:xfrm>
                          <a:off x="0" y="0"/>
                          <a:ext cx="914400" cy="494665"/>
                        </a:xfrm>
                        <a:prstGeom prst="rect">
                          <a:avLst/>
                        </a:prstGeom>
                        <a:ln>
                          <a:noFill/>
                        </a:ln>
                      </wps:spPr>
                      <wps:txbx>
                        <w:txbxContent>
                          <w:p w14:paraId="0D47D547">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建设单位原因加快进度的要求</w:t>
                            </w:r>
                          </w:p>
                        </w:txbxContent>
                      </wps:txbx>
                      <wps:bodyPr wrap="square"/>
                    </wps:wsp>
                  </a:graphicData>
                </a:graphic>
              </wp:anchor>
            </w:drawing>
          </mc:Choice>
          <mc:Fallback>
            <w:pict>
              <v:rect id="00016a" o:spid="_x0000_s1026" o:spt="1" style="position:absolute;left:0pt;margin-left:-9pt;margin-top:21.9pt;height:38.95pt;width:72pt;z-index:251811840;mso-width-relative:page;mso-height-relative:page;" filled="f" stroked="f" coordsize="21600,21600" o:gfxdata="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3+pSN2gAAAAoBAAAPAAAAAAAAAAEAIAAAACIA&#10;AABkcnMvZG93bnJldi54bWxQSwECFAAUAAAACACHTuJAC6crXZUBAAA4AwAADgAAAAAAAAABACAA&#10;AAApAQAAZHJzL2Uyb0RvYy54bWxQSwUGAAAAAAYABgBZAQAAMAUAAAAA&#10;">
                <v:fill on="f" focussize="0,0"/>
                <v:stroke on="f"/>
                <v:imagedata o:title=""/>
                <o:lock v:ext="edit" aspectratio="f"/>
                <v:textbox>
                  <w:txbxContent>
                    <w:p w14:paraId="0D47D547">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建设单位原因加快进度的要求</w:t>
                      </w:r>
                    </w:p>
                  </w:txbxContent>
                </v:textbox>
              </v:rect>
            </w:pict>
          </mc:Fallback>
        </mc:AlternateContent>
      </w:r>
      <w:r>
        <w:rPr>
          <w:rFonts w:hint="eastAsia" w:hAnsi="宋体" w:eastAsia="宋体" w:cs="宋体"/>
          <w:b/>
          <w:bCs/>
          <w:color w:val="auto"/>
          <w:sz w:val="24"/>
          <w:szCs w:val="24"/>
          <w:highlight w:val="none"/>
        </w:rPr>
        <w:t xml:space="preserve">37.2  </w:t>
      </w:r>
      <w:r>
        <w:rPr>
          <w:rFonts w:hint="eastAsia" w:hAnsi="宋体" w:eastAsia="宋体" w:cs="宋体"/>
          <w:b/>
          <w:bCs/>
          <w:color w:val="auto"/>
          <w:sz w:val="24"/>
          <w:szCs w:val="24"/>
          <w:highlight w:val="none"/>
          <w:u w:val="dotted"/>
        </w:rPr>
        <w:t xml:space="preserve">                                                                                                        </w:t>
      </w:r>
    </w:p>
    <w:p w14:paraId="0E3C9257">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如果发包人希望承包人提前竣工，那么发包人可要求承包人提交为加快进度而编制的提前竣工建议书。承包人应在接到发包人要求后的7天内完成编制并向发包人提交提前竣工建议书，该建议书的内容至少应包括：</w:t>
      </w:r>
    </w:p>
    <w:p w14:paraId="39276E27">
      <w:pPr>
        <w:pStyle w:val="22"/>
        <w:numPr>
          <w:ilvl w:val="0"/>
          <w:numId w:val="19"/>
        </w:numPr>
        <w:tabs>
          <w:tab w:val="left" w:pos="1980"/>
        </w:tabs>
        <w:adjustRightInd w:val="0"/>
        <w:snapToGrid w:val="0"/>
        <w:spacing w:line="300" w:lineRule="auto"/>
        <w:ind w:left="1620" w:firstLine="0"/>
        <w:rPr>
          <w:rFonts w:hint="eastAsia" w:hAnsi="宋体" w:eastAsia="宋体" w:cs="宋体"/>
          <w:color w:val="auto"/>
          <w:sz w:val="24"/>
          <w:szCs w:val="24"/>
          <w:highlight w:val="none"/>
        </w:rPr>
      </w:pPr>
      <w:r>
        <w:rPr>
          <w:rFonts w:hint="eastAsia" w:hAnsi="宋体" w:eastAsia="宋体" w:cs="宋体"/>
          <w:color w:val="auto"/>
          <w:sz w:val="24"/>
          <w:szCs w:val="24"/>
          <w:highlight w:val="none"/>
        </w:rPr>
        <w:t>加快进度拟采取的措施；</w:t>
      </w:r>
    </w:p>
    <w:p w14:paraId="495C4788">
      <w:pPr>
        <w:pStyle w:val="22"/>
        <w:numPr>
          <w:ilvl w:val="0"/>
          <w:numId w:val="19"/>
        </w:numPr>
        <w:tabs>
          <w:tab w:val="left" w:pos="1980"/>
        </w:tabs>
        <w:adjustRightInd w:val="0"/>
        <w:snapToGrid w:val="0"/>
        <w:spacing w:line="300" w:lineRule="auto"/>
        <w:ind w:left="1620" w:firstLine="0"/>
        <w:rPr>
          <w:rFonts w:hint="eastAsia" w:hAnsi="宋体" w:eastAsia="宋体" w:cs="宋体"/>
          <w:color w:val="auto"/>
          <w:sz w:val="24"/>
          <w:szCs w:val="24"/>
          <w:highlight w:val="none"/>
        </w:rPr>
      </w:pPr>
      <w:r>
        <w:rPr>
          <w:rFonts w:hint="eastAsia" w:hAnsi="宋体" w:eastAsia="宋体" w:cs="宋体"/>
          <w:color w:val="auto"/>
          <w:sz w:val="24"/>
          <w:szCs w:val="24"/>
          <w:highlight w:val="none"/>
        </w:rPr>
        <w:t>加快进度后的进度计划,以及与原计划的对比；</w:t>
      </w:r>
    </w:p>
    <w:p w14:paraId="00C363D2">
      <w:pPr>
        <w:pStyle w:val="22"/>
        <w:numPr>
          <w:ilvl w:val="0"/>
          <w:numId w:val="19"/>
        </w:numPr>
        <w:tabs>
          <w:tab w:val="left" w:pos="1980"/>
        </w:tabs>
        <w:adjustRightInd w:val="0"/>
        <w:snapToGrid w:val="0"/>
        <w:spacing w:line="300" w:lineRule="auto"/>
        <w:ind w:left="1620" w:firstLine="0"/>
        <w:rPr>
          <w:rFonts w:hint="eastAsia" w:hAnsi="宋体" w:eastAsia="宋体" w:cs="宋体"/>
          <w:color w:val="auto"/>
          <w:sz w:val="24"/>
          <w:szCs w:val="24"/>
          <w:highlight w:val="none"/>
        </w:rPr>
      </w:pPr>
      <w:r>
        <w:rPr>
          <w:rFonts w:hint="eastAsia" w:hAnsi="宋体" w:eastAsia="宋体" w:cs="宋体"/>
          <w:color w:val="auto"/>
          <w:sz w:val="24"/>
          <w:szCs w:val="24"/>
          <w:highlight w:val="none"/>
        </w:rPr>
        <w:t>加快进度所需的合同价款增加额（含第66.1款规定的提前竣工奖）。该增加额按照第72.2款、第72.3款和第72.5款规定计算。</w:t>
      </w:r>
    </w:p>
    <w:p w14:paraId="00D0822D">
      <w:pPr>
        <w:pStyle w:val="22"/>
        <w:adjustRightInd w:val="0"/>
        <w:snapToGrid w:val="0"/>
        <w:spacing w:line="300" w:lineRule="auto"/>
        <w:ind w:left="1617" w:leftChars="770" w:firstLine="1"/>
        <w:rPr>
          <w:rFonts w:hint="eastAsia" w:hAnsi="宋体" w:eastAsia="宋体" w:cs="宋体"/>
          <w:color w:val="auto"/>
          <w:sz w:val="24"/>
          <w:szCs w:val="24"/>
          <w:highlight w:val="none"/>
        </w:rPr>
      </w:pPr>
      <w:r>
        <w:rPr>
          <w:rFonts w:hint="eastAsia" w:hAnsi="宋体" w:eastAsia="宋体" w:cs="宋体"/>
          <w:color w:val="auto"/>
          <w:sz w:val="24"/>
          <w:szCs w:val="24"/>
          <w:highlight w:val="none"/>
        </w:rPr>
        <w:t>发包人应在接到建议书后的7天内予以答复。如果发包人接受了该建议书，则监理工程师应以书面形式发出变更指令，相应调整工期；造价工程师应核实并相应调整合同价款。</w:t>
      </w:r>
    </w:p>
    <w:p w14:paraId="38E06286">
      <w:pPr>
        <w:pStyle w:val="22"/>
        <w:adjustRightInd w:val="0"/>
        <w:snapToGrid w:val="0"/>
        <w:spacing w:line="300" w:lineRule="auto"/>
        <w:ind w:right="-240"/>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16AD74DB">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97" w:name="_Toc46860841"/>
      <w:bookmarkStart w:id="98" w:name="_Toc469384020"/>
      <w:r>
        <w:rPr>
          <w:rFonts w:hint="eastAsia" w:hAnsi="宋体" w:eastAsia="宋体" w:cs="宋体"/>
          <w:b/>
          <w:bCs/>
          <w:color w:val="auto"/>
          <w:sz w:val="24"/>
          <w:szCs w:val="24"/>
          <w:highlight w:val="none"/>
        </w:rPr>
        <w:t>38  竣工日期</w:t>
      </w:r>
      <w:bookmarkEnd w:id="97"/>
      <w:bookmarkEnd w:id="98"/>
    </w:p>
    <w:p w14:paraId="11C4F759">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812864"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1176" name="00016b"/>
                <wp:cNvGraphicFramePr/>
                <a:graphic xmlns:a="http://schemas.openxmlformats.org/drawingml/2006/main">
                  <a:graphicData uri="http://schemas.microsoft.com/office/word/2010/wordprocessingShape">
                    <wps:wsp>
                      <wps:cNvSpPr/>
                      <wps:spPr>
                        <a:xfrm>
                          <a:off x="0" y="0"/>
                          <a:ext cx="977900" cy="396240"/>
                        </a:xfrm>
                        <a:prstGeom prst="rect">
                          <a:avLst/>
                        </a:prstGeom>
                        <a:ln>
                          <a:noFill/>
                        </a:ln>
                      </wps:spPr>
                      <wps:txbx>
                        <w:txbxContent>
                          <w:p w14:paraId="6225BCFE">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约定计划竣工日期</w:t>
                            </w:r>
                          </w:p>
                        </w:txbxContent>
                      </wps:txbx>
                      <wps:bodyPr wrap="square"/>
                    </wps:wsp>
                  </a:graphicData>
                </a:graphic>
              </wp:anchor>
            </w:drawing>
          </mc:Choice>
          <mc:Fallback>
            <w:pict>
              <v:rect id="00016b" o:spid="_x0000_s1026" o:spt="1" style="position:absolute;left:0pt;margin-left:-10.5pt;margin-top:10.7pt;height:31.2pt;width:77pt;z-index:251812864;mso-width-relative:page;mso-height-relative:page;" filled="f" stroked="f" coordsize="21600,21600" o:gfxdata="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xNWextoAAAAJAQAADwAAAAAAAAABACAAAAAi&#10;AAAAZHJzL2Rvd25yZXYueG1sUEsBAhQAFAAAAAgAh07iQBTijyqWAQAAOAMAAA4AAAAAAAAAAQAg&#10;AAAAKQEAAGRycy9lMm9Eb2MueG1sUEsFBgAAAAAGAAYAWQEAADEFAAAAAA==&#10;">
                <v:fill on="f" focussize="0,0"/>
                <v:stroke on="f"/>
                <v:imagedata o:title=""/>
                <o:lock v:ext="edit" aspectratio="f"/>
                <v:textbox>
                  <w:txbxContent>
                    <w:p w14:paraId="6225BCFE">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约定计划竣工日期</w:t>
                      </w:r>
                    </w:p>
                  </w:txbxContent>
                </v:textbox>
              </v:rect>
            </w:pict>
          </mc:Fallback>
        </mc:AlternateContent>
      </w:r>
      <w:r>
        <w:rPr>
          <w:rFonts w:hint="eastAsia" w:hAnsi="宋体" w:eastAsia="宋体" w:cs="宋体"/>
          <w:b/>
          <w:bCs/>
          <w:color w:val="auto"/>
          <w:sz w:val="24"/>
          <w:szCs w:val="24"/>
          <w:highlight w:val="none"/>
        </w:rPr>
        <w:t xml:space="preserve">38.1   </w:t>
      </w:r>
    </w:p>
    <w:p w14:paraId="300A771C">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合同双方当事人应在协议书和专用条款中约定合同工程的计划竣工日期。</w:t>
      </w:r>
    </w:p>
    <w:p w14:paraId="5A2EDAA1">
      <w:pPr>
        <w:pStyle w:val="22"/>
        <w:adjustRightInd w:val="0"/>
        <w:snapToGrid w:val="0"/>
        <w:spacing w:line="300" w:lineRule="auto"/>
        <w:rPr>
          <w:rFonts w:hint="eastAsia"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38.2  </w:t>
      </w:r>
      <w:r>
        <w:rPr>
          <w:rFonts w:hint="eastAsia" w:hAnsi="宋体" w:eastAsia="宋体" w:cs="宋体"/>
          <w:b/>
          <w:bCs/>
          <w:color w:val="auto"/>
          <w:sz w:val="24"/>
          <w:szCs w:val="24"/>
          <w:highlight w:val="none"/>
          <w:u w:val="dotted"/>
        </w:rPr>
        <w:t xml:space="preserve">                                                                                                        </w:t>
      </w:r>
    </w:p>
    <w:p w14:paraId="2F65414D">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813888"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177" name="00016c"/>
                <wp:cNvGraphicFramePr/>
                <a:graphic xmlns:a="http://schemas.openxmlformats.org/drawingml/2006/main">
                  <a:graphicData uri="http://schemas.microsoft.com/office/word/2010/wordprocessingShape">
                    <wps:wsp>
                      <wps:cNvSpPr/>
                      <wps:spPr>
                        <a:xfrm>
                          <a:off x="0" y="0"/>
                          <a:ext cx="977900" cy="396240"/>
                        </a:xfrm>
                        <a:prstGeom prst="rect">
                          <a:avLst/>
                        </a:prstGeom>
                        <a:ln>
                          <a:noFill/>
                        </a:ln>
                      </wps:spPr>
                      <wps:txbx>
                        <w:txbxContent>
                          <w:p w14:paraId="00639286">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实际竣工日期的确定</w:t>
                            </w:r>
                          </w:p>
                        </w:txbxContent>
                      </wps:txbx>
                      <wps:bodyPr wrap="square"/>
                    </wps:wsp>
                  </a:graphicData>
                </a:graphic>
              </wp:anchor>
            </w:drawing>
          </mc:Choice>
          <mc:Fallback>
            <w:pict>
              <v:rect id="00016c" o:spid="_x0000_s1026" o:spt="1" style="position:absolute;left:0pt;margin-left:-9pt;margin-top:0.45pt;height:31.2pt;width:77pt;z-index:251813888;mso-width-relative:page;mso-height-relative:page;" filled="f" stroked="f" coordsize="21600,21600" o:gfxdata="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nCgGItcAAAAHAQAADwAAAAAAAAABACAAAAAiAAAA&#10;ZHJzL2Rvd25yZXYueG1sUEsBAhQAFAAAAAgAh07iQKe/MkCWAQAAOAMAAA4AAAAAAAAAAQAgAAAA&#10;JgEAAGRycy9lMm9Eb2MueG1sUEsFBgAAAAAGAAYAWQEAAC4FAAAAAA==&#10;">
                <v:fill on="f" focussize="0,0"/>
                <v:stroke on="f"/>
                <v:imagedata o:title=""/>
                <o:lock v:ext="edit" aspectratio="f"/>
                <v:textbox>
                  <w:txbxContent>
                    <w:p w14:paraId="00639286">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实际竣工日期的确定</w:t>
                      </w:r>
                    </w:p>
                  </w:txbxContent>
                </v:textbox>
              </v:rect>
            </w:pict>
          </mc:Fallback>
        </mc:AlternateContent>
      </w:r>
      <w:r>
        <w:rPr>
          <w:rFonts w:hint="eastAsia" w:hAnsi="宋体" w:eastAsia="宋体" w:cs="宋体"/>
          <w:color w:val="auto"/>
          <w:sz w:val="24"/>
          <w:szCs w:val="24"/>
          <w:highlight w:val="none"/>
        </w:rPr>
        <w:t>除发生不可抗力事件致使发包人不能按时竣工验收外，实际竣工日期按照下列情况分别确定：</w:t>
      </w:r>
    </w:p>
    <w:p w14:paraId="11A2C878">
      <w:pPr>
        <w:pStyle w:val="22"/>
        <w:numPr>
          <w:ilvl w:val="0"/>
          <w:numId w:val="20"/>
        </w:numPr>
        <w:tabs>
          <w:tab w:val="left" w:pos="1980"/>
          <w:tab w:val="left" w:pos="2160"/>
        </w:tabs>
        <w:adjustRightInd w:val="0"/>
        <w:snapToGrid w:val="0"/>
        <w:spacing w:line="300" w:lineRule="auto"/>
        <w:ind w:left="1619" w:leftChars="771" w:firstLine="0"/>
        <w:rPr>
          <w:rFonts w:hint="eastAsia" w:hAnsi="宋体" w:eastAsia="宋体" w:cs="宋体"/>
          <w:color w:val="auto"/>
          <w:sz w:val="24"/>
          <w:szCs w:val="24"/>
          <w:highlight w:val="none"/>
        </w:rPr>
      </w:pPr>
      <w:r>
        <w:rPr>
          <w:rFonts w:hint="eastAsia" w:hAnsi="宋体" w:eastAsia="宋体" w:cs="宋体"/>
          <w:color w:val="auto"/>
          <w:sz w:val="24"/>
          <w:szCs w:val="24"/>
          <w:highlight w:val="none"/>
        </w:rPr>
        <w:t>工程经竣工验收合格的，以承包人提交竣工验收申请报告之日为实际竣工日期；</w:t>
      </w:r>
    </w:p>
    <w:p w14:paraId="628E4335">
      <w:pPr>
        <w:pStyle w:val="22"/>
        <w:tabs>
          <w:tab w:val="left" w:pos="1980"/>
          <w:tab w:val="left" w:pos="2160"/>
        </w:tabs>
        <w:adjustRightInd w:val="0"/>
        <w:snapToGrid w:val="0"/>
        <w:spacing w:line="300" w:lineRule="auto"/>
        <w:ind w:left="1613"/>
        <w:rPr>
          <w:rFonts w:hint="eastAsia" w:hAnsi="宋体" w:eastAsia="宋体" w:cs="宋体"/>
          <w:color w:val="auto"/>
          <w:sz w:val="24"/>
          <w:szCs w:val="24"/>
          <w:highlight w:val="none"/>
        </w:rPr>
      </w:pPr>
      <w:r>
        <w:rPr>
          <w:rFonts w:hint="eastAsia" w:hAnsi="宋体" w:eastAsia="宋体" w:cs="宋体"/>
          <w:color w:val="auto"/>
          <w:sz w:val="24"/>
          <w:szCs w:val="24"/>
          <w:highlight w:val="none"/>
        </w:rPr>
        <w:t>(2)承包人已按照第57.2款规定提交竣工验收申请报告，但发包人未按照第58.3款规定完成合同工程验收的，以承包人提交竣工验收申请报告之日为实际竣工日期；</w:t>
      </w:r>
    </w:p>
    <w:p w14:paraId="0D7531C9">
      <w:pPr>
        <w:pStyle w:val="22"/>
        <w:tabs>
          <w:tab w:val="left" w:pos="1980"/>
          <w:tab w:val="left" w:pos="2160"/>
        </w:tabs>
        <w:adjustRightInd w:val="0"/>
        <w:snapToGrid w:val="0"/>
        <w:spacing w:line="300" w:lineRule="auto"/>
        <w:ind w:left="1617"/>
        <w:rPr>
          <w:rFonts w:hint="eastAsia" w:hAnsi="宋体" w:eastAsia="宋体" w:cs="宋体"/>
          <w:color w:val="auto"/>
          <w:sz w:val="24"/>
          <w:szCs w:val="24"/>
          <w:highlight w:val="none"/>
        </w:rPr>
      </w:pPr>
      <w:r>
        <w:rPr>
          <w:rFonts w:hint="eastAsia" w:hAnsi="宋体" w:eastAsia="宋体" w:cs="宋体"/>
          <w:color w:val="auto"/>
          <w:sz w:val="24"/>
          <w:szCs w:val="24"/>
          <w:highlight w:val="none"/>
        </w:rPr>
        <w:t>(3)工程未经竣工验收，发包人擅自使用的，以转移占有工程之日为实际竣工日期。</w:t>
      </w:r>
    </w:p>
    <w:p w14:paraId="34AA1DE2">
      <w:pPr>
        <w:pStyle w:val="22"/>
        <w:adjustRightInd w:val="0"/>
        <w:snapToGrid w:val="0"/>
        <w:spacing w:line="300" w:lineRule="auto"/>
        <w:ind w:left="1626" w:leftChars="1" w:hanging="1624" w:hangingChars="674"/>
        <w:rPr>
          <w:rFonts w:hint="eastAsia"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38.3  </w:t>
      </w:r>
      <w:r>
        <w:rPr>
          <w:rFonts w:hint="eastAsia" w:hAnsi="宋体" w:eastAsia="宋体" w:cs="宋体"/>
          <w:b/>
          <w:bCs/>
          <w:color w:val="auto"/>
          <w:sz w:val="24"/>
          <w:szCs w:val="24"/>
          <w:highlight w:val="none"/>
          <w:u w:val="dotted"/>
        </w:rPr>
        <w:t xml:space="preserve">                                                                                                        </w:t>
      </w:r>
    </w:p>
    <w:p w14:paraId="7EB77F31">
      <w:pPr>
        <w:pStyle w:val="6"/>
        <w:adjustRightInd w:val="0"/>
        <w:snapToGrid w:val="0"/>
        <w:spacing w:line="300" w:lineRule="auto"/>
        <w:ind w:left="1619" w:leftChars="77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14912" behindDoc="0" locked="0" layoutInCell="1" allowOverlap="1">
                <wp:simplePos x="0" y="0"/>
                <wp:positionH relativeFrom="column">
                  <wp:posOffset>-114300</wp:posOffset>
                </wp:positionH>
                <wp:positionV relativeFrom="paragraph">
                  <wp:posOffset>47625</wp:posOffset>
                </wp:positionV>
                <wp:extent cx="914400" cy="455930"/>
                <wp:effectExtent l="0" t="0" r="0" b="0"/>
                <wp:wrapNone/>
                <wp:docPr id="1178" name="00016d"/>
                <wp:cNvGraphicFramePr/>
                <a:graphic xmlns:a="http://schemas.openxmlformats.org/drawingml/2006/main">
                  <a:graphicData uri="http://schemas.microsoft.com/office/word/2010/wordprocessingShape">
                    <wps:wsp>
                      <wps:cNvSpPr/>
                      <wps:spPr>
                        <a:xfrm>
                          <a:off x="0" y="0"/>
                          <a:ext cx="914400" cy="455930"/>
                        </a:xfrm>
                        <a:prstGeom prst="rect">
                          <a:avLst/>
                        </a:prstGeom>
                        <a:ln>
                          <a:noFill/>
                        </a:ln>
                      </wps:spPr>
                      <wps:txbx>
                        <w:txbxContent>
                          <w:p w14:paraId="09D356EF">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延迟竣工的责任</w:t>
                            </w:r>
                          </w:p>
                        </w:txbxContent>
                      </wps:txbx>
                      <wps:bodyPr wrap="square"/>
                    </wps:wsp>
                  </a:graphicData>
                </a:graphic>
              </wp:anchor>
            </w:drawing>
          </mc:Choice>
          <mc:Fallback>
            <w:pict>
              <v:rect id="00016d" o:spid="_x0000_s1026" o:spt="1" style="position:absolute;left:0pt;margin-left:-9pt;margin-top:3.75pt;height:35.9pt;width:72pt;z-index:251814912;mso-width-relative:page;mso-height-relative:page;" filled="f" stroked="f" coordsize="21600,21600" o:gfxdata="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mKUxF2QAAAAgBAAAPAAAAAAAAAAEAIAAAACIA&#10;AABkcnMvZG93bnJldi54bWxQSwECFAAUAAAACACHTuJAH9jVzpYBAAA4AwAADgAAAAAAAAABACAA&#10;AAAoAQAAZHJzL2Uyb0RvYy54bWxQSwUGAAAAAAYABgBZAQAAMAUAAAAA&#10;">
                <v:fill on="f" focussize="0,0"/>
                <v:stroke on="f"/>
                <v:imagedata o:title=""/>
                <o:lock v:ext="edit" aspectratio="f"/>
                <v:textbox>
                  <w:txbxContent>
                    <w:p w14:paraId="09D356EF">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延迟竣工的责任</w:t>
                      </w:r>
                    </w:p>
                  </w:txbxContent>
                </v:textbox>
              </v:rect>
            </w:pict>
          </mc:Fallback>
        </mc:AlternateContent>
      </w:r>
      <w:r>
        <w:rPr>
          <w:rFonts w:hint="eastAsia" w:ascii="宋体" w:hAnsi="宋体" w:eastAsia="宋体" w:cs="宋体"/>
          <w:color w:val="auto"/>
          <w:sz w:val="24"/>
          <w:highlight w:val="none"/>
        </w:rPr>
        <w:t>因发包人的原因导致实际竣工日期迟于计划竣工日期的，发包人应承担由此增加的费用和（或）延误的工期，并向承包人支付合理利润。</w:t>
      </w:r>
    </w:p>
    <w:p w14:paraId="6A2239F7">
      <w:pPr>
        <w:spacing w:line="300" w:lineRule="auto"/>
        <w:ind w:left="1619" w:leftChars="771" w:firstLine="60" w:firstLineChars="25"/>
        <w:rPr>
          <w:rFonts w:hint="eastAsia" w:ascii="宋体" w:hAnsi="宋体" w:eastAsia="宋体" w:cs="宋体"/>
          <w:caps/>
          <w:color w:val="auto"/>
          <w:sz w:val="24"/>
          <w:highlight w:val="none"/>
        </w:rPr>
      </w:pPr>
      <w:r>
        <w:rPr>
          <w:rFonts w:hint="eastAsia" w:ascii="宋体" w:hAnsi="宋体" w:eastAsia="宋体" w:cs="宋体"/>
          <w:color w:val="auto"/>
          <w:sz w:val="24"/>
          <w:highlight w:val="none"/>
        </w:rPr>
        <w:t>因承包人的原因导致实际竣工日期迟于计划竣工日期的，承包人应按照第40条规定</w:t>
      </w:r>
      <w:r>
        <w:rPr>
          <w:rFonts w:hint="eastAsia" w:ascii="宋体" w:hAnsi="宋体" w:eastAsia="宋体" w:cs="宋体"/>
          <w:caps/>
          <w:color w:val="auto"/>
          <w:sz w:val="24"/>
          <w:highlight w:val="none"/>
        </w:rPr>
        <w:t>赔偿发包人由此造成的损失，并向发包人支付误期赔偿费。</w:t>
      </w:r>
    </w:p>
    <w:p w14:paraId="4B94CAD0">
      <w:pPr>
        <w:spacing w:line="300" w:lineRule="auto"/>
        <w:rPr>
          <w:rFonts w:hint="eastAsia" w:ascii="宋体" w:hAnsi="宋体" w:eastAsia="宋体" w:cs="宋体"/>
          <w:caps/>
          <w:color w:val="auto"/>
          <w:sz w:val="24"/>
          <w:highlight w:val="none"/>
          <w:u w:val="single"/>
        </w:rPr>
      </w:pPr>
      <w:r>
        <w:rPr>
          <w:rFonts w:hint="eastAsia" w:ascii="宋体" w:hAnsi="宋体" w:eastAsia="宋体" w:cs="宋体"/>
          <w:b/>
          <w:bCs/>
          <w:caps/>
          <w:color w:val="auto"/>
          <w:sz w:val="24"/>
          <w:highlight w:val="none"/>
          <w:u w:val="single"/>
        </w:rPr>
        <w:t xml:space="preserve">                                                                                    </w:t>
      </w:r>
      <w:r>
        <w:rPr>
          <w:rFonts w:hint="eastAsia" w:ascii="宋体" w:hAnsi="宋体" w:eastAsia="宋体" w:cs="宋体"/>
          <w:caps/>
          <w:color w:val="auto"/>
          <w:sz w:val="24"/>
          <w:highlight w:val="none"/>
          <w:u w:val="single"/>
        </w:rPr>
        <w:t xml:space="preserve">                     </w:t>
      </w:r>
    </w:p>
    <w:p w14:paraId="1110ED08">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99" w:name="_Toc46860842"/>
      <w:bookmarkStart w:id="100" w:name="_Toc469384021"/>
      <w:r>
        <w:rPr>
          <w:rFonts w:hint="eastAsia" w:hAnsi="宋体" w:eastAsia="宋体" w:cs="宋体"/>
          <w:b/>
          <w:bCs/>
          <w:color w:val="auto"/>
          <w:sz w:val="24"/>
          <w:szCs w:val="24"/>
          <w:highlight w:val="none"/>
        </w:rPr>
        <w:t>39  提前竣工</w:t>
      </w:r>
      <w:bookmarkEnd w:id="99"/>
      <w:bookmarkEnd w:id="100"/>
    </w:p>
    <w:p w14:paraId="3A51778A">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39.1   </w:t>
      </w:r>
    </w:p>
    <w:p w14:paraId="4DC783AE">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815936"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1179" name="00016e"/>
                <wp:cNvGraphicFramePr/>
                <a:graphic xmlns:a="http://schemas.openxmlformats.org/drawingml/2006/main">
                  <a:graphicData uri="http://schemas.microsoft.com/office/word/2010/wordprocessingShape">
                    <wps:wsp>
                      <wps:cNvSpPr/>
                      <wps:spPr>
                        <a:xfrm>
                          <a:off x="0" y="0"/>
                          <a:ext cx="977900" cy="396240"/>
                        </a:xfrm>
                        <a:prstGeom prst="rect">
                          <a:avLst/>
                        </a:prstGeom>
                        <a:ln>
                          <a:noFill/>
                        </a:ln>
                      </wps:spPr>
                      <wps:txbx>
                        <w:txbxContent>
                          <w:p w14:paraId="510F0228">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提前竣工的要求</w:t>
                            </w:r>
                          </w:p>
                        </w:txbxContent>
                      </wps:txbx>
                      <wps:bodyPr wrap="square"/>
                    </wps:wsp>
                  </a:graphicData>
                </a:graphic>
              </wp:anchor>
            </w:drawing>
          </mc:Choice>
          <mc:Fallback>
            <w:pict>
              <v:rect id="00016e" o:spid="_x0000_s1026" o:spt="1" style="position:absolute;left:0pt;margin-left:-5.25pt;margin-top:2.4pt;height:31.2pt;width:77pt;z-index:251815936;mso-width-relative:page;mso-height-relative:page;" filled="f" stroked="f" coordsize="21600,21600" o:gfxdata="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LgkvgDYAAAACAEAAA8AAAAAAAAAAQAgAAAAIgAA&#10;AGRycy9kb3ducmV2LnhtbFBLAQIUABQAAAAIAIdO4kA8suVmlgEAADgDAAAOAAAAAAAAAAEAIAAA&#10;ACcBAABkcnMvZTJvRG9jLnhtbFBLBQYAAAAABgAGAFkBAAAvBQAAAAA=&#10;">
                <v:fill on="f" focussize="0,0"/>
                <v:stroke on="f"/>
                <v:imagedata o:title=""/>
                <o:lock v:ext="edit" aspectratio="f"/>
                <v:textbox>
                  <w:txbxContent>
                    <w:p w14:paraId="510F0228">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提前竣工的要求</w:t>
                      </w:r>
                    </w:p>
                  </w:txbxContent>
                </v:textbox>
              </v:rect>
            </w:pict>
          </mc:Fallback>
        </mc:AlternateContent>
      </w:r>
      <w:r>
        <w:rPr>
          <w:rFonts w:hint="eastAsia" w:hAnsi="宋体" w:eastAsia="宋体" w:cs="宋体"/>
          <w:color w:val="auto"/>
          <w:sz w:val="24"/>
          <w:szCs w:val="24"/>
          <w:highlight w:val="none"/>
        </w:rPr>
        <w:t>发包人要求承包人提前竣工，或承包人按照第37.2款规定提交提前竣工建议书为发包人接受的，监理工程师应与承包人商定采取加快工程进度的措施，并修订合同工程进度计划。</w:t>
      </w:r>
    </w:p>
    <w:p w14:paraId="4E9BD358">
      <w:pPr>
        <w:pStyle w:val="22"/>
        <w:adjustRightInd w:val="0"/>
        <w:snapToGrid w:val="0"/>
        <w:spacing w:line="300" w:lineRule="auto"/>
        <w:rPr>
          <w:rFonts w:hint="eastAsia"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39.2  </w:t>
      </w:r>
      <w:r>
        <w:rPr>
          <w:rFonts w:hint="eastAsia" w:hAnsi="宋体" w:eastAsia="宋体" w:cs="宋体"/>
          <w:b/>
          <w:bCs/>
          <w:color w:val="auto"/>
          <w:sz w:val="24"/>
          <w:szCs w:val="24"/>
          <w:highlight w:val="none"/>
          <w:u w:val="dotted"/>
        </w:rPr>
        <w:t xml:space="preserve">                                                                                                        </w:t>
      </w:r>
    </w:p>
    <w:p w14:paraId="6177A6A8">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816960"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180" name="00016f"/>
                <wp:cNvGraphicFramePr/>
                <a:graphic xmlns:a="http://schemas.openxmlformats.org/drawingml/2006/main">
                  <a:graphicData uri="http://schemas.microsoft.com/office/word/2010/wordprocessingShape">
                    <wps:wsp>
                      <wps:cNvSpPr/>
                      <wps:spPr>
                        <a:xfrm>
                          <a:off x="0" y="0"/>
                          <a:ext cx="977900" cy="396240"/>
                        </a:xfrm>
                        <a:prstGeom prst="rect">
                          <a:avLst/>
                        </a:prstGeom>
                        <a:ln>
                          <a:noFill/>
                        </a:ln>
                      </wps:spPr>
                      <wps:txbx>
                        <w:txbxContent>
                          <w:p w14:paraId="6A3D1963">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提前竣工天数的计算</w:t>
                            </w:r>
                          </w:p>
                        </w:txbxContent>
                      </wps:txbx>
                      <wps:bodyPr wrap="square"/>
                    </wps:wsp>
                  </a:graphicData>
                </a:graphic>
              </wp:anchor>
            </w:drawing>
          </mc:Choice>
          <mc:Fallback>
            <w:pict>
              <v:rect id="00016f" o:spid="_x0000_s1026" o:spt="1" style="position:absolute;left:0pt;margin-left:-9pt;margin-top:0.45pt;height:31.2pt;width:77pt;z-index:251816960;mso-width-relative:page;mso-height-relative:page;" filled="f" stroked="f" coordsize="21600,21600" o:gfxdata="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nCgGItcAAAAHAQAADwAAAAAAAAABACAAAAAiAAAA&#10;ZHJzL2Rvd25yZXYueG1sUEsBAhQAFAAAAAgAh07iQBPoEIaWAQAAOAMAAA4AAAAAAAAAAQAgAAAA&#10;JgEAAGRycy9lMm9Eb2MueG1sUEsFBgAAAAAGAAYAWQEAAC4FAAAAAA==&#10;">
                <v:fill on="f" focussize="0,0"/>
                <v:stroke on="f"/>
                <v:imagedata o:title=""/>
                <o:lock v:ext="edit" aspectratio="f"/>
                <v:textbox>
                  <w:txbxContent>
                    <w:p w14:paraId="6A3D1963">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提前竣工天数的计算</w:t>
                      </w:r>
                    </w:p>
                  </w:txbxContent>
                </v:textbox>
              </v:rect>
            </w:pict>
          </mc:Fallback>
        </mc:AlternateContent>
      </w:r>
      <w:r>
        <w:rPr>
          <w:rFonts w:hint="eastAsia" w:hAnsi="宋体" w:eastAsia="宋体" w:cs="宋体"/>
          <w:color w:val="auto"/>
          <w:sz w:val="24"/>
          <w:szCs w:val="24"/>
          <w:highlight w:val="none"/>
        </w:rPr>
        <w:t>提前竣工天数按照第38.2款规定确定的计划竣工天数减去实际竣工天数计算，其公式为：</w:t>
      </w:r>
    </w:p>
    <w:p w14:paraId="61DAB856">
      <w:pPr>
        <w:pStyle w:val="22"/>
        <w:adjustRightInd w:val="0"/>
        <w:snapToGrid w:val="0"/>
        <w:spacing w:line="300" w:lineRule="auto"/>
        <w:ind w:firstLine="1680" w:firstLineChars="700"/>
        <w:rPr>
          <w:rFonts w:hint="eastAsia" w:hAnsi="宋体" w:eastAsia="宋体" w:cs="宋体"/>
          <w:color w:val="auto"/>
          <w:sz w:val="24"/>
          <w:szCs w:val="24"/>
          <w:highlight w:val="none"/>
        </w:rPr>
      </w:pPr>
      <w:r>
        <w:rPr>
          <w:rFonts w:hint="eastAsia" w:hAnsi="宋体" w:eastAsia="宋体" w:cs="宋体"/>
          <w:color w:val="auto"/>
          <w:sz w:val="24"/>
          <w:szCs w:val="24"/>
          <w:highlight w:val="none"/>
        </w:rPr>
        <w:t>提前竣工天数=计划竣工天数 — 实际竣工天数</w:t>
      </w:r>
    </w:p>
    <w:p w14:paraId="7F2E10D6">
      <w:pPr>
        <w:pStyle w:val="22"/>
        <w:tabs>
          <w:tab w:val="left" w:pos="1980"/>
          <w:tab w:val="left" w:pos="2160"/>
        </w:tabs>
        <w:adjustRightInd w:val="0"/>
        <w:snapToGrid w:val="0"/>
        <w:spacing w:line="300" w:lineRule="auto"/>
        <w:ind w:left="1616"/>
        <w:rPr>
          <w:rFonts w:hint="eastAsia" w:hAnsi="宋体" w:eastAsia="宋体" w:cs="宋体"/>
          <w:color w:val="auto"/>
          <w:sz w:val="24"/>
          <w:szCs w:val="24"/>
          <w:highlight w:val="none"/>
        </w:rPr>
      </w:pPr>
      <w:r>
        <w:rPr>
          <w:rFonts w:hint="eastAsia" w:hAnsi="宋体" w:eastAsia="宋体" w:cs="宋体"/>
          <w:color w:val="auto"/>
          <w:sz w:val="24"/>
          <w:szCs w:val="24"/>
          <w:highlight w:val="none"/>
        </w:rPr>
        <w:t>合同工程提前竣工，发包人应承担承包人由此增加的费用，并按照第66.1款规定向承包人支付提前竣工奖。</w:t>
      </w:r>
    </w:p>
    <w:p w14:paraId="29A6F289">
      <w:pPr>
        <w:pStyle w:val="22"/>
        <w:tabs>
          <w:tab w:val="left" w:pos="540"/>
        </w:tabs>
        <w:adjustRightInd w:val="0"/>
        <w:snapToGrid w:val="0"/>
        <w:spacing w:before="240" w:beforeLines="100" w:line="300" w:lineRule="auto"/>
        <w:rPr>
          <w:rFonts w:hint="eastAsia" w:hAnsi="宋体" w:eastAsia="宋体" w:cs="宋体"/>
          <w:b/>
          <w:bCs/>
          <w:caps/>
          <w:color w:val="auto"/>
          <w:sz w:val="24"/>
          <w:szCs w:val="24"/>
          <w:highlight w:val="none"/>
          <w:u w:val="single"/>
        </w:rPr>
      </w:pPr>
      <w:r>
        <w:rPr>
          <w:rFonts w:hint="eastAsia" w:hAnsi="宋体" w:eastAsia="宋体" w:cs="宋体"/>
          <w:b/>
          <w:bCs/>
          <w:caps/>
          <w:color w:val="auto"/>
          <w:sz w:val="24"/>
          <w:szCs w:val="24"/>
          <w:highlight w:val="none"/>
          <w:u w:val="single"/>
        </w:rPr>
        <w:t xml:space="preserve">                                                                                </w:t>
      </w:r>
    </w:p>
    <w:p w14:paraId="3ACD452E">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101" w:name="_Toc469384022"/>
      <w:bookmarkStart w:id="102" w:name="_Toc46860843"/>
      <w:r>
        <w:rPr>
          <w:rFonts w:hint="eastAsia" w:hAnsi="宋体" w:eastAsia="宋体" w:cs="宋体"/>
          <w:b/>
          <w:bCs/>
          <w:color w:val="auto"/>
          <w:sz w:val="24"/>
          <w:szCs w:val="24"/>
          <w:highlight w:val="none"/>
        </w:rPr>
        <w:t>40  误期赔偿</w:t>
      </w:r>
      <w:bookmarkEnd w:id="101"/>
      <w:bookmarkEnd w:id="102"/>
    </w:p>
    <w:p w14:paraId="755E10E3">
      <w:pPr>
        <w:spacing w:line="300" w:lineRule="auto"/>
        <w:rPr>
          <w:rFonts w:hint="eastAsia" w:ascii="宋体" w:hAnsi="宋体" w:eastAsia="宋体" w:cs="宋体"/>
          <w:b/>
          <w:bCs/>
          <w:caps/>
          <w:color w:val="auto"/>
          <w:sz w:val="24"/>
          <w:highlight w:val="none"/>
        </w:rPr>
      </w:pPr>
      <w:r>
        <w:rPr>
          <w:rFonts w:hint="eastAsia" w:ascii="宋体" w:hAnsi="宋体" w:eastAsia="宋体" w:cs="宋体"/>
          <w:b/>
          <w:bCs/>
          <w:color w:val="auto"/>
          <w:sz w:val="24"/>
          <w:highlight w:val="none"/>
        </w:rPr>
        <w:t>40.1</w:t>
      </w:r>
    </w:p>
    <w:p w14:paraId="4CA6E79E">
      <w:pPr>
        <w:spacing w:line="300" w:lineRule="auto"/>
        <w:ind w:left="1619" w:leftChars="771"/>
        <w:rPr>
          <w:rFonts w:hint="eastAsia" w:ascii="宋体" w:hAnsi="宋体" w:eastAsia="宋体" w:cs="宋体"/>
          <w:cap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17984" behindDoc="0" locked="0" layoutInCell="1" allowOverlap="1">
                <wp:simplePos x="0" y="0"/>
                <wp:positionH relativeFrom="column">
                  <wp:posOffset>-133350</wp:posOffset>
                </wp:positionH>
                <wp:positionV relativeFrom="paragraph">
                  <wp:posOffset>102235</wp:posOffset>
                </wp:positionV>
                <wp:extent cx="977900" cy="328295"/>
                <wp:effectExtent l="0" t="0" r="0" b="0"/>
                <wp:wrapNone/>
                <wp:docPr id="1181" name="000170"/>
                <wp:cNvGraphicFramePr/>
                <a:graphic xmlns:a="http://schemas.openxmlformats.org/drawingml/2006/main">
                  <a:graphicData uri="http://schemas.microsoft.com/office/word/2010/wordprocessingShape">
                    <wps:wsp>
                      <wps:cNvSpPr/>
                      <wps:spPr>
                        <a:xfrm>
                          <a:off x="0" y="0"/>
                          <a:ext cx="977900" cy="328295"/>
                        </a:xfrm>
                        <a:prstGeom prst="rect">
                          <a:avLst/>
                        </a:prstGeom>
                        <a:ln>
                          <a:noFill/>
                        </a:ln>
                      </wps:spPr>
                      <wps:txbx>
                        <w:txbxContent>
                          <w:p w14:paraId="29B146D6">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误期的赔偿</w:t>
                            </w:r>
                          </w:p>
                        </w:txbxContent>
                      </wps:txbx>
                      <wps:bodyPr wrap="square"/>
                    </wps:wsp>
                  </a:graphicData>
                </a:graphic>
              </wp:anchor>
            </w:drawing>
          </mc:Choice>
          <mc:Fallback>
            <w:pict>
              <v:rect id="000170" o:spid="_x0000_s1026" o:spt="1" style="position:absolute;left:0pt;margin-left:-10.5pt;margin-top:8.05pt;height:25.85pt;width:77pt;z-index:251817984;mso-width-relative:page;mso-height-relative:page;" filled="f" stroked="f" coordsize="21600,21600" o:gfxdata="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JfXRo/ZAAAACQEAAA8AAAAAAAAAAQAgAAAAIgAA&#10;AGRycy9kb3ducmV2LnhtbFBLAQIUABQAAAAIAIdO4kBv/dF2lQEAADgDAAAOAAAAAAAAAAEAIAAA&#10;ACgBAABkcnMvZTJvRG9jLnhtbFBLBQYAAAAABgAGAFkBAAAvBQAAAAA=&#10;">
                <v:fill on="f" focussize="0,0"/>
                <v:stroke on="f"/>
                <v:imagedata o:title=""/>
                <o:lock v:ext="edit" aspectratio="f"/>
                <v:textbox>
                  <w:txbxContent>
                    <w:p w14:paraId="29B146D6">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误期的赔偿</w:t>
                      </w:r>
                    </w:p>
                  </w:txbxContent>
                </v:textbox>
              </v:rect>
            </w:pict>
          </mc:Fallback>
        </mc:AlternateContent>
      </w:r>
      <w:r>
        <w:rPr>
          <w:rFonts w:hint="eastAsia" w:ascii="宋体" w:hAnsi="宋体" w:eastAsia="宋体" w:cs="宋体"/>
          <w:caps/>
          <w:color w:val="auto"/>
          <w:sz w:val="24"/>
          <w:highlight w:val="none"/>
        </w:rPr>
        <w:t>如果承包人未按照第33.4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14:paraId="758B8B3E">
      <w:pPr>
        <w:spacing w:line="300" w:lineRule="auto"/>
        <w:rPr>
          <w:rFonts w:hint="eastAsia"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40.2  </w:t>
      </w:r>
      <w:r>
        <w:rPr>
          <w:rFonts w:hint="eastAsia" w:ascii="宋体" w:hAnsi="宋体" w:eastAsia="宋体" w:cs="宋体"/>
          <w:b/>
          <w:bCs/>
          <w:color w:val="auto"/>
          <w:sz w:val="24"/>
          <w:highlight w:val="none"/>
          <w:u w:val="dotted"/>
        </w:rPr>
        <w:t xml:space="preserve">                                                                                                        </w:t>
      </w:r>
    </w:p>
    <w:p w14:paraId="58A766B9">
      <w:pPr>
        <w:spacing w:line="300" w:lineRule="auto"/>
        <w:ind w:left="1619" w:leftChars="771"/>
        <w:rPr>
          <w:rFonts w:hint="eastAsia" w:ascii="宋体" w:hAnsi="宋体" w:eastAsia="宋体" w:cs="宋体"/>
          <w:cap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19008"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1182" name="000171"/>
                <wp:cNvGraphicFramePr/>
                <a:graphic xmlns:a="http://schemas.openxmlformats.org/drawingml/2006/main">
                  <a:graphicData uri="http://schemas.microsoft.com/office/word/2010/wordprocessingShape">
                    <wps:wsp>
                      <wps:cNvSpPr/>
                      <wps:spPr>
                        <a:xfrm>
                          <a:off x="0" y="0"/>
                          <a:ext cx="1071245" cy="791845"/>
                        </a:xfrm>
                        <a:prstGeom prst="rect">
                          <a:avLst/>
                        </a:prstGeom>
                        <a:ln>
                          <a:noFill/>
                        </a:ln>
                      </wps:spPr>
                      <wps:txbx>
                        <w:txbxContent>
                          <w:p w14:paraId="5BE67E1A">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实际延误天数</w:t>
                            </w:r>
                          </w:p>
                          <w:p w14:paraId="278E328F">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的计算</w:t>
                            </w:r>
                          </w:p>
                        </w:txbxContent>
                      </wps:txbx>
                      <wps:bodyPr wrap="square"/>
                    </wps:wsp>
                  </a:graphicData>
                </a:graphic>
              </wp:anchor>
            </w:drawing>
          </mc:Choice>
          <mc:Fallback>
            <w:pict>
              <v:rect id="000171" o:spid="_x0000_s1026" o:spt="1" style="position:absolute;left:0pt;margin-left:-9pt;margin-top:2.5pt;height:62.35pt;width:84.35pt;z-index:251819008;mso-width-relative:page;mso-height-relative:page;" filled="f" stroked="f" coordsize="21600,21600" o:gfxdata="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wXQQGNoAAAAJAQAADwAAAAAAAAABACAAAAAi&#10;AAAAZHJzL2Rvd25yZXYueG1sUEsBAhQAFAAAAAgAh07iQOJkY5WWAQAAOQMAAA4AAAAAAAAAAQAg&#10;AAAAKQEAAGRycy9lMm9Eb2MueG1sUEsFBgAAAAAGAAYAWQEAADEFAAAAAA==&#10;">
                <v:fill on="f" focussize="0,0"/>
                <v:stroke on="f"/>
                <v:imagedata o:title=""/>
                <o:lock v:ext="edit" aspectratio="f"/>
                <v:textbox>
                  <w:txbxContent>
                    <w:p w14:paraId="5BE67E1A">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实际延误天数</w:t>
                      </w:r>
                    </w:p>
                    <w:p w14:paraId="278E328F">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的计算</w:t>
                      </w:r>
                    </w:p>
                  </w:txbxContent>
                </v:textbox>
              </v:rect>
            </w:pict>
          </mc:Fallback>
        </mc:AlternateContent>
      </w:r>
      <w:r>
        <w:rPr>
          <w:rFonts w:hint="eastAsia" w:ascii="宋体" w:hAnsi="宋体" w:eastAsia="宋体" w:cs="宋体"/>
          <w:caps/>
          <w:color w:val="auto"/>
          <w:sz w:val="24"/>
          <w:highlight w:val="none"/>
        </w:rPr>
        <w:t>误期（实际延误天数）按照实际施工天数减去计划施工天数计算，其公式为：</w:t>
      </w:r>
    </w:p>
    <w:p w14:paraId="2C06D9C2">
      <w:pPr>
        <w:spacing w:line="300" w:lineRule="auto"/>
        <w:ind w:firstLine="1680" w:firstLineChars="700"/>
        <w:rPr>
          <w:rFonts w:hint="eastAsia" w:ascii="宋体" w:hAnsi="宋体" w:eastAsia="宋体" w:cs="宋体"/>
          <w:caps/>
          <w:color w:val="auto"/>
          <w:sz w:val="24"/>
          <w:highlight w:val="none"/>
        </w:rPr>
      </w:pPr>
      <w:r>
        <w:rPr>
          <w:rFonts w:hint="eastAsia" w:ascii="宋体" w:hAnsi="宋体" w:eastAsia="宋体" w:cs="宋体"/>
          <w:caps/>
          <w:color w:val="auto"/>
          <w:sz w:val="24"/>
          <w:highlight w:val="none"/>
        </w:rPr>
        <w:t>实际延误天数＝实际施工天数 － 计划施工天数</w:t>
      </w:r>
    </w:p>
    <w:p w14:paraId="27512E7A">
      <w:pPr>
        <w:spacing w:line="300" w:lineRule="auto"/>
        <w:ind w:left="1680" w:leftChars="800"/>
        <w:rPr>
          <w:rFonts w:hint="eastAsia" w:ascii="宋体" w:hAnsi="宋体" w:eastAsia="宋体" w:cs="宋体"/>
          <w:caps/>
          <w:color w:val="auto"/>
          <w:sz w:val="24"/>
          <w:highlight w:val="none"/>
        </w:rPr>
      </w:pPr>
      <w:r>
        <w:rPr>
          <w:rFonts w:hint="eastAsia" w:ascii="宋体" w:hAnsi="宋体" w:eastAsia="宋体" w:cs="宋体"/>
          <w:caps/>
          <w:color w:val="auto"/>
          <w:sz w:val="24"/>
          <w:highlight w:val="none"/>
        </w:rPr>
        <w:t>合同工程发生误期，承包人应赔偿发包人由此造成的损失，并按照第66.2款规定向发包人支付误期赔偿费。</w:t>
      </w:r>
    </w:p>
    <w:p w14:paraId="68259EA4">
      <w:pPr>
        <w:pStyle w:val="22"/>
        <w:adjustRightInd w:val="0"/>
        <w:snapToGrid w:val="0"/>
        <w:spacing w:line="300" w:lineRule="auto"/>
        <w:ind w:right="-238"/>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6ACC08D1">
      <w:pPr>
        <w:pStyle w:val="22"/>
        <w:adjustRightInd w:val="0"/>
        <w:snapToGrid w:val="0"/>
        <w:spacing w:line="300" w:lineRule="auto"/>
        <w:ind w:firstLine="2768" w:firstLineChars="1149"/>
        <w:outlineLvl w:val="1"/>
        <w:rPr>
          <w:rFonts w:hint="eastAsia" w:hAnsi="宋体" w:eastAsia="宋体" w:cs="宋体"/>
          <w:b/>
          <w:bCs/>
          <w:color w:val="auto"/>
          <w:sz w:val="24"/>
          <w:szCs w:val="24"/>
          <w:highlight w:val="none"/>
        </w:rPr>
      </w:pPr>
      <w:bookmarkStart w:id="103" w:name="_Toc469384023"/>
      <w:bookmarkStart w:id="104" w:name="_Toc46860844"/>
      <w:r>
        <w:rPr>
          <w:rFonts w:hint="eastAsia" w:hAnsi="宋体" w:eastAsia="宋体" w:cs="宋体"/>
          <w:b/>
          <w:bCs/>
          <w:color w:val="auto"/>
          <w:sz w:val="24"/>
          <w:szCs w:val="24"/>
          <w:highlight w:val="none"/>
        </w:rPr>
        <w:t>五、质量与安全</w:t>
      </w:r>
      <w:bookmarkEnd w:id="103"/>
      <w:bookmarkEnd w:id="104"/>
    </w:p>
    <w:p w14:paraId="6F601354">
      <w:pPr>
        <w:pStyle w:val="22"/>
        <w:adjustRightInd w:val="0"/>
        <w:snapToGrid w:val="0"/>
        <w:spacing w:line="300" w:lineRule="auto"/>
        <w:outlineLvl w:val="2"/>
        <w:rPr>
          <w:rFonts w:hint="eastAsia" w:hAnsi="宋体" w:eastAsia="宋体" w:cs="宋体"/>
          <w:b/>
          <w:bCs/>
          <w:color w:val="auto"/>
          <w:sz w:val="24"/>
          <w:szCs w:val="24"/>
          <w:highlight w:val="none"/>
        </w:rPr>
      </w:pPr>
      <w:bookmarkStart w:id="105" w:name="_Toc46860845"/>
      <w:bookmarkStart w:id="106" w:name="_Toc469384024"/>
      <w:r>
        <w:rPr>
          <w:rFonts w:hint="eastAsia" w:hAnsi="宋体" w:eastAsia="宋体" w:cs="宋体"/>
          <w:b/>
          <w:bCs/>
          <w:color w:val="auto"/>
          <w:sz w:val="24"/>
          <w:szCs w:val="24"/>
          <w:highlight w:val="none"/>
        </w:rPr>
        <w:t>★41  质量与安全管理</w:t>
      </w:r>
      <w:bookmarkEnd w:id="105"/>
      <w:bookmarkEnd w:id="106"/>
    </w:p>
    <w:p w14:paraId="0160732A">
      <w:pPr>
        <w:tabs>
          <w:tab w:val="left" w:pos="780"/>
        </w:tabs>
        <w:adjustRightInd w:val="0"/>
        <w:snapToGrid w:val="0"/>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41.1 </w:t>
      </w:r>
      <w:r>
        <w:rPr>
          <w:rFonts w:hint="eastAsia" w:ascii="宋体" w:hAnsi="宋体" w:eastAsia="宋体" w:cs="宋体"/>
          <w:b/>
          <w:bCs/>
          <w:color w:val="auto"/>
          <w:sz w:val="24"/>
          <w:highlight w:val="none"/>
        </w:rPr>
        <w:tab/>
      </w:r>
    </w:p>
    <w:p w14:paraId="2B4E9A73">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820032"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1183" name="000172"/>
                <wp:cNvGraphicFramePr/>
                <a:graphic xmlns:a="http://schemas.openxmlformats.org/drawingml/2006/main">
                  <a:graphicData uri="http://schemas.microsoft.com/office/word/2010/wordprocessingShape">
                    <wps:wsp>
                      <wps:cNvSpPr/>
                      <wps:spPr>
                        <a:xfrm>
                          <a:off x="0" y="0"/>
                          <a:ext cx="914400" cy="526415"/>
                        </a:xfrm>
                        <a:prstGeom prst="rect">
                          <a:avLst/>
                        </a:prstGeom>
                        <a:ln>
                          <a:noFill/>
                        </a:ln>
                      </wps:spPr>
                      <wps:txbx>
                        <w:txbxContent>
                          <w:p w14:paraId="67D989E2">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履行职责和义务</w:t>
                            </w:r>
                          </w:p>
                        </w:txbxContent>
                      </wps:txbx>
                      <wps:bodyPr wrap="square"/>
                    </wps:wsp>
                  </a:graphicData>
                </a:graphic>
              </wp:anchor>
            </w:drawing>
          </mc:Choice>
          <mc:Fallback>
            <w:pict>
              <v:rect id="000172" o:spid="_x0000_s1026" o:spt="1" style="position:absolute;left:0pt;margin-left:-9pt;margin-top:-0.5pt;height:41.45pt;width:72pt;z-index:251820032;mso-width-relative:page;mso-height-relative:page;" filled="f" stroked="f" coordsize="21600,21600" o:gfxdata="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EOKJqzYAAAACQEAAA8AAAAAAAAAAQAgAAAAIgAA&#10;AGRycy9kb3ducmV2LnhtbFBLAQIUABQAAAAIAIdO4kB85l51lgEAADgDAAAOAAAAAAAAAAEAIAAA&#10;ACcBAABkcnMvZTJvRG9jLnhtbFBLBQYAAAAABgAGAFkBAAAvBQAAAAA=&#10;">
                <v:fill on="f" focussize="0,0"/>
                <v:stroke on="f"/>
                <v:imagedata o:title=""/>
                <o:lock v:ext="edit" aspectratio="f"/>
                <v:textbox>
                  <w:txbxContent>
                    <w:p w14:paraId="67D989E2">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履行职责和义务</w:t>
                      </w:r>
                    </w:p>
                  </w:txbxContent>
                </v:textbox>
              </v:rect>
            </w:pict>
          </mc:Fallback>
        </mc:AlternateContent>
      </w:r>
      <w:r>
        <w:rPr>
          <w:rFonts w:hint="eastAsia" w:hAnsi="宋体" w:eastAsia="宋体" w:cs="宋体"/>
          <w:color w:val="auto"/>
          <w:sz w:val="24"/>
          <w:szCs w:val="24"/>
          <w:highlight w:val="none"/>
        </w:rPr>
        <w:t>合同双方当事人应严格遵守国家、省有关工程质量和施工安全的法律法规、标准与规范等规定，认真履行合同约定的工程质量和施工安全的职责和义务。如发生质量、安全方面的问题、隐患，合同双方当事人应按照国家规定时限如实上报政府有关部门，配合政府有关部门的调查、处理，由此发生的费用和（或）延误的工期由责任方承担。</w:t>
      </w:r>
    </w:p>
    <w:p w14:paraId="48F93AE0">
      <w:pPr>
        <w:pStyle w:val="6"/>
        <w:adjustRightInd w:val="0"/>
        <w:snapToGrid w:val="0"/>
        <w:spacing w:line="30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41.2  </w:t>
      </w:r>
      <w:r>
        <w:rPr>
          <w:rFonts w:hint="eastAsia" w:ascii="宋体" w:hAnsi="宋体" w:eastAsia="宋体" w:cs="宋体"/>
          <w:b/>
          <w:bCs/>
          <w:color w:val="auto"/>
          <w:sz w:val="24"/>
          <w:highlight w:val="none"/>
          <w:u w:val="dotted"/>
        </w:rPr>
        <w:t xml:space="preserve">                                                                               </w:t>
      </w:r>
    </w:p>
    <w:p w14:paraId="4D0F6D80">
      <w:pPr>
        <w:pStyle w:val="6"/>
        <w:adjustRightInd w:val="0"/>
        <w:snapToGrid w:val="0"/>
        <w:spacing w:line="300" w:lineRule="auto"/>
        <w:ind w:left="1619" w:leftChars="77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21056"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1184" name="000173"/>
                <wp:cNvGraphicFramePr/>
                <a:graphic xmlns:a="http://schemas.openxmlformats.org/drawingml/2006/main">
                  <a:graphicData uri="http://schemas.microsoft.com/office/word/2010/wordprocessingShape">
                    <wps:wsp>
                      <wps:cNvSpPr/>
                      <wps:spPr>
                        <a:xfrm>
                          <a:off x="0" y="0"/>
                          <a:ext cx="914400" cy="410210"/>
                        </a:xfrm>
                        <a:prstGeom prst="rect">
                          <a:avLst/>
                        </a:prstGeom>
                        <a:ln>
                          <a:noFill/>
                        </a:ln>
                      </wps:spPr>
                      <wps:txbx>
                        <w:txbxContent>
                          <w:p w14:paraId="5169E103">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质量与安全的监管</w:t>
                            </w:r>
                          </w:p>
                        </w:txbxContent>
                      </wps:txbx>
                      <wps:bodyPr wrap="square"/>
                    </wps:wsp>
                  </a:graphicData>
                </a:graphic>
              </wp:anchor>
            </w:drawing>
          </mc:Choice>
          <mc:Fallback>
            <w:pict>
              <v:rect id="000173" o:spid="_x0000_s1026" o:spt="1" style="position:absolute;left:0pt;margin-left:-9pt;margin-top:2.8pt;height:32.3pt;width:72pt;z-index:251821056;mso-width-relative:page;mso-height-relative:page;" filled="f" stroked="f" coordsize="21600,21600" o:gfxdata="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IsXY9TYAAAACAEAAA8AAAAAAAAAAQAgAAAAIgAA&#10;AGRycy9kb3ducmV2LnhtbFBLAQIUABQAAAAIAIdO4kDt17/plgEAADgDAAAOAAAAAAAAAAEAIAAA&#10;ACcBAABkcnMvZTJvRG9jLnhtbFBLBQYAAAAABgAGAFkBAAAvBQAAAAA=&#10;">
                <v:fill on="f" focussize="0,0"/>
                <v:stroke on="f"/>
                <v:imagedata o:title=""/>
                <o:lock v:ext="edit" aspectratio="f"/>
                <v:textbox>
                  <w:txbxContent>
                    <w:p w14:paraId="5169E103">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质量与安全的监管</w:t>
                      </w:r>
                    </w:p>
                  </w:txbxContent>
                </v:textbox>
              </v:rect>
            </w:pict>
          </mc:Fallback>
        </mc:AlternateContent>
      </w:r>
      <w:r>
        <w:rPr>
          <w:rFonts w:hint="eastAsia" w:ascii="宋体" w:hAnsi="宋体" w:eastAsia="宋体" w:cs="宋体"/>
          <w:color w:val="auto"/>
          <w:sz w:val="24"/>
          <w:highlight w:val="none"/>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14:paraId="4B832DE6">
      <w:pPr>
        <w:pStyle w:val="6"/>
        <w:adjustRightInd w:val="0"/>
        <w:snapToGrid w:val="0"/>
        <w:spacing w:line="300" w:lineRule="auto"/>
        <w:ind w:firstLine="48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22080"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1185" name="000174"/>
                <wp:cNvGraphicFramePr/>
                <a:graphic xmlns:a="http://schemas.openxmlformats.org/drawingml/2006/main">
                  <a:graphicData uri="http://schemas.microsoft.com/office/word/2010/wordprocessingShape">
                    <wps:wsp>
                      <wps:cNvSpPr/>
                      <wps:spPr>
                        <a:xfrm>
                          <a:off x="0" y="0"/>
                          <a:ext cx="914400" cy="342899"/>
                        </a:xfrm>
                        <a:prstGeom prst="rect">
                          <a:avLst/>
                        </a:prstGeom>
                        <a:ln>
                          <a:noFill/>
                        </a:ln>
                      </wps:spPr>
                      <wps:txbx>
                        <w:txbxContent>
                          <w:p w14:paraId="482570AC">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管理的要求</w:t>
                            </w:r>
                          </w:p>
                        </w:txbxContent>
                      </wps:txbx>
                      <wps:bodyPr wrap="square"/>
                    </wps:wsp>
                  </a:graphicData>
                </a:graphic>
              </wp:anchor>
            </w:drawing>
          </mc:Choice>
          <mc:Fallback>
            <w:pict>
              <v:rect id="000174" o:spid="_x0000_s1026" o:spt="1" style="position:absolute;left:0pt;margin-left:-9pt;margin-top:21.85pt;height:27pt;width:72pt;z-index:251822080;mso-width-relative:page;mso-height-relative:page;" filled="f" stroked="f" coordsize="21600,21600" o:gfxdata="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kX3YKtoAAAAJAQAADwAAAAAAAAABACAAAAAi&#10;AAAAZHJzL2Rvd25yZXYueG1sUEsBAhQAFAAAAAgAh07iQMH8DVOWAQAAOAMAAA4AAAAAAAAAAQAg&#10;AAAAKQEAAGRycy9lMm9Eb2MueG1sUEsFBgAAAAAGAAYAWQEAADEFAAAAAA==&#10;">
                <v:fill on="f" focussize="0,0"/>
                <v:stroke on="f"/>
                <v:imagedata o:title=""/>
                <o:lock v:ext="edit" aspectratio="f"/>
                <v:textbox>
                  <w:txbxContent>
                    <w:p w14:paraId="482570AC">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管理的要求</w:t>
                      </w:r>
                    </w:p>
                  </w:txbxContent>
                </v:textbox>
              </v:rect>
            </w:pict>
          </mc:Fallback>
        </mc:AlternateContent>
      </w:r>
      <w:r>
        <w:rPr>
          <w:rFonts w:hint="eastAsia" w:ascii="宋体" w:hAnsi="宋体" w:eastAsia="宋体" w:cs="宋体"/>
          <w:b/>
          <w:bCs/>
          <w:color w:val="auto"/>
          <w:sz w:val="24"/>
          <w:highlight w:val="none"/>
        </w:rPr>
        <w:t xml:space="preserve">41.3  </w:t>
      </w:r>
      <w:r>
        <w:rPr>
          <w:rFonts w:hint="eastAsia" w:ascii="宋体" w:hAnsi="宋体" w:eastAsia="宋体" w:cs="宋体"/>
          <w:b/>
          <w:bCs/>
          <w:color w:val="auto"/>
          <w:sz w:val="24"/>
          <w:highlight w:val="none"/>
          <w:u w:val="dotted"/>
        </w:rPr>
        <w:t xml:space="preserve">                                                                                                       </w:t>
      </w:r>
    </w:p>
    <w:p w14:paraId="3E87015B">
      <w:pPr>
        <w:pStyle w:val="6"/>
        <w:adjustRightInd w:val="0"/>
        <w:snapToGrid w:val="0"/>
        <w:spacing w:line="300" w:lineRule="auto"/>
        <w:ind w:left="1619" w:leftChars="77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14:paraId="0D2EB28F">
      <w:pPr>
        <w:pStyle w:val="6"/>
        <w:adjustRightInd w:val="0"/>
        <w:snapToGrid w:val="0"/>
        <w:spacing w:line="30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23104"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1186" name="000175"/>
                <wp:cNvGraphicFramePr/>
                <a:graphic xmlns:a="http://schemas.openxmlformats.org/drawingml/2006/main">
                  <a:graphicData uri="http://schemas.microsoft.com/office/word/2010/wordprocessingShape">
                    <wps:wsp>
                      <wps:cNvSpPr/>
                      <wps:spPr>
                        <a:xfrm>
                          <a:off x="0" y="0"/>
                          <a:ext cx="914400" cy="389890"/>
                        </a:xfrm>
                        <a:prstGeom prst="rect">
                          <a:avLst/>
                        </a:prstGeom>
                        <a:ln>
                          <a:noFill/>
                        </a:ln>
                      </wps:spPr>
                      <wps:txbx>
                        <w:txbxContent>
                          <w:p w14:paraId="5EDDB2BA">
                            <w:pPr>
                              <w:spacing w:line="240" w:lineRule="exact"/>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承包人对质量与安全负责</w:t>
                            </w:r>
                          </w:p>
                        </w:txbxContent>
                      </wps:txbx>
                      <wps:bodyPr wrap="square"/>
                    </wps:wsp>
                  </a:graphicData>
                </a:graphic>
              </wp:anchor>
            </w:drawing>
          </mc:Choice>
          <mc:Fallback>
            <w:pict>
              <v:rect id="000175" o:spid="_x0000_s1026" o:spt="1" style="position:absolute;left:0pt;margin-left:-9.1pt;margin-top:22pt;height:30.7pt;width:72pt;z-index:251823104;mso-width-relative:page;mso-height-relative:page;" filled="f" stroked="f" coordsize="21600,21600" o:gfxdata="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UT73raAAAACgEAAA8AAAAAAAAAAQAgAAAA&#10;IgAAAGRycy9kb3ducmV2LnhtbFBLAQIUABQAAAAIAIdO4kDQAYiJlwEAADgDAAAOAAAAAAAAAAEA&#10;IAAAACkBAABkcnMvZTJvRG9jLnhtbFBLBQYAAAAABgAGAFkBAAAyBQAAAAA=&#10;">
                <v:fill on="f" focussize="0,0"/>
                <v:stroke on="f"/>
                <v:imagedata o:title=""/>
                <o:lock v:ext="edit" aspectratio="f"/>
                <v:textbox>
                  <w:txbxContent>
                    <w:p w14:paraId="5EDDB2BA">
                      <w:pPr>
                        <w:spacing w:line="240" w:lineRule="exact"/>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承包人对质量与安全负责</w:t>
                      </w:r>
                    </w:p>
                  </w:txbxContent>
                </v:textbox>
              </v:rect>
            </w:pict>
          </mc:Fallback>
        </mc:AlternateContent>
      </w:r>
      <w:r>
        <w:rPr>
          <w:rFonts w:hint="eastAsia" w:ascii="宋体" w:hAnsi="宋体" w:eastAsia="宋体" w:cs="宋体"/>
          <w:b/>
          <w:bCs/>
          <w:color w:val="auto"/>
          <w:sz w:val="24"/>
          <w:highlight w:val="none"/>
        </w:rPr>
        <w:t xml:space="preserve">41.4  </w:t>
      </w:r>
      <w:r>
        <w:rPr>
          <w:rFonts w:hint="eastAsia" w:ascii="宋体" w:hAnsi="宋体" w:eastAsia="宋体" w:cs="宋体"/>
          <w:b/>
          <w:bCs/>
          <w:color w:val="auto"/>
          <w:sz w:val="24"/>
          <w:highlight w:val="none"/>
          <w:u w:val="dotted"/>
        </w:rPr>
        <w:t xml:space="preserve"> </w:t>
      </w:r>
      <w:r>
        <w:rPr>
          <w:rFonts w:hint="eastAsia" w:ascii="宋体" w:hAnsi="宋体" w:eastAsia="宋体" w:cs="宋体"/>
          <w:color w:val="auto"/>
          <w:sz w:val="24"/>
          <w:highlight w:val="none"/>
          <w:u w:val="dotted"/>
        </w:rPr>
        <w:t xml:space="preserve">                                                                                                       </w:t>
      </w:r>
    </w:p>
    <w:p w14:paraId="603638E9">
      <w:pPr>
        <w:pStyle w:val="6"/>
        <w:adjustRightInd w:val="0"/>
        <w:snapToGrid w:val="0"/>
        <w:spacing w:line="300" w:lineRule="auto"/>
        <w:ind w:left="1619" w:leftChars="77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14:paraId="536BE1D4">
      <w:pPr>
        <w:pStyle w:val="6"/>
        <w:adjustRightInd w:val="0"/>
        <w:snapToGrid w:val="0"/>
        <w:spacing w:line="300" w:lineRule="auto"/>
        <w:ind w:left="1619" w:leftChars="771" w:firstLine="0" w:firstLineChars="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因承包人原因造成工程质量未达到合同约定标准的，发包人有权要求承包人返工直至工程质量达到合同约定的标准为止，并由承包人承担由此增加的费用和延误工期的责任。</w:t>
      </w:r>
    </w:p>
    <w:p w14:paraId="7B50735F">
      <w:pPr>
        <w:pStyle w:val="6"/>
        <w:adjustRightInd w:val="0"/>
        <w:snapToGrid w:val="0"/>
        <w:spacing w:line="300" w:lineRule="auto"/>
        <w:ind w:firstLine="482"/>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41.5  </w:t>
      </w:r>
      <w:r>
        <w:rPr>
          <w:rFonts w:hint="eastAsia" w:ascii="宋体" w:hAnsi="宋体" w:eastAsia="宋体" w:cs="宋体"/>
          <w:b/>
          <w:bCs/>
          <w:color w:val="auto"/>
          <w:sz w:val="24"/>
          <w:highlight w:val="none"/>
          <w:u w:val="dotted"/>
        </w:rPr>
        <w:t xml:space="preserve"> </w:t>
      </w:r>
      <w:r>
        <w:rPr>
          <w:rFonts w:hint="eastAsia" w:ascii="宋体" w:hAnsi="宋体" w:eastAsia="宋体" w:cs="宋体"/>
          <w:color w:val="auto"/>
          <w:sz w:val="24"/>
          <w:highlight w:val="none"/>
          <w:u w:val="dotted"/>
        </w:rPr>
        <w:t xml:space="preserve">                                                                                </w:t>
      </w:r>
    </w:p>
    <w:p w14:paraId="16F79806">
      <w:pPr>
        <w:autoSpaceDE w:val="0"/>
        <w:autoSpaceDN w:val="0"/>
        <w:adjustRightInd w:val="0"/>
        <w:spacing w:line="300" w:lineRule="auto"/>
        <w:ind w:left="1495" w:leftChars="712"/>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24128" behindDoc="0" locked="0" layoutInCell="1" allowOverlap="1">
                <wp:simplePos x="0" y="0"/>
                <wp:positionH relativeFrom="column">
                  <wp:posOffset>-114300</wp:posOffset>
                </wp:positionH>
                <wp:positionV relativeFrom="paragraph">
                  <wp:posOffset>13970</wp:posOffset>
                </wp:positionV>
                <wp:extent cx="914400" cy="594360"/>
                <wp:effectExtent l="0" t="0" r="0" b="0"/>
                <wp:wrapNone/>
                <wp:docPr id="1187" name="000176"/>
                <wp:cNvGraphicFramePr/>
                <a:graphic xmlns:a="http://schemas.openxmlformats.org/drawingml/2006/main">
                  <a:graphicData uri="http://schemas.microsoft.com/office/word/2010/wordprocessingShape">
                    <wps:wsp>
                      <wps:cNvSpPr/>
                      <wps:spPr>
                        <a:xfrm>
                          <a:off x="0" y="0"/>
                          <a:ext cx="914400" cy="594360"/>
                        </a:xfrm>
                        <a:prstGeom prst="rect">
                          <a:avLst/>
                        </a:prstGeom>
                        <a:ln>
                          <a:noFill/>
                        </a:ln>
                      </wps:spPr>
                      <wps:txbx>
                        <w:txbxContent>
                          <w:p w14:paraId="60606428">
                            <w:pPr>
                              <w:spacing w:line="240" w:lineRule="exact"/>
                              <w:jc w:val="left"/>
                              <w:rPr>
                                <w:rFonts w:hint="eastAsia" w:ascii="楷体_GB2312" w:hAnsi="宋体" w:eastAsia="楷体_GB2312"/>
                                <w:b/>
                                <w:bCs/>
                                <w:sz w:val="18"/>
                                <w:szCs w:val="18"/>
                              </w:rPr>
                            </w:pPr>
                            <w:r>
                              <w:rPr>
                                <w:rFonts w:hint="eastAsia" w:ascii="楷体_GB2312" w:hAnsi="宋体" w:eastAsia="楷体_GB2312" w:cs="楷体_GB2312"/>
                                <w:b/>
                                <w:bCs/>
                                <w:sz w:val="18"/>
                                <w:szCs w:val="18"/>
                              </w:rPr>
                              <w:t>建设单位对质量与安全应负的责任</w:t>
                            </w:r>
                          </w:p>
                        </w:txbxContent>
                      </wps:txbx>
                      <wps:bodyPr wrap="square"/>
                    </wps:wsp>
                  </a:graphicData>
                </a:graphic>
              </wp:anchor>
            </w:drawing>
          </mc:Choice>
          <mc:Fallback>
            <w:pict>
              <v:rect id="000176" o:spid="_x0000_s1026" o:spt="1" style="position:absolute;left:0pt;margin-left:-9pt;margin-top:1.1pt;height:46.8pt;width:72pt;z-index:251824128;mso-width-relative:page;mso-height-relative:page;" filled="f" stroked="f" coordsize="21600,21600" o:gfxdata="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Y4VFd2AAAAAgBAAAPAAAAAAAAAAEAIAAAACIA&#10;AABkcnMvZG93bnJldi54bWxQSwECFAAUAAAACACHTuJAxzbGkZcBAAA4AwAADgAAAAAAAAABACAA&#10;AAAnAQAAZHJzL2Uyb0RvYy54bWxQSwUGAAAAAAYABgBZAQAAMAUAAAAA&#10;">
                <v:fill on="f" focussize="0,0"/>
                <v:stroke on="f"/>
                <v:imagedata o:title=""/>
                <o:lock v:ext="edit" aspectratio="f"/>
                <v:textbox>
                  <w:txbxContent>
                    <w:p w14:paraId="60606428">
                      <w:pPr>
                        <w:spacing w:line="240" w:lineRule="exact"/>
                        <w:jc w:val="left"/>
                        <w:rPr>
                          <w:rFonts w:hint="eastAsia" w:ascii="楷体_GB2312" w:hAnsi="宋体" w:eastAsia="楷体_GB2312"/>
                          <w:b/>
                          <w:bCs/>
                          <w:sz w:val="18"/>
                          <w:szCs w:val="18"/>
                        </w:rPr>
                      </w:pPr>
                      <w:r>
                        <w:rPr>
                          <w:rFonts w:hint="eastAsia" w:ascii="楷体_GB2312" w:hAnsi="宋体" w:eastAsia="楷体_GB2312" w:cs="楷体_GB2312"/>
                          <w:b/>
                          <w:bCs/>
                          <w:sz w:val="18"/>
                          <w:szCs w:val="18"/>
                        </w:rPr>
                        <w:t>建设单位对质量与安全应负的责任</w:t>
                      </w:r>
                    </w:p>
                  </w:txbxContent>
                </v:textbox>
              </v:rect>
            </w:pict>
          </mc:Fallback>
        </mc:AlternateContent>
      </w:r>
      <w:r>
        <w:rPr>
          <w:rFonts w:hint="eastAsia" w:ascii="宋体" w:hAnsi="宋体" w:eastAsia="宋体" w:cs="宋体"/>
          <w:color w:val="auto"/>
          <w:kern w:val="0"/>
          <w:sz w:val="24"/>
          <w:highlight w:val="none"/>
        </w:rPr>
        <w:t>因发包人原因造成工程质量未达到合同约定标准的，由发包人承担由此增加的费用和延误工期的责任，增加的费用按本合同相关条款以及投标报价或预算的计价原则计算。</w:t>
      </w:r>
    </w:p>
    <w:p w14:paraId="393A8465">
      <w:pPr>
        <w:autoSpaceDE w:val="0"/>
        <w:autoSpaceDN w:val="0"/>
        <w:adjustRightInd w:val="0"/>
        <w:spacing w:line="300" w:lineRule="auto"/>
        <w:jc w:val="left"/>
        <w:rPr>
          <w:rFonts w:hint="eastAsia" w:ascii="宋体" w:hAnsi="宋体" w:eastAsia="宋体" w:cs="宋体"/>
          <w:color w:val="auto"/>
          <w:sz w:val="24"/>
          <w:highlight w:val="none"/>
          <w:u w:val="dotted"/>
        </w:rPr>
      </w:pPr>
      <w:r>
        <w:rPr>
          <w:rFonts w:hint="eastAsia" w:ascii="宋体" w:hAnsi="宋体" w:eastAsia="宋体" w:cs="宋体"/>
          <w:b/>
          <w:bCs/>
          <w:color w:val="auto"/>
          <w:sz w:val="24"/>
          <w:highlight w:val="none"/>
        </w:rPr>
        <w:t xml:space="preserve">41.6 </w:t>
      </w:r>
      <w:r>
        <w:rPr>
          <w:rFonts w:hint="eastAsia" w:ascii="宋体" w:hAnsi="宋体" w:eastAsia="宋体" w:cs="宋体"/>
          <w:b/>
          <w:bCs/>
          <w:color w:val="auto"/>
          <w:sz w:val="24"/>
          <w:highlight w:val="none"/>
          <w:u w:val="dotted"/>
        </w:rPr>
        <w:t xml:space="preserve"> </w:t>
      </w:r>
      <w:r>
        <w:rPr>
          <w:rFonts w:hint="eastAsia" w:ascii="宋体" w:hAnsi="宋体" w:eastAsia="宋体" w:cs="宋体"/>
          <w:color w:val="auto"/>
          <w:sz w:val="24"/>
          <w:highlight w:val="none"/>
          <w:u w:val="dotted"/>
        </w:rPr>
        <w:t xml:space="preserve">                                                                               </w:t>
      </w:r>
    </w:p>
    <w:p w14:paraId="76D9B468">
      <w:pPr>
        <w:autoSpaceDE w:val="0"/>
        <w:autoSpaceDN w:val="0"/>
        <w:adjustRightInd w:val="0"/>
        <w:spacing w:line="300" w:lineRule="auto"/>
        <w:ind w:left="1346" w:leftChars="641"/>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25152" behindDoc="0" locked="0" layoutInCell="1" allowOverlap="1">
                <wp:simplePos x="0" y="0"/>
                <wp:positionH relativeFrom="column">
                  <wp:posOffset>-114300</wp:posOffset>
                </wp:positionH>
                <wp:positionV relativeFrom="paragraph">
                  <wp:posOffset>16510</wp:posOffset>
                </wp:positionV>
                <wp:extent cx="800100" cy="495300"/>
                <wp:effectExtent l="0" t="0" r="0" b="0"/>
                <wp:wrapNone/>
                <wp:docPr id="1188" name="000177"/>
                <wp:cNvGraphicFramePr/>
                <a:graphic xmlns:a="http://schemas.openxmlformats.org/drawingml/2006/main">
                  <a:graphicData uri="http://schemas.microsoft.com/office/word/2010/wordprocessingShape">
                    <wps:wsp>
                      <wps:cNvSpPr/>
                      <wps:spPr>
                        <a:xfrm>
                          <a:off x="0" y="0"/>
                          <a:ext cx="800100" cy="495300"/>
                        </a:xfrm>
                        <a:prstGeom prst="rect">
                          <a:avLst/>
                        </a:prstGeom>
                        <a:ln>
                          <a:noFill/>
                        </a:ln>
                      </wps:spPr>
                      <wps:txbx>
                        <w:txbxContent>
                          <w:p w14:paraId="3C39F593">
                            <w:pPr>
                              <w:rPr>
                                <w:rFonts w:hint="eastAsia"/>
                                <w:color w:val="FF0000"/>
                              </w:rPr>
                            </w:pPr>
                            <w:r>
                              <w:rPr>
                                <w:rFonts w:hint="eastAsia" w:ascii="楷体_GB2312" w:hAnsi="宋体" w:eastAsia="楷体_GB2312" w:cs="楷体_GB2312"/>
                                <w:b/>
                                <w:bCs/>
                                <w:sz w:val="18"/>
                                <w:szCs w:val="18"/>
                              </w:rPr>
                              <w:t>监理人的质量检查和检验</w:t>
                            </w:r>
                          </w:p>
                        </w:txbxContent>
                      </wps:txbx>
                      <wps:bodyPr wrap="square"/>
                    </wps:wsp>
                  </a:graphicData>
                </a:graphic>
              </wp:anchor>
            </w:drawing>
          </mc:Choice>
          <mc:Fallback>
            <w:pict>
              <v:rect id="000177" o:spid="_x0000_s1026" o:spt="1" style="position:absolute;left:0pt;margin-left:-9pt;margin-top:1.3pt;height:39pt;width:63pt;z-index:251825152;mso-width-relative:page;mso-height-relative:page;" filled="f" stroked="f" coordsize="21600,21600" o:gfxdata="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dqgwi9YAAAAIAQAADwAAAAAAAAABACAAAAAiAAAAZHJz&#10;L2Rvd25yZXYueG1sUEsBAhQAFAAAAAgAh07iQBFY17mUAQAAOAMAAA4AAAAAAAAAAQAgAAAAJQEA&#10;AGRycy9lMm9Eb2MueG1sUEsFBgAAAAAGAAYAWQEAACsFAAAAAA==&#10;">
                <v:fill on="f" focussize="0,0"/>
                <v:stroke on="f"/>
                <v:imagedata o:title=""/>
                <o:lock v:ext="edit" aspectratio="f"/>
                <v:textbox>
                  <w:txbxContent>
                    <w:p w14:paraId="3C39F593">
                      <w:pPr>
                        <w:rPr>
                          <w:rFonts w:hint="eastAsia"/>
                          <w:color w:val="FF0000"/>
                        </w:rPr>
                      </w:pPr>
                      <w:r>
                        <w:rPr>
                          <w:rFonts w:hint="eastAsia" w:ascii="楷体_GB2312" w:hAnsi="宋体" w:eastAsia="楷体_GB2312" w:cs="楷体_GB2312"/>
                          <w:b/>
                          <w:bCs/>
                          <w:sz w:val="18"/>
                          <w:szCs w:val="18"/>
                        </w:rPr>
                        <w:t>监理人的质量检查和检验</w:t>
                      </w:r>
                    </w:p>
                  </w:txbxContent>
                </v:textbox>
              </v:rect>
            </w:pict>
          </mc:Fallback>
        </mc:AlternateContent>
      </w:r>
      <w:r>
        <w:rPr>
          <w:rFonts w:hint="eastAsia" w:ascii="宋体" w:hAnsi="宋体" w:eastAsia="宋体" w:cs="宋体"/>
          <w:color w:val="auto"/>
          <w:kern w:val="0"/>
          <w:sz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37945DFE">
      <w:pPr>
        <w:pStyle w:val="6"/>
        <w:adjustRightInd w:val="0"/>
        <w:snapToGrid w:val="0"/>
        <w:spacing w:line="300" w:lineRule="auto"/>
        <w:ind w:firstLine="482"/>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2D693119">
      <w:pPr>
        <w:pStyle w:val="6"/>
        <w:adjustRightInd w:val="0"/>
        <w:snapToGrid w:val="0"/>
        <w:spacing w:line="300" w:lineRule="auto"/>
        <w:ind w:firstLine="482"/>
        <w:outlineLvl w:val="2"/>
        <w:rPr>
          <w:rFonts w:hint="eastAsia" w:ascii="宋体" w:hAnsi="宋体" w:eastAsia="宋体" w:cs="宋体"/>
          <w:b/>
          <w:bCs/>
          <w:color w:val="auto"/>
          <w:sz w:val="24"/>
          <w:highlight w:val="none"/>
        </w:rPr>
      </w:pPr>
      <w:bookmarkStart w:id="107" w:name="_Toc469384025"/>
      <w:bookmarkStart w:id="108" w:name="_Toc46860846"/>
      <w:r>
        <w:rPr>
          <w:rFonts w:hint="eastAsia" w:ascii="宋体" w:hAnsi="宋体" w:eastAsia="宋体" w:cs="宋体"/>
          <w:b/>
          <w:bCs/>
          <w:color w:val="auto"/>
          <w:sz w:val="24"/>
          <w:highlight w:val="none"/>
        </w:rPr>
        <w:t>★42  质量标准</w:t>
      </w:r>
      <w:bookmarkEnd w:id="107"/>
      <w:bookmarkEnd w:id="108"/>
    </w:p>
    <w:p w14:paraId="2D3A4A50">
      <w:pPr>
        <w:adjustRightInd w:val="0"/>
        <w:snapToGrid w:val="0"/>
        <w:spacing w:line="30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42.1 </w:t>
      </w:r>
    </w:p>
    <w:p w14:paraId="60A0BEA4">
      <w:pPr>
        <w:adjustRightInd w:val="0"/>
        <w:snapToGrid w:val="0"/>
        <w:spacing w:line="300" w:lineRule="auto"/>
        <w:ind w:left="1619" w:leftChars="77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26176"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1189" name="000178"/>
                <wp:cNvGraphicFramePr/>
                <a:graphic xmlns:a="http://schemas.openxmlformats.org/drawingml/2006/main">
                  <a:graphicData uri="http://schemas.microsoft.com/office/word/2010/wordprocessingShape">
                    <wps:wsp>
                      <wps:cNvSpPr/>
                      <wps:spPr>
                        <a:xfrm>
                          <a:off x="0" y="0"/>
                          <a:ext cx="914400" cy="389890"/>
                        </a:xfrm>
                        <a:prstGeom prst="rect">
                          <a:avLst/>
                        </a:prstGeom>
                        <a:ln>
                          <a:noFill/>
                        </a:ln>
                      </wps:spPr>
                      <wps:txbx>
                        <w:txbxContent>
                          <w:p w14:paraId="66F7B1CA">
                            <w:pPr>
                              <w:spacing w:line="240" w:lineRule="exact"/>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约定工程质量标准</w:t>
                            </w:r>
                          </w:p>
                        </w:txbxContent>
                      </wps:txbx>
                      <wps:bodyPr wrap="square"/>
                    </wps:wsp>
                  </a:graphicData>
                </a:graphic>
              </wp:anchor>
            </w:drawing>
          </mc:Choice>
          <mc:Fallback>
            <w:pict>
              <v:rect id="000178" o:spid="_x0000_s1026" o:spt="1" style="position:absolute;left:0pt;margin-left:-9pt;margin-top:0.65pt;height:30.7pt;width:72pt;z-index:251826176;mso-width-relative:page;mso-height-relative:page;" filled="f" stroked="f" coordsize="21600,21600" o:gfxdata="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J61jnzYAAAACAEAAA8AAAAAAAAAAQAgAAAAIgAA&#10;AGRycy9kb3ducmV2LnhtbFBLAQIUABQAAAAIAIdO4kBovDNRlgEAADgDAAAOAAAAAAAAAAEAIAAA&#10;ACcBAABkcnMvZTJvRG9jLnhtbFBLBQYAAAAABgAGAFkBAAAvBQAAAAA=&#10;">
                <v:fill on="f" focussize="0,0"/>
                <v:stroke on="f"/>
                <v:imagedata o:title=""/>
                <o:lock v:ext="edit" aspectratio="f"/>
                <v:textbox>
                  <w:txbxContent>
                    <w:p w14:paraId="66F7B1CA">
                      <w:pPr>
                        <w:spacing w:line="240" w:lineRule="exact"/>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约定工程质量标准</w:t>
                      </w:r>
                    </w:p>
                  </w:txbxContent>
                </v:textbox>
              </v:rect>
            </w:pict>
          </mc:Fallback>
        </mc:AlternateContent>
      </w:r>
      <w:r>
        <w:rPr>
          <w:rFonts w:hint="eastAsia" w:ascii="宋体" w:hAnsi="宋体" w:eastAsia="宋体" w:cs="宋体"/>
          <w:color w:val="auto"/>
          <w:sz w:val="24"/>
          <w:highlight w:val="none"/>
        </w:rPr>
        <w:t>合同双方当事人应在专用条款中约定工程质量标准，但不得低于国家或行业的强制性标准。工程质量应当达到专用条款约定的质量标准。</w:t>
      </w:r>
    </w:p>
    <w:p w14:paraId="78180657">
      <w:pPr>
        <w:adjustRightInd w:val="0"/>
        <w:snapToGrid w:val="0"/>
        <w:spacing w:line="300" w:lineRule="auto"/>
        <w:ind w:left="1619" w:leftChars="77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工程质量验收，按照合同约定的标准执行；合同没有约定的，按照国家或行业的质量验收标准执行。</w:t>
      </w:r>
    </w:p>
    <w:p w14:paraId="05EF4BB3">
      <w:pPr>
        <w:adjustRightInd w:val="0"/>
        <w:snapToGrid w:val="0"/>
        <w:spacing w:line="30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27200" behindDoc="0" locked="0" layoutInCell="1" allowOverlap="1">
                <wp:simplePos x="0" y="0"/>
                <wp:positionH relativeFrom="column">
                  <wp:posOffset>-114300</wp:posOffset>
                </wp:positionH>
                <wp:positionV relativeFrom="paragraph">
                  <wp:posOffset>255905</wp:posOffset>
                </wp:positionV>
                <wp:extent cx="977900" cy="471805"/>
                <wp:effectExtent l="0" t="0" r="0" b="0"/>
                <wp:wrapNone/>
                <wp:docPr id="1190" name="000179"/>
                <wp:cNvGraphicFramePr/>
                <a:graphic xmlns:a="http://schemas.openxmlformats.org/drawingml/2006/main">
                  <a:graphicData uri="http://schemas.microsoft.com/office/word/2010/wordprocessingShape">
                    <wps:wsp>
                      <wps:cNvSpPr/>
                      <wps:spPr>
                        <a:xfrm>
                          <a:off x="0" y="0"/>
                          <a:ext cx="977900" cy="471804"/>
                        </a:xfrm>
                        <a:prstGeom prst="rect">
                          <a:avLst/>
                        </a:prstGeom>
                        <a:ln>
                          <a:noFill/>
                        </a:ln>
                      </wps:spPr>
                      <wps:txbx>
                        <w:txbxContent>
                          <w:p w14:paraId="2AA878A7">
                            <w:pPr>
                              <w:spacing w:line="240" w:lineRule="exact"/>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承包人保证工程质量的职责</w:t>
                            </w:r>
                          </w:p>
                        </w:txbxContent>
                      </wps:txbx>
                      <wps:bodyPr wrap="square"/>
                    </wps:wsp>
                  </a:graphicData>
                </a:graphic>
              </wp:anchor>
            </w:drawing>
          </mc:Choice>
          <mc:Fallback>
            <w:pict>
              <v:rect id="000179" o:spid="_x0000_s1026" o:spt="1" style="position:absolute;left:0pt;margin-left:-9pt;margin-top:20.15pt;height:37.15pt;width:77pt;z-index:251827200;mso-width-relative:page;mso-height-relative:page;" filled="f" stroked="f" coordsize="21600,21600" o:gfxdata="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JZrf3aAAAACgEAAA8AAAAAAAAAAQAgAAAAIgAA&#10;AGRycy9kb3ducmV2LnhtbFBLAQIUABQAAAAIAIdO4kCZvXUzlAEAADgDAAAOAAAAAAAAAAEAIAAA&#10;ACkBAABkcnMvZTJvRG9jLnhtbFBLBQYAAAAABgAGAFkBAAAvBQAAAAA=&#10;">
                <v:fill on="f" focussize="0,0"/>
                <v:stroke on="f"/>
                <v:imagedata o:title=""/>
                <o:lock v:ext="edit" aspectratio="f"/>
                <v:textbox>
                  <w:txbxContent>
                    <w:p w14:paraId="2AA878A7">
                      <w:pPr>
                        <w:spacing w:line="240" w:lineRule="exact"/>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承包人保证工程质量的职责</w:t>
                      </w:r>
                    </w:p>
                  </w:txbxContent>
                </v:textbox>
              </v:rect>
            </w:pict>
          </mc:Fallback>
        </mc:AlternateContent>
      </w:r>
      <w:r>
        <w:rPr>
          <w:rFonts w:hint="eastAsia" w:ascii="宋体" w:hAnsi="宋体" w:eastAsia="宋体" w:cs="宋体"/>
          <w:b/>
          <w:bCs/>
          <w:color w:val="auto"/>
          <w:sz w:val="24"/>
          <w:highlight w:val="none"/>
        </w:rPr>
        <w:t>42.2</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60A3C98B">
      <w:pPr>
        <w:adjustRightInd w:val="0"/>
        <w:snapToGrid w:val="0"/>
        <w:spacing w:line="300" w:lineRule="auto"/>
        <w:ind w:left="16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承包人对合同工程的质量向发包人负责，其职责包括但不限于下列内容：</w:t>
      </w:r>
    </w:p>
    <w:p w14:paraId="13D6209B">
      <w:pPr>
        <w:adjustRightInd w:val="0"/>
        <w:snapToGrid w:val="0"/>
        <w:spacing w:line="300" w:lineRule="auto"/>
        <w:ind w:left="16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 编制施工技术方案，确定施工技术措施；</w:t>
      </w:r>
    </w:p>
    <w:p w14:paraId="163D0478">
      <w:pPr>
        <w:adjustRightInd w:val="0"/>
        <w:snapToGrid w:val="0"/>
        <w:spacing w:line="300" w:lineRule="auto"/>
        <w:ind w:left="16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 提供和组织足够的工程技术人员，检查和控制工程施工质量；</w:t>
      </w:r>
    </w:p>
    <w:p w14:paraId="37631719">
      <w:pPr>
        <w:adjustRightInd w:val="0"/>
        <w:snapToGrid w:val="0"/>
        <w:spacing w:line="300" w:lineRule="auto"/>
        <w:ind w:left="162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 控制施工所用的材料和工程设备，使其符合标准与规范、设计要求及合同约定的标准；</w:t>
      </w:r>
    </w:p>
    <w:p w14:paraId="357862F8">
      <w:pPr>
        <w:tabs>
          <w:tab w:val="right" w:pos="9864"/>
        </w:tabs>
        <w:adjustRightInd w:val="0"/>
        <w:snapToGrid w:val="0"/>
        <w:spacing w:line="300" w:lineRule="auto"/>
        <w:ind w:firstLine="1620" w:firstLineChars="67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 负责合同工程施工中出现质量问题或竣工验收不合格的返修工作；</w:t>
      </w:r>
    </w:p>
    <w:p w14:paraId="04C61CBA">
      <w:pPr>
        <w:adjustRightInd w:val="0"/>
        <w:snapToGrid w:val="0"/>
        <w:spacing w:line="300" w:lineRule="auto"/>
        <w:ind w:left="161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 参加合同工程的所有验收工作，包括隐蔽验收、中间验收；参加竣工验收，组织分包人参加工程验收工作；</w:t>
      </w:r>
    </w:p>
    <w:p w14:paraId="3BF256EF">
      <w:pPr>
        <w:adjustRightInd w:val="0"/>
        <w:snapToGrid w:val="0"/>
        <w:spacing w:line="300" w:lineRule="auto"/>
        <w:ind w:left="16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 承担质量保修期的工程保修责任；</w:t>
      </w:r>
    </w:p>
    <w:p w14:paraId="6244F677">
      <w:pPr>
        <w:adjustRightInd w:val="0"/>
        <w:snapToGrid w:val="0"/>
        <w:spacing w:line="300" w:lineRule="auto"/>
        <w:ind w:left="16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 承担其他工程质量责任。</w:t>
      </w:r>
    </w:p>
    <w:p w14:paraId="605A2883">
      <w:pPr>
        <w:pStyle w:val="6"/>
        <w:rPr>
          <w:rFonts w:hint="eastAsia" w:ascii="宋体" w:hAnsi="宋体" w:eastAsia="宋体" w:cs="宋体"/>
          <w:color w:val="auto"/>
          <w:highlight w:val="none"/>
        </w:rPr>
      </w:pPr>
    </w:p>
    <w:p w14:paraId="07631475">
      <w:pPr>
        <w:pStyle w:val="6"/>
        <w:rPr>
          <w:rFonts w:hint="eastAsia" w:ascii="宋体" w:hAnsi="宋体" w:eastAsia="宋体" w:cs="宋体"/>
          <w:color w:val="auto"/>
          <w:highlight w:val="none"/>
        </w:rPr>
      </w:pPr>
    </w:p>
    <w:p w14:paraId="7A58D11A">
      <w:pPr>
        <w:pStyle w:val="6"/>
        <w:rPr>
          <w:rFonts w:hint="eastAsia" w:ascii="宋体" w:hAnsi="宋体" w:eastAsia="宋体" w:cs="宋体"/>
          <w:color w:val="auto"/>
          <w:highlight w:val="none"/>
        </w:rPr>
      </w:pPr>
    </w:p>
    <w:p w14:paraId="48FD35C0">
      <w:pPr>
        <w:pStyle w:val="6"/>
        <w:rPr>
          <w:rFonts w:hint="eastAsia" w:ascii="宋体" w:hAnsi="宋体" w:eastAsia="宋体" w:cs="宋体"/>
          <w:color w:val="auto"/>
          <w:highlight w:val="none"/>
        </w:rPr>
      </w:pPr>
    </w:p>
    <w:p w14:paraId="5D75F320">
      <w:pPr>
        <w:adjustRightInd w:val="0"/>
        <w:snapToGrid w:val="0"/>
        <w:spacing w:line="300" w:lineRule="auto"/>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28224"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1191" name="00017a"/>
                <wp:cNvGraphicFramePr/>
                <a:graphic xmlns:a="http://schemas.openxmlformats.org/drawingml/2006/main">
                  <a:graphicData uri="http://schemas.microsoft.com/office/word/2010/wordprocessingShape">
                    <wps:wsp>
                      <wps:cNvSpPr/>
                      <wps:spPr>
                        <a:xfrm>
                          <a:off x="0" y="0"/>
                          <a:ext cx="1028700" cy="245745"/>
                        </a:xfrm>
                        <a:prstGeom prst="rect">
                          <a:avLst/>
                        </a:prstGeom>
                        <a:ln>
                          <a:noFill/>
                        </a:ln>
                      </wps:spPr>
                      <wps:txbx>
                        <w:txbxContent>
                          <w:p w14:paraId="4A9DA360">
                            <w:pPr>
                              <w:spacing w:line="240" w:lineRule="exact"/>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质量保证体系</w:t>
                            </w:r>
                          </w:p>
                        </w:txbxContent>
                      </wps:txbx>
                      <wps:bodyPr wrap="square"/>
                    </wps:wsp>
                  </a:graphicData>
                </a:graphic>
              </wp:anchor>
            </w:drawing>
          </mc:Choice>
          <mc:Fallback>
            <w:pict>
              <v:rect id="00017a" o:spid="_x0000_s1026" o:spt="1" style="position:absolute;left:0pt;margin-left:-9pt;margin-top:22.95pt;height:19.35pt;width:81pt;z-index:251828224;mso-width-relative:page;mso-height-relative:page;" filled="f" stroked="f" coordsize="21600,21600" o:gfxdata="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LCHhUtoAAAAJAQAADwAAAAAAAAABACAAAAAi&#10;AAAAZHJzL2Rvd25yZXYueG1sUEsBAhQAFAAAAAgAh07iQCQzG/uWAQAAOQMAAA4AAAAAAAAAAQAg&#10;AAAAKQEAAGRycy9lMm9Eb2MueG1sUEsFBgAAAAAGAAYAWQEAADEFAAAAAA==&#10;">
                <v:fill on="f" focussize="0,0"/>
                <v:stroke on="f"/>
                <v:imagedata o:title=""/>
                <o:lock v:ext="edit" aspectratio="f"/>
                <v:textbox>
                  <w:txbxContent>
                    <w:p w14:paraId="4A9DA360">
                      <w:pPr>
                        <w:spacing w:line="240" w:lineRule="exact"/>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质量保证体系</w:t>
                      </w:r>
                    </w:p>
                  </w:txbxContent>
                </v:textbox>
              </v:rect>
            </w:pict>
          </mc:Fallback>
        </mc:AlternateContent>
      </w:r>
      <w:r>
        <w:rPr>
          <w:rFonts w:hint="eastAsia" w:ascii="宋体" w:hAnsi="宋体" w:eastAsia="宋体" w:cs="宋体"/>
          <w:b/>
          <w:bCs/>
          <w:color w:val="auto"/>
          <w:sz w:val="24"/>
          <w:highlight w:val="none"/>
        </w:rPr>
        <w:t xml:space="preserve">42.3 </w:t>
      </w:r>
      <w:r>
        <w:rPr>
          <w:rFonts w:hint="eastAsia" w:ascii="宋体" w:hAnsi="宋体" w:eastAsia="宋体" w:cs="宋体"/>
          <w:b/>
          <w:bCs/>
          <w:color w:val="auto"/>
          <w:sz w:val="24"/>
          <w:highlight w:val="none"/>
          <w:u w:val="dotted"/>
        </w:rPr>
        <w:t xml:space="preserve">                                                                                                        </w:t>
      </w:r>
    </w:p>
    <w:p w14:paraId="6A8BF5A8">
      <w:pPr>
        <w:pStyle w:val="35"/>
        <w:adjustRightInd w:val="0"/>
        <w:snapToGrid w:val="0"/>
        <w:spacing w:line="300" w:lineRule="auto"/>
        <w:ind w:left="1619" w:leftChars="771"/>
        <w:rPr>
          <w:rFonts w:hint="eastAsia" w:ascii="宋体" w:eastAsia="宋体" w:cs="宋体"/>
          <w:color w:val="auto"/>
          <w:highlight w:val="none"/>
        </w:rPr>
      </w:pPr>
      <w:r>
        <w:rPr>
          <w:rFonts w:hint="eastAsia" w:ascii="宋体" w:eastAsia="宋体" w:cs="宋体"/>
          <w:color w:val="auto"/>
          <w:highlight w:val="none"/>
        </w:rPr>
        <w:t>承包人应建立健全完善的质量保证体系。</w:t>
      </w:r>
    </w:p>
    <w:p w14:paraId="132F0ACF">
      <w:pPr>
        <w:autoSpaceDE w:val="0"/>
        <w:autoSpaceDN w:val="0"/>
        <w:adjustRightInd w:val="0"/>
        <w:spacing w:line="300" w:lineRule="auto"/>
        <w:ind w:left="1556" w:leftChars="741"/>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（1）承包人应向发包人和监理人提交工程质量保证体系及措施文件，建立完善的质量检查制度，并提交相应的工程质量文件。对于发包人和监理人违反法律规定和合同约定的错误指示，承包人有权拒绝实施。</w:t>
      </w:r>
    </w:p>
    <w:p w14:paraId="47720C54">
      <w:pPr>
        <w:pStyle w:val="35"/>
        <w:adjustRightInd w:val="0"/>
        <w:snapToGrid w:val="0"/>
        <w:spacing w:line="300" w:lineRule="auto"/>
        <w:ind w:left="1418" w:leftChars="675"/>
        <w:rPr>
          <w:rFonts w:hint="eastAsia" w:ascii="宋体" w:eastAsia="宋体" w:cs="宋体"/>
          <w:color w:val="auto"/>
          <w:highlight w:val="none"/>
        </w:rPr>
      </w:pPr>
      <w:r>
        <w:rPr>
          <w:rFonts w:hint="eastAsia" w:ascii="宋体" w:eastAsia="宋体" w:cs="宋体"/>
          <w:color w:val="auto"/>
          <w:highlight w:val="none"/>
        </w:rPr>
        <w:t>（2）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14:paraId="5D6FB57D">
      <w:pPr>
        <w:adjustRightInd w:val="0"/>
        <w:snapToGrid w:val="0"/>
        <w:spacing w:line="300" w:lineRule="auto"/>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29248"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1192" name="00017b"/>
                <wp:cNvGraphicFramePr/>
                <a:graphic xmlns:a="http://schemas.openxmlformats.org/drawingml/2006/main">
                  <a:graphicData uri="http://schemas.microsoft.com/office/word/2010/wordprocessingShape">
                    <wps:wsp>
                      <wps:cNvSpPr/>
                      <wps:spPr>
                        <a:xfrm>
                          <a:off x="0" y="0"/>
                          <a:ext cx="967739" cy="449580"/>
                        </a:xfrm>
                        <a:prstGeom prst="rect">
                          <a:avLst/>
                        </a:prstGeom>
                        <a:ln>
                          <a:noFill/>
                        </a:ln>
                      </wps:spPr>
                      <wps:txbx>
                        <w:txbxContent>
                          <w:p w14:paraId="0614B462">
                            <w:pPr>
                              <w:spacing w:line="240" w:lineRule="exact"/>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工程质量有争议的处理</w:t>
                            </w:r>
                          </w:p>
                        </w:txbxContent>
                      </wps:txbx>
                      <wps:bodyPr wrap="square"/>
                    </wps:wsp>
                  </a:graphicData>
                </a:graphic>
              </wp:anchor>
            </w:drawing>
          </mc:Choice>
          <mc:Fallback>
            <w:pict>
              <v:rect id="00017b" o:spid="_x0000_s1026" o:spt="1" style="position:absolute;left:0pt;margin-left:-9pt;margin-top:21.75pt;height:35.4pt;width:76.2pt;z-index:251829248;mso-width-relative:page;mso-height-relative:page;" filled="f" stroked="f" coordsize="21600,21600" o:gfxdata="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w+zV+tsAAAAKAQAADwAAAAAAAAABACAA&#10;AAAiAAAAZHJzL2Rvd25yZXYueG1sUEsBAhQAFAAAAAgAh07iQBgAz2CYAQAAOAMAAA4AAAAAAAAA&#10;AQAgAAAAKgEAAGRycy9lMm9Eb2MueG1sUEsFBgAAAAAGAAYAWQEAADQFAAAAAA==&#10;">
                <v:fill on="f" focussize="0,0"/>
                <v:stroke on="f"/>
                <v:imagedata o:title=""/>
                <o:lock v:ext="edit" aspectratio="f"/>
                <v:textbox>
                  <w:txbxContent>
                    <w:p w14:paraId="0614B462">
                      <w:pPr>
                        <w:spacing w:line="240" w:lineRule="exact"/>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工程质量有争议的处理</w:t>
                      </w:r>
                    </w:p>
                  </w:txbxContent>
                </v:textbox>
              </v:rect>
            </w:pict>
          </mc:Fallback>
        </mc:AlternateContent>
      </w:r>
      <w:r>
        <w:rPr>
          <w:rFonts w:hint="eastAsia" w:ascii="宋体" w:hAnsi="宋体" w:eastAsia="宋体" w:cs="宋体"/>
          <w:b/>
          <w:bCs/>
          <w:color w:val="auto"/>
          <w:sz w:val="24"/>
          <w:highlight w:val="none"/>
        </w:rPr>
        <w:t xml:space="preserve">42.4 </w:t>
      </w:r>
      <w:r>
        <w:rPr>
          <w:rFonts w:hint="eastAsia" w:ascii="宋体" w:hAnsi="宋体" w:eastAsia="宋体" w:cs="宋体"/>
          <w:b/>
          <w:bCs/>
          <w:color w:val="auto"/>
          <w:sz w:val="24"/>
          <w:highlight w:val="none"/>
          <w:u w:val="dotted"/>
        </w:rPr>
        <w:t xml:space="preserve">                                                                                                        </w:t>
      </w:r>
    </w:p>
    <w:p w14:paraId="775990A6">
      <w:pPr>
        <w:adjustRightInd w:val="0"/>
        <w:snapToGrid w:val="0"/>
        <w:spacing w:line="300" w:lineRule="auto"/>
        <w:ind w:left="1619" w:leftChars="77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合同双方当事人对工程质量有争议的，按照第86.4款规定调解或认定，所需的费用及由此造成的损失，由责任方承担。双方均有责任的，由双方根据其责任划分分别承担。</w:t>
      </w:r>
    </w:p>
    <w:p w14:paraId="386C1D09">
      <w:pPr>
        <w:adjustRightInd w:val="0"/>
        <w:snapToGrid w:val="0"/>
        <w:spacing w:line="300" w:lineRule="auto"/>
        <w:ind w:left="1619" w:leftChars="771"/>
        <w:jc w:val="left"/>
        <w:rPr>
          <w:rFonts w:hint="eastAsia" w:ascii="宋体" w:hAnsi="宋体" w:eastAsia="宋体" w:cs="宋体"/>
          <w:color w:val="auto"/>
          <w:sz w:val="24"/>
          <w:highlight w:val="none"/>
        </w:rPr>
      </w:pPr>
    </w:p>
    <w:p w14:paraId="5FA743E0">
      <w:pPr>
        <w:tabs>
          <w:tab w:val="left" w:pos="1620"/>
        </w:tabs>
        <w:adjustRightInd w:val="0"/>
        <w:snapToGrid w:val="0"/>
        <w:spacing w:line="300" w:lineRule="auto"/>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49657236">
      <w:pPr>
        <w:pStyle w:val="4"/>
        <w:tabs>
          <w:tab w:val="left" w:pos="420"/>
        </w:tabs>
        <w:spacing w:line="300" w:lineRule="auto"/>
        <w:rPr>
          <w:rFonts w:hint="eastAsia" w:ascii="宋体" w:hAnsi="宋体" w:eastAsia="宋体" w:cs="宋体"/>
          <w:color w:val="auto"/>
          <w:sz w:val="24"/>
          <w:szCs w:val="24"/>
          <w:highlight w:val="none"/>
        </w:rPr>
      </w:pPr>
      <w:bookmarkStart w:id="109" w:name="_Toc46860847"/>
      <w:bookmarkStart w:id="110" w:name="_Toc469384026"/>
      <w:r>
        <w:rPr>
          <w:rFonts w:hint="eastAsia" w:ascii="宋体" w:hAnsi="宋体" w:eastAsia="宋体" w:cs="宋体"/>
          <w:color w:val="auto"/>
          <w:sz w:val="24"/>
          <w:szCs w:val="24"/>
          <w:highlight w:val="none"/>
        </w:rPr>
        <w:t>★43  工程质量创优</w:t>
      </w:r>
      <w:bookmarkEnd w:id="109"/>
      <w:bookmarkEnd w:id="110"/>
    </w:p>
    <w:p w14:paraId="194A326D">
      <w:pPr>
        <w:spacing w:line="300" w:lineRule="auto"/>
        <w:rPr>
          <w:rFonts w:hint="eastAsia" w:ascii="宋体" w:hAnsi="宋体" w:eastAsia="宋体" w:cs="宋体"/>
          <w:b/>
          <w:bCs/>
          <w:caps/>
          <w:color w:val="auto"/>
          <w:sz w:val="24"/>
          <w:highlight w:val="none"/>
        </w:rPr>
      </w:pPr>
      <w:r>
        <w:rPr>
          <w:rFonts w:hint="eastAsia" w:ascii="宋体" w:hAnsi="宋体" w:eastAsia="宋体" w:cs="宋体"/>
          <w:b/>
          <w:bCs/>
          <w:caps/>
          <w:color w:val="auto"/>
          <w:sz w:val="24"/>
          <w:highlight w:val="none"/>
        </w:rPr>
        <w:t>43.1</w:t>
      </w:r>
    </w:p>
    <w:p w14:paraId="65A530B7">
      <w:pPr>
        <w:spacing w:line="300" w:lineRule="auto"/>
        <w:ind w:left="1619" w:leftChars="771"/>
        <w:rPr>
          <w:rFonts w:hint="eastAsia" w:ascii="宋体" w:hAnsi="宋体" w:eastAsia="宋体" w:cs="宋体"/>
          <w:cap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30272"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1193" name="00017c"/>
                <wp:cNvGraphicFramePr/>
                <a:graphic xmlns:a="http://schemas.openxmlformats.org/drawingml/2006/main">
                  <a:graphicData uri="http://schemas.microsoft.com/office/word/2010/wordprocessingShape">
                    <wps:wsp>
                      <wps:cNvSpPr/>
                      <wps:spPr>
                        <a:xfrm>
                          <a:off x="0" y="0"/>
                          <a:ext cx="914400" cy="495300"/>
                        </a:xfrm>
                        <a:prstGeom prst="rect">
                          <a:avLst/>
                        </a:prstGeom>
                        <a:ln>
                          <a:noFill/>
                        </a:ln>
                      </wps:spPr>
                      <wps:txbx>
                        <w:txbxContent>
                          <w:p w14:paraId="1D4C801E">
                            <w:pPr>
                              <w:spacing w:line="240" w:lineRule="exact"/>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建设单位鼓励质量创优</w:t>
                            </w:r>
                          </w:p>
                        </w:txbxContent>
                      </wps:txbx>
                      <wps:bodyPr wrap="square"/>
                    </wps:wsp>
                  </a:graphicData>
                </a:graphic>
              </wp:anchor>
            </w:drawing>
          </mc:Choice>
          <mc:Fallback>
            <w:pict>
              <v:rect id="00017c" o:spid="_x0000_s1026" o:spt="1" style="position:absolute;left:0pt;margin-left:-9pt;margin-top:3pt;height:39pt;width:72pt;z-index:251830272;mso-width-relative:page;mso-height-relative:page;" filled="f" stroked="f" coordsize="21600,21600" o:gfxdata="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&#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RvY4x1wAAAAgBAAAPAAAAAAAAAAEAIAAAACIAAABk&#10;cnMvZG93bnJldi54bWxQSwECFAAUAAAACACHTuJAdMS3wZUBAAA4AwAADgAAAAAAAAABACAAAAAm&#10;AQAAZHJzL2Uyb0RvYy54bWxQSwUGAAAAAAYABgBZAQAALQUAAAAA&#10;">
                <v:fill on="f" focussize="0,0"/>
                <v:stroke on="f"/>
                <v:imagedata o:title=""/>
                <o:lock v:ext="edit" aspectratio="f"/>
                <v:textbox>
                  <w:txbxContent>
                    <w:p w14:paraId="1D4C801E">
                      <w:pPr>
                        <w:spacing w:line="240" w:lineRule="exact"/>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建设单位鼓励质量创优</w:t>
                      </w:r>
                    </w:p>
                  </w:txbxContent>
                </v:textbox>
              </v:rect>
            </w:pict>
          </mc:Fallback>
        </mc:AlternateContent>
      </w:r>
      <w:r>
        <w:rPr>
          <w:rFonts w:hint="eastAsia" w:ascii="宋体" w:hAnsi="宋体" w:eastAsia="宋体" w:cs="宋体"/>
          <w:caps/>
          <w:color w:val="auto"/>
          <w:sz w:val="24"/>
          <w:highlight w:val="none"/>
        </w:rPr>
        <w:t>发包人应配合承包人加强合同工程质量与施工安全管理，鼓励承包人实施合同工程质量创优。对于合同工程质量标准高于国家规定或合同约定的质量验收合格标准的，应按照第67条规定向承包人支付工程优质费。</w:t>
      </w:r>
    </w:p>
    <w:p w14:paraId="5E6D9596">
      <w:pPr>
        <w:spacing w:line="300" w:lineRule="auto"/>
        <w:rPr>
          <w:rFonts w:hint="eastAsia" w:ascii="宋体" w:hAnsi="宋体" w:eastAsia="宋体" w:cs="宋体"/>
          <w:b/>
          <w:bCs/>
          <w:caps/>
          <w:color w:val="auto"/>
          <w:sz w:val="24"/>
          <w:highlight w:val="none"/>
        </w:rPr>
      </w:pPr>
      <w:r>
        <w:rPr>
          <w:rFonts w:hint="eastAsia" w:ascii="宋体" w:hAnsi="宋体" w:eastAsia="宋体" w:cs="宋体"/>
          <w:b/>
          <w:bCs/>
          <w:color w:val="auto"/>
          <w:sz w:val="24"/>
          <w:highlight w:val="none"/>
        </w:rPr>
        <w:t xml:space="preserve">43.2 </w:t>
      </w:r>
      <w:r>
        <w:rPr>
          <w:rFonts w:hint="eastAsia" w:ascii="宋体" w:hAnsi="宋体" w:eastAsia="宋体" w:cs="宋体"/>
          <w:b/>
          <w:bCs/>
          <w:color w:val="auto"/>
          <w:sz w:val="24"/>
          <w:highlight w:val="none"/>
          <w:u w:val="dotted"/>
        </w:rPr>
        <w:t xml:space="preserve">                                                                              </w:t>
      </w:r>
    </w:p>
    <w:p w14:paraId="014C63D6">
      <w:pPr>
        <w:spacing w:line="300" w:lineRule="auto"/>
        <w:ind w:left="1619" w:leftChars="771"/>
        <w:rPr>
          <w:rFonts w:hint="eastAsia" w:ascii="宋体" w:hAnsi="宋体" w:eastAsia="宋体" w:cs="宋体"/>
          <w:cap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31296"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1194" name="00017d"/>
                <wp:cNvGraphicFramePr/>
                <a:graphic xmlns:a="http://schemas.openxmlformats.org/drawingml/2006/main">
                  <a:graphicData uri="http://schemas.microsoft.com/office/word/2010/wordprocessingShape">
                    <wps:wsp>
                      <wps:cNvSpPr/>
                      <wps:spPr>
                        <a:xfrm>
                          <a:off x="0" y="0"/>
                          <a:ext cx="914400" cy="495300"/>
                        </a:xfrm>
                        <a:prstGeom prst="rect">
                          <a:avLst/>
                        </a:prstGeom>
                        <a:ln>
                          <a:noFill/>
                        </a:ln>
                      </wps:spPr>
                      <wps:txbx>
                        <w:txbxContent>
                          <w:p w14:paraId="60B54625">
                            <w:pPr>
                              <w:spacing w:line="240" w:lineRule="exact"/>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承包人争取质量创优</w:t>
                            </w:r>
                          </w:p>
                        </w:txbxContent>
                      </wps:txbx>
                      <wps:bodyPr wrap="square"/>
                    </wps:wsp>
                  </a:graphicData>
                </a:graphic>
              </wp:anchor>
            </w:drawing>
          </mc:Choice>
          <mc:Fallback>
            <w:pict>
              <v:rect id="00017d" o:spid="_x0000_s1026" o:spt="1" style="position:absolute;left:0pt;margin-left:-9pt;margin-top:13.45pt;height:39pt;width:72pt;z-index:251831296;mso-width-relative:page;mso-height-relative:page;" filled="f" stroked="f" coordsize="21600,21600" o:gfxdata="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whUo/NsAAAAKAQAADwAAAAAAAAABACAAAAAi&#10;AAAAZHJzL2Rvd25yZXYueG1sUEsBAhQAFAAAAAgAh07iQCxS9A+VAQAAOAMAAA4AAAAAAAAAAQAg&#10;AAAAKgEAAGRycy9lMm9Eb2MueG1sUEsFBgAAAAAGAAYAWQEAADEFAAAAAA==&#10;">
                <v:fill on="f" focussize="0,0"/>
                <v:stroke on="f"/>
                <v:imagedata o:title=""/>
                <o:lock v:ext="edit" aspectratio="f"/>
                <v:textbox>
                  <w:txbxContent>
                    <w:p w14:paraId="60B54625">
                      <w:pPr>
                        <w:spacing w:line="240" w:lineRule="exact"/>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承包人争取质量创优</w:t>
                      </w:r>
                    </w:p>
                  </w:txbxContent>
                </v:textbox>
              </v:rect>
            </w:pict>
          </mc:Fallback>
        </mc:AlternateContent>
      </w:r>
      <w:r>
        <w:rPr>
          <w:rFonts w:hint="eastAsia" w:ascii="宋体" w:hAnsi="宋体" w:eastAsia="宋体" w:cs="宋体"/>
          <w:caps/>
          <w:color w:val="auto"/>
          <w:sz w:val="24"/>
          <w:highlight w:val="none"/>
        </w:rPr>
        <w:t>承包人应采取有效措施确保合同工程质量与施工安全，在保证工程质量、施工安全达到国家或行业的强制性标准的前提下，提高工程质量与施工安全管理水平，争取合同工程质量创优。</w:t>
      </w:r>
    </w:p>
    <w:p w14:paraId="3964BCD5">
      <w:pPr>
        <w:tabs>
          <w:tab w:val="left" w:pos="1620"/>
        </w:tabs>
        <w:spacing w:line="300" w:lineRule="auto"/>
        <w:rPr>
          <w:rFonts w:hint="eastAsia" w:ascii="宋体" w:hAnsi="宋体" w:eastAsia="宋体" w:cs="宋体"/>
          <w:b/>
          <w:bCs/>
          <w:color w:val="auto"/>
          <w:sz w:val="24"/>
          <w:highlight w:val="none"/>
          <w:u w:val="single"/>
        </w:rPr>
      </w:pPr>
      <w:r>
        <w:rPr>
          <w:rFonts w:hint="eastAsia" w:ascii="宋体" w:hAnsi="宋体" w:eastAsia="宋体" w:cs="宋体"/>
          <w:b/>
          <w:bCs/>
          <w:caps/>
          <w:color w:val="auto"/>
          <w:sz w:val="24"/>
          <w:highlight w:val="none"/>
          <w:u w:val="single"/>
        </w:rPr>
        <w:t xml:space="preserve">                                                                                             </w:t>
      </w:r>
    </w:p>
    <w:p w14:paraId="04EA6A83">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111" w:name="_Toc469384027"/>
      <w:bookmarkStart w:id="112" w:name="_Toc46860848"/>
      <w:r>
        <w:rPr>
          <w:rFonts w:hint="eastAsia" w:hAnsi="宋体" w:eastAsia="宋体" w:cs="宋体"/>
          <w:b/>
          <w:bCs/>
          <w:color w:val="auto"/>
          <w:sz w:val="24"/>
          <w:szCs w:val="24"/>
          <w:highlight w:val="none"/>
        </w:rPr>
        <w:t>44  工程的照管</w:t>
      </w:r>
      <w:bookmarkEnd w:id="111"/>
      <w:bookmarkEnd w:id="112"/>
    </w:p>
    <w:p w14:paraId="15575069">
      <w:pPr>
        <w:adjustRightInd w:val="0"/>
        <w:snapToGrid w:val="0"/>
        <w:spacing w:line="300"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32320"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1195" name="00017e"/>
                <wp:cNvGraphicFramePr/>
                <a:graphic xmlns:a="http://schemas.openxmlformats.org/drawingml/2006/main">
                  <a:graphicData uri="http://schemas.microsoft.com/office/word/2010/wordprocessingShape">
                    <wps:wsp>
                      <wps:cNvSpPr/>
                      <wps:spPr>
                        <a:xfrm>
                          <a:off x="0" y="0"/>
                          <a:ext cx="800100" cy="256539"/>
                        </a:xfrm>
                        <a:prstGeom prst="rect">
                          <a:avLst/>
                        </a:prstGeom>
                        <a:ln>
                          <a:noFill/>
                        </a:ln>
                      </wps:spPr>
                      <wps:txbx>
                        <w:txbxContent>
                          <w:p w14:paraId="705E117F">
                            <w:pPr>
                              <w:spacing w:line="240" w:lineRule="exact"/>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工程照管</w:t>
                            </w:r>
                          </w:p>
                        </w:txbxContent>
                      </wps:txbx>
                      <wps:bodyPr wrap="square"/>
                    </wps:wsp>
                  </a:graphicData>
                </a:graphic>
              </wp:anchor>
            </w:drawing>
          </mc:Choice>
          <mc:Fallback>
            <w:pict>
              <v:rect id="00017e" o:spid="_x0000_s1026" o:spt="1" style="position:absolute;left:0pt;margin-left:-9pt;margin-top:20.8pt;height:20.2pt;width:63pt;z-index:251832320;mso-width-relative:page;mso-height-relative:page;" filled="f" stroked="f" coordsize="21600,21600" o:gfxdata="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&#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fDUtV2AAAAAkBAAAPAAAAAAAAAAEAIAAAACIAAABk&#10;cnMvZG93bnJldi54bWxQSwECFAAUAAAACACHTuJAByOMPpQBAAA4AwAADgAAAAAAAAABACAAAAAn&#10;AQAAZHJzL2Uyb0RvYy54bWxQSwUGAAAAAAYABgBZAQAALQUAAAAA&#10;">
                <v:fill on="f" focussize="0,0"/>
                <v:stroke on="f"/>
                <v:imagedata o:title=""/>
                <o:lock v:ext="edit" aspectratio="f"/>
                <v:textbox>
                  <w:txbxContent>
                    <w:p w14:paraId="705E117F">
                      <w:pPr>
                        <w:spacing w:line="240" w:lineRule="exact"/>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工程照管</w:t>
                      </w:r>
                    </w:p>
                  </w:txbxContent>
                </v:textbox>
              </v:rect>
            </w:pict>
          </mc:Fallback>
        </mc:AlternateContent>
      </w:r>
      <w:r>
        <w:rPr>
          <w:rFonts w:hint="eastAsia" w:ascii="宋体" w:hAnsi="宋体" w:eastAsia="宋体" w:cs="宋体"/>
          <w:b/>
          <w:bCs/>
          <w:color w:val="auto"/>
          <w:sz w:val="24"/>
          <w:highlight w:val="none"/>
        </w:rPr>
        <w:t xml:space="preserve">44.1  </w:t>
      </w:r>
    </w:p>
    <w:p w14:paraId="2FDE5495">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从开工之日起，承包人应全面负责照管合同工程及运至现场将用于和安装在合同工程中的材料和工程设备，直到合同双方当事人确认工程移交之日止。此后，工程的照管即转由发包人负责。</w:t>
      </w:r>
    </w:p>
    <w:p w14:paraId="6E11FDC8">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14:paraId="18A19F38">
      <w:pPr>
        <w:adjustRightInd w:val="0"/>
        <w:snapToGrid w:val="0"/>
        <w:spacing w:line="30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33344"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1196" name="00017f"/>
                <wp:cNvGraphicFramePr/>
                <a:graphic xmlns:a="http://schemas.openxmlformats.org/drawingml/2006/main">
                  <a:graphicData uri="http://schemas.microsoft.com/office/word/2010/wordprocessingShape">
                    <wps:wsp>
                      <wps:cNvSpPr/>
                      <wps:spPr>
                        <a:xfrm>
                          <a:off x="0" y="0"/>
                          <a:ext cx="914400" cy="718185"/>
                        </a:xfrm>
                        <a:prstGeom prst="rect">
                          <a:avLst/>
                        </a:prstGeom>
                        <a:ln>
                          <a:noFill/>
                        </a:ln>
                      </wps:spPr>
                      <wps:txbx>
                        <w:txbxContent>
                          <w:p w14:paraId="25C9EC4A">
                            <w:pPr>
                              <w:spacing w:line="240" w:lineRule="exact"/>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wps:txbx>
                      <wps:bodyPr wrap="square"/>
                    </wps:wsp>
                  </a:graphicData>
                </a:graphic>
              </wp:anchor>
            </w:drawing>
          </mc:Choice>
          <mc:Fallback>
            <w:pict>
              <v:rect id="00017f" o:spid="_x0000_s1026" o:spt="1" style="position:absolute;left:0pt;margin-left:-9pt;margin-top:21.8pt;height:56.55pt;width:72pt;z-index:251833344;mso-width-relative:page;mso-height-relative:page;" filled="f" stroked="f" coordsize="21600,21600" o:gfxdata="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QglTbdsAAAAKAQAADwAAAAAAAAABACAAAAAi&#10;AAAAZHJzL2Rvd25yZXYueG1sUEsBAhQAFAAAAAgAh07iQL0u9viVAQAAOAMAAA4AAAAAAAAAAQAg&#10;AAAAKgEAAGRycy9lMm9Eb2MueG1sUEsFBgAAAAAGAAYAWQEAADEFAAAAAA==&#10;">
                <v:fill on="f" focussize="0,0"/>
                <v:stroke on="f"/>
                <v:imagedata o:title=""/>
                <o:lock v:ext="edit" aspectratio="f"/>
                <v:textbox>
                  <w:txbxContent>
                    <w:p w14:paraId="25C9EC4A">
                      <w:pPr>
                        <w:spacing w:line="240" w:lineRule="exact"/>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v:textbox>
              </v:rect>
            </w:pict>
          </mc:Fallback>
        </mc:AlternateContent>
      </w:r>
      <w:r>
        <w:rPr>
          <w:rFonts w:hint="eastAsia" w:ascii="宋体" w:hAnsi="宋体" w:eastAsia="宋体" w:cs="宋体"/>
          <w:b/>
          <w:bCs/>
          <w:color w:val="auto"/>
          <w:sz w:val="24"/>
          <w:highlight w:val="none"/>
        </w:rPr>
        <w:t>44.2</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14B74CFB">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承包人在负责工程照管期间，如因自身原因造成合同工程或其任何部分，以及材料和工程设备或临时工程的损坏，承包人应自费修复上述损坏，保证合同工程质量达到合同约定的标准。</w:t>
      </w:r>
    </w:p>
    <w:p w14:paraId="6A34245D">
      <w:pPr>
        <w:adjustRightInd w:val="0"/>
        <w:snapToGrid w:val="0"/>
        <w:spacing w:line="300" w:lineRule="auto"/>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2A7DA64F">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113" w:name="_Toc469384028"/>
      <w:bookmarkStart w:id="114" w:name="_Toc46860849"/>
      <w:r>
        <w:rPr>
          <w:rFonts w:hint="eastAsia" w:hAnsi="宋体" w:eastAsia="宋体" w:cs="宋体"/>
          <w:b/>
          <w:bCs/>
          <w:color w:val="auto"/>
          <w:sz w:val="24"/>
          <w:szCs w:val="24"/>
          <w:highlight w:val="none"/>
        </w:rPr>
        <w:t xml:space="preserve">★45  </w:t>
      </w:r>
      <w:bookmarkEnd w:id="113"/>
      <w:r>
        <w:rPr>
          <w:rFonts w:hint="eastAsia" w:hAnsi="宋体" w:eastAsia="宋体" w:cs="宋体"/>
          <w:b/>
          <w:bCs/>
          <w:color w:val="auto"/>
          <w:sz w:val="24"/>
          <w:szCs w:val="24"/>
          <w:highlight w:val="none"/>
        </w:rPr>
        <w:t>绿色施工安全防护</w:t>
      </w:r>
      <w:bookmarkEnd w:id="114"/>
    </w:p>
    <w:p w14:paraId="453DBC40">
      <w:pPr>
        <w:adjustRightInd w:val="0"/>
        <w:snapToGrid w:val="0"/>
        <w:spacing w:line="300"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34368"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1197" name="000180"/>
                <wp:cNvGraphicFramePr/>
                <a:graphic xmlns:a="http://schemas.openxmlformats.org/drawingml/2006/main">
                  <a:graphicData uri="http://schemas.microsoft.com/office/word/2010/wordprocessingShape">
                    <wps:wsp>
                      <wps:cNvSpPr/>
                      <wps:spPr>
                        <a:xfrm>
                          <a:off x="0" y="0"/>
                          <a:ext cx="977900" cy="688975"/>
                        </a:xfrm>
                        <a:prstGeom prst="rect">
                          <a:avLst/>
                        </a:prstGeom>
                        <a:ln>
                          <a:noFill/>
                        </a:ln>
                      </wps:spPr>
                      <wps:txbx>
                        <w:txbxContent>
                          <w:p w14:paraId="343AE54D">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绿色施工安全防护的要求</w:t>
                            </w:r>
                          </w:p>
                        </w:txbxContent>
                      </wps:txbx>
                      <wps:bodyPr wrap="square"/>
                    </wps:wsp>
                  </a:graphicData>
                </a:graphic>
              </wp:anchor>
            </w:drawing>
          </mc:Choice>
          <mc:Fallback>
            <w:pict>
              <v:rect id="000180" o:spid="_x0000_s1026" o:spt="1" style="position:absolute;left:0pt;margin-left:-9pt;margin-top:17.6pt;height:54.25pt;width:77pt;z-index:251834368;mso-width-relative:page;mso-height-relative:page;" filled="f" stroked="f" coordsize="21600,21600" o:gfxdata="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pNsuItsAAAAKAQAADwAAAAAAAAABACAAAAAi&#10;AAAAZHJzL2Rvd25yZXYueG1sUEsBAhQAFAAAAAgAh07iQHNeJMmVAQAAOAMAAA4AAAAAAAAAAQAg&#10;AAAAKgEAAGRycy9lMm9Eb2MueG1sUEsFBgAAAAAGAAYAWQEAADEFAAAAAA==&#10;">
                <v:fill on="f" focussize="0,0"/>
                <v:stroke on="f"/>
                <v:imagedata o:title=""/>
                <o:lock v:ext="edit" aspectratio="f"/>
                <v:textbox>
                  <w:txbxContent>
                    <w:p w14:paraId="343AE54D">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绿色施工安全防护的要求</w:t>
                      </w:r>
                    </w:p>
                  </w:txbxContent>
                </v:textbox>
              </v:rect>
            </w:pict>
          </mc:Fallback>
        </mc:AlternateContent>
      </w:r>
      <w:r>
        <w:rPr>
          <w:rFonts w:hint="eastAsia" w:ascii="宋体" w:hAnsi="宋体" w:eastAsia="宋体" w:cs="宋体"/>
          <w:b/>
          <w:bCs/>
          <w:color w:val="auto"/>
          <w:sz w:val="24"/>
          <w:highlight w:val="none"/>
        </w:rPr>
        <w:t xml:space="preserve">45.1 </w:t>
      </w:r>
      <w:r>
        <w:rPr>
          <w:rFonts w:hint="eastAsia" w:ascii="宋体" w:hAnsi="宋体" w:eastAsia="宋体" w:cs="宋体"/>
          <w:b/>
          <w:bCs/>
          <w:color w:val="auto"/>
          <w:sz w:val="24"/>
          <w:highlight w:val="none"/>
        </w:rPr>
        <w:tab/>
      </w:r>
    </w:p>
    <w:p w14:paraId="05AFDD72">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14:paraId="50376DB3">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79BF172F">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发包人应组织承包人和有关单位进行安全检查，授权监理工程师按合同约定的绿色施工安全防护内容监督、检查承包人实施绿色施工安全防护，并按照第 80 条规定及时向承包人支付绿色施工安全防护费。</w:t>
      </w:r>
    </w:p>
    <w:p w14:paraId="5C0AB8D8">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14:paraId="120DC52C">
      <w:pPr>
        <w:adjustRightInd w:val="0"/>
        <w:snapToGrid w:val="0"/>
        <w:spacing w:line="300" w:lineRule="auto"/>
        <w:ind w:left="1679" w:hanging="1679" w:hangingChars="697"/>
        <w:rPr>
          <w:rFonts w:hint="eastAsia"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45.2  </w:t>
      </w:r>
      <w:r>
        <w:rPr>
          <w:rFonts w:hint="eastAsia" w:ascii="宋体" w:hAnsi="宋体" w:eastAsia="宋体" w:cs="宋体"/>
          <w:b/>
          <w:bCs/>
          <w:color w:val="auto"/>
          <w:sz w:val="24"/>
          <w:highlight w:val="none"/>
          <w:u w:val="dotted"/>
        </w:rPr>
        <w:t xml:space="preserve">                                                                               </w:t>
      </w:r>
    </w:p>
    <w:p w14:paraId="09D81475">
      <w:pPr>
        <w:adjustRightInd w:val="0"/>
        <w:snapToGrid w:val="0"/>
        <w:spacing w:line="300" w:lineRule="auto"/>
        <w:ind w:left="1679" w:hanging="1679" w:hangingChars="697"/>
        <w:rPr>
          <w:rFonts w:hint="eastAsia" w:ascii="宋体" w:hAnsi="宋体" w:eastAsia="宋体" w:cs="宋体"/>
          <w:b/>
          <w:bCs/>
          <w:color w:val="auto"/>
          <w:sz w:val="24"/>
          <w:highlight w:val="none"/>
        </w:rPr>
      </w:pPr>
    </w:p>
    <w:p w14:paraId="020A8750">
      <w:pPr>
        <w:adjustRightInd w:val="0"/>
        <w:snapToGrid w:val="0"/>
        <w:spacing w:line="300" w:lineRule="auto"/>
        <w:ind w:left="1739" w:leftChars="82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房屋建筑和市政基础设施工程应按国家、省、市住房城乡建设主管部门发布的有关用工实名制、工人工资支付分账管理办法、规定等文件要求实施用工实名制、工人工资支付分账。</w:t>
      </w:r>
      <w:r>
        <w:rPr>
          <w:rFonts w:hint="eastAsia" w:ascii="宋体" w:hAnsi="宋体" w:eastAsia="宋体" w:cs="宋体"/>
          <w:b/>
          <w:bCs/>
          <w:color w:val="auto"/>
          <w:sz w:val="24"/>
          <w:highlight w:val="none"/>
        </w:rPr>
        <w:t xml:space="preserve">                                                                            </w:t>
      </w:r>
      <w:r>
        <w:rPr>
          <w:rFonts w:hint="eastAsia" w:ascii="宋体" w:hAnsi="宋体" w:eastAsia="宋体" w:cs="宋体"/>
          <w:color w:val="auto"/>
          <w:sz w:val="24"/>
          <w:highlight w:val="none"/>
        </w:rPr>
        <mc:AlternateContent>
          <mc:Choice Requires="wps">
            <w:drawing>
              <wp:anchor distT="0" distB="0" distL="0" distR="0" simplePos="0" relativeHeight="251835392" behindDoc="0" locked="0" layoutInCell="1" allowOverlap="1">
                <wp:simplePos x="0" y="0"/>
                <wp:positionH relativeFrom="column">
                  <wp:posOffset>-114300</wp:posOffset>
                </wp:positionH>
                <wp:positionV relativeFrom="paragraph">
                  <wp:posOffset>1270</wp:posOffset>
                </wp:positionV>
                <wp:extent cx="977900" cy="607060"/>
                <wp:effectExtent l="0" t="0" r="0" b="0"/>
                <wp:wrapNone/>
                <wp:docPr id="1198" name="000181"/>
                <wp:cNvGraphicFramePr/>
                <a:graphic xmlns:a="http://schemas.openxmlformats.org/drawingml/2006/main">
                  <a:graphicData uri="http://schemas.microsoft.com/office/word/2010/wordprocessingShape">
                    <wps:wsp>
                      <wps:cNvSpPr/>
                      <wps:spPr>
                        <a:xfrm>
                          <a:off x="0" y="0"/>
                          <a:ext cx="977900" cy="607060"/>
                        </a:xfrm>
                        <a:prstGeom prst="rect">
                          <a:avLst/>
                        </a:prstGeom>
                        <a:ln>
                          <a:noFill/>
                        </a:ln>
                      </wps:spPr>
                      <wps:txbx>
                        <w:txbxContent>
                          <w:p w14:paraId="0EFC842A">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wps:txbx>
                      <wps:bodyPr wrap="square"/>
                    </wps:wsp>
                  </a:graphicData>
                </a:graphic>
              </wp:anchor>
            </w:drawing>
          </mc:Choice>
          <mc:Fallback>
            <w:pict>
              <v:rect id="000181" o:spid="_x0000_s1026" o:spt="1" style="position:absolute;left:0pt;margin-left:-9pt;margin-top:0.1pt;height:47.8pt;width:77pt;z-index:251835392;mso-width-relative:page;mso-height-relative:page;" filled="f" stroked="f" coordsize="21600,21600" o:gfxdata="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m2uHVNgAAAAHAQAADwAAAAAAAAABACAAAAAiAAAA&#10;ZHJzL2Rvd25yZXYueG1sUEsBAhQAFAAAAAgAh07iQN/p2T+VAQAAOAMAAA4AAAAAAAAAAQAgAAAA&#10;JwEAAGRycy9lMm9Eb2MueG1sUEsFBgAAAAAGAAYAWQEAAC4FAAAAAA==&#10;">
                <v:fill on="f" focussize="0,0"/>
                <v:stroke on="f"/>
                <v:imagedata o:title=""/>
                <o:lock v:ext="edit" aspectratio="f"/>
                <v:textbox>
                  <w:txbxContent>
                    <w:p w14:paraId="0EFC842A">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v:textbox>
              </v:rect>
            </w:pict>
          </mc:Fallback>
        </mc:AlternateContent>
      </w:r>
    </w:p>
    <w:p w14:paraId="45E7B8C6">
      <w:pPr>
        <w:adjustRightInd w:val="0"/>
        <w:snapToGrid w:val="0"/>
        <w:spacing w:line="300" w:lineRule="auto"/>
        <w:ind w:left="1739" w:leftChars="82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发包人负责协调、监督项目各参建单位按规定落实实名管理，在工程安全文明措施费中明确列支实名管理所需的费用；负责监督施工总承包单位的工人工资支付情况，协调建设项目的工人工资支付事宜。</w:t>
      </w:r>
    </w:p>
    <w:p w14:paraId="5347970C">
      <w:pPr>
        <w:adjustRightInd w:val="0"/>
        <w:snapToGrid w:val="0"/>
        <w:spacing w:line="300" w:lineRule="auto"/>
        <w:ind w:left="1739" w:leftChars="82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建筑施工实名制以建设项目为管理单位。施工总承包企业对实名制管理负总责；专业承包企业和劳务分包企业按照合同约定，对本企业施工范围的实名制管理负责。</w:t>
      </w:r>
    </w:p>
    <w:p w14:paraId="25232F77">
      <w:pPr>
        <w:adjustRightInd w:val="0"/>
        <w:snapToGrid w:val="0"/>
        <w:spacing w:line="300" w:lineRule="auto"/>
        <w:ind w:left="1677" w:leftChars="570" w:hanging="480" w:hangingChars="200"/>
        <w:rPr>
          <w:rFonts w:hint="eastAsia" w:ascii="宋体" w:hAnsi="宋体" w:eastAsia="宋体" w:cs="宋体"/>
          <w:b/>
          <w:bCs/>
          <w:color w:val="auto"/>
          <w:sz w:val="24"/>
          <w:highlight w:val="none"/>
          <w:u w:val="dotted"/>
        </w:rPr>
      </w:pPr>
      <w:r>
        <w:rPr>
          <w:rFonts w:hint="eastAsia" w:ascii="宋体" w:hAnsi="宋体" w:eastAsia="宋体" w:cs="宋体"/>
          <w:color w:val="auto"/>
          <w:sz w:val="24"/>
          <w:highlight w:val="none"/>
        </w:rPr>
        <w:t xml:space="preserve">    发包人、施工总承包企业、专业承包企业和劳务分包企业存在违反有关文件规定情形的，需承担相应的责任。</w:t>
      </w:r>
    </w:p>
    <w:p w14:paraId="6F57FE3B">
      <w:pPr>
        <w:adjustRightInd w:val="0"/>
        <w:snapToGrid w:val="0"/>
        <w:spacing w:line="300" w:lineRule="auto"/>
        <w:rPr>
          <w:rFonts w:hint="eastAsia" w:ascii="宋体" w:hAnsi="宋体" w:eastAsia="宋体" w:cs="宋体"/>
          <w:color w:val="auto"/>
          <w:sz w:val="24"/>
          <w:highlight w:val="none"/>
        </w:rPr>
      </w:pPr>
    </w:p>
    <w:p w14:paraId="657B4108">
      <w:pPr>
        <w:adjustRightInd w:val="0"/>
        <w:snapToGrid w:val="0"/>
        <w:spacing w:line="300" w:lineRule="auto"/>
        <w:ind w:left="1679" w:hanging="1679" w:hangingChars="697"/>
        <w:rPr>
          <w:rFonts w:hint="eastAsia"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45.3  </w:t>
      </w:r>
      <w:r>
        <w:rPr>
          <w:rFonts w:hint="eastAsia" w:ascii="宋体" w:hAnsi="宋体" w:eastAsia="宋体" w:cs="宋体"/>
          <w:b/>
          <w:bCs/>
          <w:color w:val="auto"/>
          <w:sz w:val="24"/>
          <w:highlight w:val="none"/>
          <w:u w:val="dotted"/>
        </w:rPr>
        <w:t xml:space="preserve">                                                                               </w:t>
      </w:r>
    </w:p>
    <w:p w14:paraId="39EDFDD2">
      <w:pPr>
        <w:adjustRightInd w:val="0"/>
        <w:snapToGrid w:val="0"/>
        <w:spacing w:line="300" w:lineRule="auto"/>
        <w:ind w:left="1679" w:hanging="1679" w:hangingChars="697"/>
        <w:rPr>
          <w:rFonts w:hint="eastAsia" w:ascii="宋体" w:hAnsi="宋体" w:eastAsia="宋体" w:cs="宋体"/>
          <w:b/>
          <w:bCs/>
          <w:color w:val="auto"/>
          <w:sz w:val="24"/>
          <w:highlight w:val="none"/>
        </w:rPr>
      </w:pPr>
    </w:p>
    <w:p w14:paraId="260F92B4">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36416"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1199" name="000182"/>
                <wp:cNvGraphicFramePr/>
                <a:graphic xmlns:a="http://schemas.openxmlformats.org/drawingml/2006/main">
                  <a:graphicData uri="http://schemas.microsoft.com/office/word/2010/wordprocessingShape">
                    <wps:wsp>
                      <wps:cNvSpPr/>
                      <wps:spPr>
                        <a:xfrm>
                          <a:off x="0" y="0"/>
                          <a:ext cx="977900" cy="396240"/>
                        </a:xfrm>
                        <a:prstGeom prst="rect">
                          <a:avLst/>
                        </a:prstGeom>
                        <a:ln>
                          <a:noFill/>
                        </a:ln>
                      </wps:spPr>
                      <wps:txbx>
                        <w:txbxContent>
                          <w:p w14:paraId="6C53D541">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建设单位责任</w:t>
                            </w:r>
                          </w:p>
                        </w:txbxContent>
                      </wps:txbx>
                      <wps:bodyPr wrap="square"/>
                    </wps:wsp>
                  </a:graphicData>
                </a:graphic>
              </wp:anchor>
            </w:drawing>
          </mc:Choice>
          <mc:Fallback>
            <w:pict>
              <v:rect id="000182" o:spid="_x0000_s1026" o:spt="1" style="position:absolute;left:0pt;margin-left:-9pt;margin-top:0.1pt;height:31.2pt;width:77pt;z-index:251836416;mso-width-relative:page;mso-height-relative:page;" filled="f" stroked="f" coordsize="21600,21600" o:gfxdata="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LBUq23XAAAABwEAAA8AAAAAAAAAAQAgAAAAIgAA&#10;AGRycy9kb3ducmV2LnhtbFBLAQIUABQAAAAIAIdO4kCowylulwEAADgDAAAOAAAAAAAAAAEAIAAA&#10;ACYBAABkcnMvZTJvRG9jLnhtbFBLBQYAAAAABgAGAFkBAAAvBQAAAAA=&#10;">
                <v:fill on="f" focussize="0,0"/>
                <v:stroke on="f"/>
                <v:imagedata o:title=""/>
                <o:lock v:ext="edit" aspectratio="f"/>
                <v:textbox>
                  <w:txbxContent>
                    <w:p w14:paraId="6C53D541">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建设单位责任</w:t>
                      </w:r>
                    </w:p>
                  </w:txbxContent>
                </v:textbox>
              </v:rect>
            </w:pict>
          </mc:Fallback>
        </mc:AlternateContent>
      </w:r>
      <w:r>
        <w:rPr>
          <w:rFonts w:hint="eastAsia" w:ascii="宋体" w:hAnsi="宋体" w:eastAsia="宋体" w:cs="宋体"/>
          <w:color w:val="auto"/>
          <w:sz w:val="24"/>
          <w:highlight w:val="none"/>
        </w:rPr>
        <w:t>在合同工程实施、完成及保修期间，发包人承担下列责任：</w:t>
      </w:r>
    </w:p>
    <w:p w14:paraId="4BE1E1A6">
      <w:pPr>
        <w:adjustRightInd w:val="0"/>
        <w:snapToGrid w:val="0"/>
        <w:spacing w:line="300" w:lineRule="auto"/>
        <w:ind w:left="1619" w:leftChars="771" w:firstLine="60" w:firstLineChars="25"/>
        <w:rPr>
          <w:rFonts w:hint="eastAsia" w:ascii="宋体" w:hAnsi="宋体" w:eastAsia="宋体" w:cs="宋体"/>
          <w:color w:val="auto"/>
          <w:sz w:val="24"/>
          <w:highlight w:val="none"/>
        </w:rPr>
      </w:pPr>
      <w:r>
        <w:rPr>
          <w:rFonts w:hint="eastAsia" w:ascii="宋体" w:hAnsi="宋体" w:eastAsia="宋体" w:cs="宋体"/>
          <w:color w:val="auto"/>
          <w:sz w:val="24"/>
          <w:highlight w:val="none"/>
        </w:rPr>
        <w:t>（1）发包人应配合承包人做好绿色施工安全防护工作，定期对其现场机构雇佣的全部人员进行绿色施工安全防护教育和培训。</w:t>
      </w:r>
    </w:p>
    <w:p w14:paraId="2226FACA">
      <w:pPr>
        <w:adjustRightInd w:val="0"/>
        <w:snapToGrid w:val="0"/>
        <w:spacing w:line="300" w:lineRule="auto"/>
        <w:ind w:left="1575" w:leftChars="750"/>
        <w:rPr>
          <w:rFonts w:hint="eastAsia" w:ascii="宋体" w:hAnsi="宋体" w:eastAsia="宋体" w:cs="宋体"/>
          <w:color w:val="auto"/>
          <w:sz w:val="24"/>
          <w:highlight w:val="none"/>
        </w:rPr>
      </w:pPr>
      <w:r>
        <w:rPr>
          <w:rFonts w:hint="eastAsia" w:ascii="宋体" w:hAnsi="宋体" w:eastAsia="宋体" w:cs="宋体"/>
          <w:color w:val="auto"/>
          <w:sz w:val="24"/>
          <w:highlight w:val="none"/>
        </w:rPr>
        <w:t>（2）发包人应对其现场机构雇佣的全部人员的安全事故承担责任，但由于承包人原因造成发包人人员安全事故的，应由承包人承担责任。</w:t>
      </w:r>
    </w:p>
    <w:p w14:paraId="0E72F014">
      <w:pPr>
        <w:adjustRightInd w:val="0"/>
        <w:snapToGrid w:val="0"/>
        <w:spacing w:line="300" w:lineRule="auto"/>
        <w:ind w:left="1574" w:leftChars="743" w:hanging="14" w:hangingChars="6"/>
        <w:rPr>
          <w:rFonts w:hint="eastAsia" w:ascii="宋体" w:hAnsi="宋体" w:eastAsia="宋体" w:cs="宋体"/>
          <w:color w:val="auto"/>
          <w:sz w:val="24"/>
          <w:highlight w:val="none"/>
        </w:rPr>
      </w:pPr>
      <w:r>
        <w:rPr>
          <w:rFonts w:hint="eastAsia" w:ascii="宋体" w:hAnsi="宋体" w:eastAsia="宋体" w:cs="宋体"/>
          <w:color w:val="auto"/>
          <w:sz w:val="24"/>
          <w:highlight w:val="none"/>
        </w:rPr>
        <w:t>（3）发包人有下列行为之一或由于发包人原因造成安全事故的，由发包人承担责任，由此增加的费用和延误的工期由发包人承担。</w:t>
      </w:r>
    </w:p>
    <w:p w14:paraId="6606AC35">
      <w:pPr>
        <w:tabs>
          <w:tab w:val="left" w:pos="1980"/>
        </w:tabs>
        <w:adjustRightInd w:val="0"/>
        <w:snapToGrid w:val="0"/>
        <w:spacing w:line="300" w:lineRule="auto"/>
        <w:ind w:firstLine="1680" w:firstLineChars="700"/>
        <w:rPr>
          <w:rFonts w:hint="eastAsia" w:ascii="宋体" w:hAnsi="宋体" w:eastAsia="宋体" w:cs="宋体"/>
          <w:color w:val="auto"/>
          <w:sz w:val="24"/>
          <w:highlight w:val="none"/>
        </w:rPr>
      </w:pPr>
      <w:r>
        <w:rPr>
          <w:rFonts w:hint="eastAsia" w:ascii="宋体" w:hAnsi="宋体" w:eastAsia="宋体" w:cs="宋体"/>
          <w:color w:val="auto"/>
          <w:sz w:val="24"/>
          <w:highlight w:val="none"/>
        </w:rPr>
        <w:t>1）要求承包人违反绿色施工安全防护操作规程施工的；</w:t>
      </w:r>
    </w:p>
    <w:p w14:paraId="6D35DF78">
      <w:pPr>
        <w:tabs>
          <w:tab w:val="left" w:pos="1980"/>
        </w:tabs>
        <w:adjustRightInd w:val="0"/>
        <w:snapToGrid w:val="0"/>
        <w:spacing w:line="300" w:lineRule="auto"/>
        <w:ind w:left="1619" w:leftChars="771" w:firstLine="60" w:firstLineChars="25"/>
        <w:rPr>
          <w:rFonts w:hint="eastAsia" w:ascii="宋体" w:hAnsi="宋体" w:eastAsia="宋体" w:cs="宋体"/>
          <w:color w:val="auto"/>
          <w:sz w:val="24"/>
          <w:highlight w:val="none"/>
        </w:rPr>
      </w:pPr>
      <w:r>
        <w:rPr>
          <w:rFonts w:hint="eastAsia" w:ascii="宋体" w:hAnsi="宋体" w:eastAsia="宋体" w:cs="宋体"/>
          <w:color w:val="auto"/>
          <w:sz w:val="24"/>
          <w:highlight w:val="none"/>
        </w:rPr>
        <w:t>2）对承包人提出不符合国家、省有关安绿色施工安全防护全文明施工法律和强制性标准规定要求的；</w:t>
      </w:r>
    </w:p>
    <w:p w14:paraId="6D74229F">
      <w:pPr>
        <w:tabs>
          <w:tab w:val="left" w:pos="1980"/>
        </w:tabs>
        <w:adjustRightInd w:val="0"/>
        <w:snapToGrid w:val="0"/>
        <w:spacing w:line="300" w:lineRule="auto"/>
        <w:ind w:left="1676" w:leftChars="798"/>
        <w:rPr>
          <w:rFonts w:hint="eastAsia" w:ascii="宋体" w:hAnsi="宋体" w:eastAsia="宋体" w:cs="宋体"/>
          <w:color w:val="auto"/>
          <w:sz w:val="24"/>
          <w:highlight w:val="none"/>
        </w:rPr>
      </w:pPr>
      <w:r>
        <w:rPr>
          <w:rFonts w:hint="eastAsia" w:ascii="宋体" w:hAnsi="宋体" w:eastAsia="宋体" w:cs="宋体"/>
          <w:color w:val="auto"/>
          <w:sz w:val="24"/>
          <w:highlight w:val="none"/>
        </w:rPr>
        <w:t>3）明示或暗示承包人购买、租赁、使用不符合安全施工要求的安全防护用具、机械设备、施工机具及配件、消防设施和器材的。</w:t>
      </w:r>
    </w:p>
    <w:p w14:paraId="448E487D">
      <w:pPr>
        <w:adjustRightInd w:val="0"/>
        <w:snapToGrid w:val="0"/>
        <w:spacing w:line="300" w:lineRule="auto"/>
        <w:ind w:left="1575" w:leftChars="750"/>
        <w:rPr>
          <w:rFonts w:hint="eastAsia" w:ascii="宋体" w:hAnsi="宋体" w:eastAsia="宋体" w:cs="宋体"/>
          <w:color w:val="auto"/>
          <w:sz w:val="24"/>
          <w:highlight w:val="none"/>
        </w:rPr>
      </w:pPr>
      <w:r>
        <w:rPr>
          <w:rFonts w:hint="eastAsia" w:ascii="宋体" w:hAnsi="宋体" w:eastAsia="宋体" w:cs="宋体"/>
          <w:color w:val="auto"/>
          <w:sz w:val="24"/>
          <w:highlight w:val="none"/>
        </w:rPr>
        <w:t>（4）发包人应负责赔偿下列情形造成的第三者人身伤亡和财产 损失。</w:t>
      </w:r>
    </w:p>
    <w:p w14:paraId="2FF2B312">
      <w:pPr>
        <w:adjustRightInd w:val="0"/>
        <w:snapToGrid w:val="0"/>
        <w:spacing w:line="300" w:lineRule="auto"/>
        <w:ind w:left="1680" w:leftChars="800"/>
        <w:rPr>
          <w:rFonts w:hint="eastAsia" w:ascii="宋体" w:hAnsi="宋体" w:eastAsia="宋体" w:cs="宋体"/>
          <w:color w:val="auto"/>
          <w:sz w:val="24"/>
          <w:highlight w:val="none"/>
        </w:rPr>
      </w:pPr>
      <w:r>
        <w:rPr>
          <w:rFonts w:hint="eastAsia" w:ascii="宋体" w:hAnsi="宋体" w:eastAsia="宋体" w:cs="宋体"/>
          <w:color w:val="auto"/>
          <w:sz w:val="24"/>
          <w:highlight w:val="none"/>
        </w:rPr>
        <w:t>1）工程或工程的任何部分对土地的占用所造成的第三者财产损失；</w:t>
      </w:r>
    </w:p>
    <w:p w14:paraId="0F8AC4AF">
      <w:pPr>
        <w:adjustRightInd w:val="0"/>
        <w:snapToGrid w:val="0"/>
        <w:spacing w:line="300" w:lineRule="auto"/>
        <w:ind w:left="1796" w:leftChars="798" w:hanging="120" w:hanging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2）由于发包人原因在施工场地及其毗邻造成的第三者人身伤亡和财产损失。</w:t>
      </w:r>
    </w:p>
    <w:p w14:paraId="338D31B6">
      <w:pPr>
        <w:adjustRightInd w:val="0"/>
        <w:snapToGrid w:val="0"/>
        <w:spacing w:line="300" w:lineRule="auto"/>
        <w:rPr>
          <w:rFonts w:hint="eastAsia" w:ascii="宋体" w:hAnsi="宋体" w:eastAsia="宋体" w:cs="宋体"/>
          <w:color w:val="auto"/>
          <w:sz w:val="24"/>
          <w:highlight w:val="none"/>
          <w:u w:val="dotted"/>
        </w:rPr>
      </w:pPr>
      <w:r>
        <w:rPr>
          <w:rFonts w:hint="eastAsia" w:ascii="宋体" w:hAnsi="宋体" w:eastAsia="宋体" w:cs="宋体"/>
          <w:b/>
          <w:bCs/>
          <w:color w:val="auto"/>
          <w:sz w:val="24"/>
          <w:highlight w:val="none"/>
        </w:rPr>
        <w:t xml:space="preserve">45.4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27C1EF70">
      <w:pPr>
        <w:adjustRightInd w:val="0"/>
        <w:snapToGrid w:val="0"/>
        <w:spacing w:line="30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37440" behindDoc="0" locked="0" layoutInCell="1" allowOverlap="1">
                <wp:simplePos x="0" y="0"/>
                <wp:positionH relativeFrom="column">
                  <wp:posOffset>-114300</wp:posOffset>
                </wp:positionH>
                <wp:positionV relativeFrom="paragraph">
                  <wp:posOffset>198120</wp:posOffset>
                </wp:positionV>
                <wp:extent cx="1028700" cy="567055"/>
                <wp:effectExtent l="0" t="0" r="0" b="0"/>
                <wp:wrapNone/>
                <wp:docPr id="1200" name="000183"/>
                <wp:cNvGraphicFramePr/>
                <a:graphic xmlns:a="http://schemas.openxmlformats.org/drawingml/2006/main">
                  <a:graphicData uri="http://schemas.microsoft.com/office/word/2010/wordprocessingShape">
                    <wps:wsp>
                      <wps:cNvSpPr/>
                      <wps:spPr>
                        <a:xfrm>
                          <a:off x="0" y="0"/>
                          <a:ext cx="1028700" cy="567055"/>
                        </a:xfrm>
                        <a:prstGeom prst="rect">
                          <a:avLst/>
                        </a:prstGeom>
                        <a:ln>
                          <a:noFill/>
                        </a:ln>
                      </wps:spPr>
                      <wps:txbx>
                        <w:txbxContent>
                          <w:p w14:paraId="22009BEB">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承包人责任</w:t>
                            </w:r>
                          </w:p>
                        </w:txbxContent>
                      </wps:txbx>
                      <wps:bodyPr wrap="square"/>
                    </wps:wsp>
                  </a:graphicData>
                </a:graphic>
              </wp:anchor>
            </w:drawing>
          </mc:Choice>
          <mc:Fallback>
            <w:pict>
              <v:rect id="000183" o:spid="_x0000_s1026" o:spt="1" style="position:absolute;left:0pt;margin-left:-9pt;margin-top:15.6pt;height:44.65pt;width:81pt;z-index:251837440;mso-width-relative:page;mso-height-relative:page;" filled="f" stroked="f" coordsize="21600,21600" o:gfxdata="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GJzkyfaAAAACgEAAA8AAAAAAAAAAQAgAAAAIgAA&#10;AGRycy9kb3ducmV2LnhtbFBLAQIUABQAAAAIAIdO4kAZSyR1lAEAADkDAAAOAAAAAAAAAAEAIAAA&#10;ACkBAABkcnMvZTJvRG9jLnhtbFBLBQYAAAAABgAGAFkBAAAvBQAAAAA=&#10;">
                <v:fill on="f" focussize="0,0"/>
                <v:stroke on="f"/>
                <v:imagedata o:title=""/>
                <o:lock v:ext="edit" aspectratio="f"/>
                <v:textbox>
                  <w:txbxContent>
                    <w:p w14:paraId="22009BEB">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承包人责任</w:t>
                      </w:r>
                    </w:p>
                  </w:txbxContent>
                </v:textbox>
              </v:rect>
            </w:pict>
          </mc:Fallback>
        </mc:AlternateContent>
      </w:r>
    </w:p>
    <w:p w14:paraId="6A39955D">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在合同工程实施、完成及保修期间，承包人承担下列责任：</w:t>
      </w:r>
    </w:p>
    <w:p w14:paraId="30F0D381">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（1）承包人应严格按照国家、省、市有关绿色施工安全防护的标准、内容与规范制定绿色施工安全防护操作规程，配备必要的安全生产和劳动保护设施，加强对承包人人员的施工安全教育和培训。</w:t>
      </w:r>
    </w:p>
    <w:p w14:paraId="2F10CF0A">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（2）承包人应对合同工程的绿色施工安全防护负责，采取有效的安全措施消除安全事故隐患，并接受和配合依法实施的监督检查。</w:t>
      </w:r>
    </w:p>
    <w:p w14:paraId="1F65979A">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3）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14:paraId="04002CC6">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（4）承包人应按监理工程师的指令制定应对灾害的紧急预案，并按预案做好安全检查，配置必要的救助物资和器材，切实保护好有关人员的人身和财产安全。</w:t>
      </w:r>
    </w:p>
    <w:p w14:paraId="441EFBB5">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（5）承包人违反本条规定或由于承包人原因造成安全事故的，由承包人承担责任，由此增加的费用和延误的工期由承包人承担。</w:t>
      </w:r>
    </w:p>
    <w:p w14:paraId="5D22921D">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（6）承包人应对其履行合同所雇佣的全部人员，包括分包人人员的安全事故承担责任，但由于发包人原因造成承包人人员安全事故的，应由发包人承担责任。</w:t>
      </w:r>
    </w:p>
    <w:p w14:paraId="141855F9">
      <w:pPr>
        <w:adjustRightInd w:val="0"/>
        <w:snapToGrid w:val="0"/>
        <w:spacing w:line="300" w:lineRule="auto"/>
        <w:ind w:left="1619" w:leftChars="771" w:firstLine="60" w:firstLineChars="25"/>
        <w:rPr>
          <w:rFonts w:hint="eastAsia" w:ascii="宋体" w:hAnsi="宋体" w:eastAsia="宋体" w:cs="宋体"/>
          <w:color w:val="auto"/>
          <w:sz w:val="24"/>
          <w:highlight w:val="none"/>
        </w:rPr>
      </w:pPr>
      <w:r>
        <w:rPr>
          <w:rFonts w:hint="eastAsia" w:ascii="宋体" w:hAnsi="宋体" w:eastAsia="宋体" w:cs="宋体"/>
          <w:color w:val="auto"/>
          <w:sz w:val="24"/>
          <w:highlight w:val="none"/>
        </w:rPr>
        <w:t>（7）由于承包人原因在施工场地内及其毗邻造成的第三者人身伤亡和财产损失，由承包人负责赔偿。</w:t>
      </w:r>
    </w:p>
    <w:p w14:paraId="21A9C522">
      <w:pPr>
        <w:adjustRightInd w:val="0"/>
        <w:snapToGrid w:val="0"/>
        <w:spacing w:line="300" w:lineRule="auto"/>
        <w:rPr>
          <w:rFonts w:hint="eastAsia" w:ascii="宋体" w:hAnsi="宋体" w:eastAsia="宋体" w:cs="宋体"/>
          <w:color w:val="auto"/>
          <w:sz w:val="24"/>
          <w:highlight w:val="none"/>
          <w:u w:val="dotted"/>
        </w:rPr>
      </w:pPr>
      <w:r>
        <w:rPr>
          <w:rFonts w:hint="eastAsia" w:ascii="宋体" w:hAnsi="宋体" w:eastAsia="宋体" w:cs="宋体"/>
          <w:b/>
          <w:bCs/>
          <w:color w:val="auto"/>
          <w:sz w:val="24"/>
          <w:highlight w:val="none"/>
        </w:rPr>
        <w:t xml:space="preserve">45.5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246CE6FE">
      <w:pPr>
        <w:adjustRightInd w:val="0"/>
        <w:snapToGrid w:val="0"/>
        <w:spacing w:line="30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38464" behindDoc="0" locked="0" layoutInCell="1" allowOverlap="1">
                <wp:simplePos x="0" y="0"/>
                <wp:positionH relativeFrom="column">
                  <wp:posOffset>-114300</wp:posOffset>
                </wp:positionH>
                <wp:positionV relativeFrom="paragraph">
                  <wp:posOffset>219710</wp:posOffset>
                </wp:positionV>
                <wp:extent cx="954405" cy="479425"/>
                <wp:effectExtent l="0" t="0" r="0" b="0"/>
                <wp:wrapNone/>
                <wp:docPr id="1201" name="000184"/>
                <wp:cNvGraphicFramePr/>
                <a:graphic xmlns:a="http://schemas.openxmlformats.org/drawingml/2006/main">
                  <a:graphicData uri="http://schemas.microsoft.com/office/word/2010/wordprocessingShape">
                    <wps:wsp>
                      <wps:cNvSpPr/>
                      <wps:spPr>
                        <a:xfrm>
                          <a:off x="0" y="0"/>
                          <a:ext cx="954405" cy="479425"/>
                        </a:xfrm>
                        <a:prstGeom prst="rect">
                          <a:avLst/>
                        </a:prstGeom>
                        <a:ln>
                          <a:noFill/>
                        </a:ln>
                      </wps:spPr>
                      <wps:txbx>
                        <w:txbxContent>
                          <w:p w14:paraId="33BDEC21">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施工措施的审查与整改</w:t>
                            </w:r>
                          </w:p>
                        </w:txbxContent>
                      </wps:txbx>
                      <wps:bodyPr wrap="square"/>
                    </wps:wsp>
                  </a:graphicData>
                </a:graphic>
              </wp:anchor>
            </w:drawing>
          </mc:Choice>
          <mc:Fallback>
            <w:pict>
              <v:rect id="000184" o:spid="_x0000_s1026" o:spt="1" style="position:absolute;left:0pt;margin-left:-9pt;margin-top:17.3pt;height:37.75pt;width:75.15pt;z-index:251838464;mso-width-relative:page;mso-height-relative:page;" filled="f" stroked="f" coordsize="21600,21600" o:gfxdata="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89QTK9sAAAAKAQAADwAAAAAAAAABACAAAAAi&#10;AAAAZHJzL2Rvd25yZXYueG1sUEsBAhQAFAAAAAgAh07iQDPfw/GVAQAAOAMAAA4AAAAAAAAAAQAg&#10;AAAAKgEAAGRycy9lMm9Eb2MueG1sUEsFBgAAAAAGAAYAWQEAADEFAAAAAA==&#10;">
                <v:fill on="f" focussize="0,0"/>
                <v:stroke on="f"/>
                <v:imagedata o:title=""/>
                <o:lock v:ext="edit" aspectratio="f"/>
                <v:textbox>
                  <w:txbxContent>
                    <w:p w14:paraId="33BDEC21">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施工措施的审查与整改</w:t>
                      </w:r>
                    </w:p>
                  </w:txbxContent>
                </v:textbox>
              </v:rect>
            </w:pict>
          </mc:Fallback>
        </mc:AlternateContent>
      </w:r>
    </w:p>
    <w:p w14:paraId="3B6D8059">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委托第三方采取措施。该款项经造价工程师核实后，由发包人从应付或将付给承包人的款项中扣除。</w:t>
      </w:r>
    </w:p>
    <w:p w14:paraId="609EDF8D">
      <w:pPr>
        <w:adjustRightInd w:val="0"/>
        <w:snapToGrid w:val="0"/>
        <w:spacing w:line="30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45.6</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2E0A68AC">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39488"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1202" name="000185"/>
                <wp:cNvGraphicFramePr/>
                <a:graphic xmlns:a="http://schemas.openxmlformats.org/drawingml/2006/main">
                  <a:graphicData uri="http://schemas.microsoft.com/office/word/2010/wordprocessingShape">
                    <wps:wsp>
                      <wps:cNvSpPr/>
                      <wps:spPr>
                        <a:xfrm>
                          <a:off x="0" y="0"/>
                          <a:ext cx="800100" cy="720090"/>
                        </a:xfrm>
                        <a:prstGeom prst="rect">
                          <a:avLst/>
                        </a:prstGeom>
                        <a:ln>
                          <a:noFill/>
                        </a:ln>
                      </wps:spPr>
                      <wps:txbx>
                        <w:txbxContent>
                          <w:p w14:paraId="093C20A4">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治安管理</w:t>
                            </w:r>
                          </w:p>
                        </w:txbxContent>
                      </wps:txbx>
                      <wps:bodyPr wrap="square"/>
                    </wps:wsp>
                  </a:graphicData>
                </a:graphic>
              </wp:anchor>
            </w:drawing>
          </mc:Choice>
          <mc:Fallback>
            <w:pict>
              <v:rect id="000185" o:spid="_x0000_s1026" o:spt="1" style="position:absolute;left:0pt;margin-left:-6.6pt;margin-top:0.9pt;height:56.7pt;width:63pt;z-index:251839488;mso-width-relative:page;mso-height-relative:page;" filled="f" stroked="f" coordsize="21600,21600" o:gfxdata="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Y2zzQNcAAAAJAQAADwAAAAAAAAABACAAAAAiAAAAZHJz&#10;L2Rvd25yZXYueG1sUEsBAhQAFAAAAAgAh07iQO+Oa06TAQAAOAMAAA4AAAAAAAAAAQAgAAAAJgEA&#10;AGRycy9lMm9Eb2MueG1sUEsFBgAAAAAGAAYAWQEAACsFAAAAAA==&#10;">
                <v:fill on="f" focussize="0,0"/>
                <v:stroke on="f"/>
                <v:imagedata o:title=""/>
                <o:lock v:ext="edit" aspectratio="f"/>
                <v:textbox>
                  <w:txbxContent>
                    <w:p w14:paraId="093C20A4">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治安管理</w:t>
                      </w:r>
                    </w:p>
                  </w:txbxContent>
                </v:textbox>
              </v:rect>
            </w:pict>
          </mc:Fallback>
        </mc:AlternateContent>
      </w:r>
      <w:r>
        <w:rPr>
          <w:rFonts w:hint="eastAsia" w:ascii="宋体" w:hAnsi="宋体" w:eastAsia="宋体" w:cs="宋体"/>
          <w:color w:val="auto"/>
          <w:sz w:val="24"/>
          <w:highlight w:val="none"/>
        </w:rPr>
        <w:t>合同双方当事人不仅应协助现场治安管理机构或联防组织维护施工场地的社会治安，而且应做好包括有关人员现场生活、居住场所在内的施工场地内的治安保卫工作。</w:t>
      </w:r>
    </w:p>
    <w:p w14:paraId="3B9181A9">
      <w:pPr>
        <w:adjustRightInd w:val="0"/>
        <w:snapToGrid w:val="0"/>
        <w:spacing w:line="300" w:lineRule="auto"/>
        <w:ind w:left="1575" w:leftChars="750"/>
        <w:rPr>
          <w:rFonts w:hint="eastAsia" w:ascii="宋体" w:hAnsi="宋体" w:eastAsia="宋体" w:cs="宋体"/>
          <w:color w:val="auto"/>
          <w:sz w:val="24"/>
          <w:highlight w:val="none"/>
        </w:rPr>
      </w:pPr>
      <w:r>
        <w:rPr>
          <w:rFonts w:hint="eastAsia" w:ascii="宋体" w:hAnsi="宋体" w:eastAsia="宋体" w:cs="宋体"/>
          <w:color w:val="auto"/>
          <w:sz w:val="24"/>
          <w:highlight w:val="none"/>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14:paraId="03EFA94D">
      <w:pPr>
        <w:adjustRightInd w:val="0"/>
        <w:snapToGrid w:val="0"/>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45.7  </w:t>
      </w:r>
      <w:r>
        <w:rPr>
          <w:rFonts w:hint="eastAsia" w:ascii="宋体" w:hAnsi="宋体" w:eastAsia="宋体" w:cs="宋体"/>
          <w:b/>
          <w:bCs/>
          <w:color w:val="auto"/>
          <w:sz w:val="24"/>
          <w:highlight w:val="none"/>
          <w:u w:val="dotted"/>
        </w:rPr>
        <w:t xml:space="preserve">                                                                                                        </w:t>
      </w:r>
      <w:r>
        <w:rPr>
          <w:rFonts w:hint="eastAsia" w:ascii="宋体" w:hAnsi="宋体" w:eastAsia="宋体" w:cs="宋体"/>
          <w:b/>
          <w:bCs/>
          <w:color w:val="auto"/>
          <w:sz w:val="24"/>
          <w:highlight w:val="none"/>
        </w:rPr>
        <w:t xml:space="preserve"> </w:t>
      </w:r>
    </w:p>
    <w:p w14:paraId="0087A825">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40512"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1203" name="000186"/>
                <wp:cNvGraphicFramePr/>
                <a:graphic xmlns:a="http://schemas.openxmlformats.org/drawingml/2006/main">
                  <a:graphicData uri="http://schemas.microsoft.com/office/word/2010/wordprocessingShape">
                    <wps:wsp>
                      <wps:cNvSpPr/>
                      <wps:spPr>
                        <a:xfrm>
                          <a:off x="0" y="0"/>
                          <a:ext cx="873760" cy="650875"/>
                        </a:xfrm>
                        <a:prstGeom prst="rect">
                          <a:avLst/>
                        </a:prstGeom>
                        <a:ln>
                          <a:noFill/>
                        </a:ln>
                      </wps:spPr>
                      <wps:txbx>
                        <w:txbxContent>
                          <w:p w14:paraId="33A22C10">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施工场地的环保、卫生要求</w:t>
                            </w:r>
                          </w:p>
                        </w:txbxContent>
                      </wps:txbx>
                      <wps:bodyPr wrap="square"/>
                    </wps:wsp>
                  </a:graphicData>
                </a:graphic>
              </wp:anchor>
            </w:drawing>
          </mc:Choice>
          <mc:Fallback>
            <w:pict>
              <v:rect id="000186" o:spid="_x0000_s1026" o:spt="1" style="position:absolute;left:0pt;margin-left:-5.8pt;margin-top:1.25pt;height:51.25pt;width:68.8pt;z-index:251840512;mso-width-relative:page;mso-height-relative:page;" filled="f" stroked="f" coordsize="21600,21600" o:gfxdata="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MUd7f7ZAAAACQEAAA8AAAAAAAAAAQAgAAAAIgAA&#10;AGRycy9kb3ducmV2LnhtbFBLAQIUABQAAAAIAIdO4kASkadYlQEAADgDAAAOAAAAAAAAAAEAIAAA&#10;ACgBAABkcnMvZTJvRG9jLnhtbFBLBQYAAAAABgAGAFkBAAAvBQAAAAA=&#10;">
                <v:fill on="f" focussize="0,0"/>
                <v:stroke on="f"/>
                <v:imagedata o:title=""/>
                <o:lock v:ext="edit" aspectratio="f"/>
                <v:textbox>
                  <w:txbxContent>
                    <w:p w14:paraId="33A22C10">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施工场地的环保、卫生要求</w:t>
                      </w:r>
                    </w:p>
                  </w:txbxContent>
                </v:textbox>
              </v:rect>
            </w:pict>
          </mc:Fallback>
        </mc:AlternateContent>
      </w:r>
      <w:r>
        <w:rPr>
          <w:rFonts w:hint="eastAsia" w:ascii="宋体" w:hAnsi="宋体" w:eastAsia="宋体" w:cs="宋体"/>
          <w:color w:val="auto"/>
          <w:sz w:val="24"/>
          <w:highlight w:val="none"/>
        </w:rPr>
        <w:t>承包人应遵守国家有关环境保护、卫生监督的法律，按照合同约定采取有效措施，保证施工场地达到环境保护、卫生部门的管理要求，为现场所有人员提供并维护干净卫生的生活设施，并在颁发合同工程接收证书后的28天内，清理现场，运走全部施工设备、剩余材料和垃圾，保持施工场地和合同工程的清洁整齐。否则，发包人可自行处理或委托第三方处理留下的物品，所得金额在扣除由此发生的费用之后，将余额退还给承包人。</w:t>
      </w:r>
    </w:p>
    <w:p w14:paraId="438BBC76">
      <w:pPr>
        <w:adjustRightInd w:val="0"/>
        <w:snapToGrid w:val="0"/>
        <w:spacing w:line="30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45.8  </w:t>
      </w:r>
      <w:r>
        <w:rPr>
          <w:rFonts w:hint="eastAsia" w:ascii="宋体" w:hAnsi="宋体" w:eastAsia="宋体" w:cs="宋体"/>
          <w:b/>
          <w:bCs/>
          <w:color w:val="auto"/>
          <w:sz w:val="24"/>
          <w:highlight w:val="none"/>
          <w:u w:val="dotted"/>
        </w:rPr>
        <w:t xml:space="preserve">                                                                                 </w:t>
      </w:r>
    </w:p>
    <w:p w14:paraId="4A36DF74">
      <w:pPr>
        <w:adjustRightInd w:val="0"/>
        <w:snapToGrid w:val="0"/>
        <w:spacing w:line="300" w:lineRule="auto"/>
        <w:ind w:left="1619" w:leftChars="771"/>
        <w:rPr>
          <w:rFonts w:hint="eastAsia" w:ascii="宋体" w:hAnsi="宋体" w:eastAsia="宋体" w:cs="宋体"/>
          <w:cap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41536"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1204" name="000187"/>
                <wp:cNvGraphicFramePr/>
                <a:graphic xmlns:a="http://schemas.openxmlformats.org/drawingml/2006/main">
                  <a:graphicData uri="http://schemas.microsoft.com/office/word/2010/wordprocessingShape">
                    <wps:wsp>
                      <wps:cNvSpPr/>
                      <wps:spPr>
                        <a:xfrm>
                          <a:off x="0" y="0"/>
                          <a:ext cx="873760" cy="594360"/>
                        </a:xfrm>
                        <a:prstGeom prst="rect">
                          <a:avLst/>
                        </a:prstGeom>
                        <a:ln>
                          <a:noFill/>
                        </a:ln>
                      </wps:spPr>
                      <wps:txbx>
                        <w:txbxContent>
                          <w:p w14:paraId="34DE2B96">
                            <w:pPr>
                              <w:rPr>
                                <w:rFonts w:hint="eastAsia" w:ascii="楷体_GB2312" w:hAnsi="宋体" w:eastAsia="楷体_GB2312"/>
                                <w:b/>
                                <w:bCs/>
                                <w:sz w:val="18"/>
                                <w:szCs w:val="18"/>
                              </w:rPr>
                            </w:pPr>
                            <w:r>
                              <w:rPr>
                                <w:rFonts w:hint="eastAsia" w:ascii="楷体_GB2312" w:hAnsi="宋体" w:eastAsia="楷体_GB2312" w:cs="楷体_GB2312"/>
                                <w:b/>
                                <w:bCs/>
                                <w:sz w:val="18"/>
                                <w:szCs w:val="18"/>
                              </w:rPr>
                              <w:t>建设单位鼓励创建文明工地</w:t>
                            </w:r>
                          </w:p>
                        </w:txbxContent>
                      </wps:txbx>
                      <wps:bodyPr wrap="square"/>
                    </wps:wsp>
                  </a:graphicData>
                </a:graphic>
              </wp:anchor>
            </w:drawing>
          </mc:Choice>
          <mc:Fallback>
            <w:pict>
              <v:rect id="000187" o:spid="_x0000_s1026" o:spt="1" style="position:absolute;left:0pt;margin-left:0pt;margin-top:1.35pt;height:46.8pt;width:68.8pt;z-index:251841536;mso-width-relative:page;mso-height-relative:page;" filled="f" stroked="f" coordsize="21600,21600" o:gfxdata="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&#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CAeTy1gAAAAUBAAAPAAAAAAAAAAEAIAAAACIAAABk&#10;cnMvZG93bnJldi54bWxQSwECFAAUAAAACACHTuJAU7LM1pYBAAA4AwAADgAAAAAAAAABACAAAAAl&#10;AQAAZHJzL2Uyb0RvYy54bWxQSwUGAAAAAAYABgBZAQAALQUAAAAA&#10;">
                <v:fill on="f" focussize="0,0"/>
                <v:stroke on="f"/>
                <v:imagedata o:title=""/>
                <o:lock v:ext="edit" aspectratio="f"/>
                <v:textbox>
                  <w:txbxContent>
                    <w:p w14:paraId="34DE2B96">
                      <w:pPr>
                        <w:rPr>
                          <w:rFonts w:hint="eastAsia" w:ascii="楷体_GB2312" w:hAnsi="宋体" w:eastAsia="楷体_GB2312"/>
                          <w:b/>
                          <w:bCs/>
                          <w:sz w:val="18"/>
                          <w:szCs w:val="18"/>
                        </w:rPr>
                      </w:pPr>
                      <w:r>
                        <w:rPr>
                          <w:rFonts w:hint="eastAsia" w:ascii="楷体_GB2312" w:hAnsi="宋体" w:eastAsia="楷体_GB2312" w:cs="楷体_GB2312"/>
                          <w:b/>
                          <w:bCs/>
                          <w:sz w:val="18"/>
                          <w:szCs w:val="18"/>
                        </w:rPr>
                        <w:t>建设单位鼓励创建文明工地</w:t>
                      </w:r>
                    </w:p>
                  </w:txbxContent>
                </v:textbox>
              </v:rect>
            </w:pict>
          </mc:Fallback>
        </mc:AlternateContent>
      </w:r>
      <w:r>
        <w:rPr>
          <w:rFonts w:hint="eastAsia" w:ascii="宋体" w:hAnsi="宋体" w:eastAsia="宋体" w:cs="宋体"/>
          <w:caps/>
          <w:color w:val="auto"/>
          <w:sz w:val="24"/>
          <w:highlight w:val="none"/>
        </w:rPr>
        <w:t>发包人应配合承包人加强</w:t>
      </w:r>
      <w:r>
        <w:rPr>
          <w:rFonts w:hint="eastAsia" w:ascii="宋体" w:hAnsi="宋体" w:eastAsia="宋体" w:cs="宋体"/>
          <w:color w:val="auto"/>
          <w:sz w:val="24"/>
          <w:highlight w:val="none"/>
        </w:rPr>
        <w:t>绿色施工安全防护</w:t>
      </w:r>
      <w:r>
        <w:rPr>
          <w:rFonts w:hint="eastAsia" w:ascii="宋体" w:hAnsi="宋体" w:eastAsia="宋体" w:cs="宋体"/>
          <w:caps/>
          <w:color w:val="auto"/>
          <w:sz w:val="24"/>
          <w:highlight w:val="none"/>
        </w:rPr>
        <w:t>管理，鼓励承包人实施省、市级或其它级别文明工地。对于工程获得省、市级或其它级别文明工地的，应按照第80条规定向承包人支付文明工地增加费。</w:t>
      </w:r>
    </w:p>
    <w:p w14:paraId="23A028B4">
      <w:pPr>
        <w:adjustRightInd w:val="0"/>
        <w:snapToGrid w:val="0"/>
        <w:spacing w:line="30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45.9 </w:t>
      </w:r>
      <w:r>
        <w:rPr>
          <w:rFonts w:hint="eastAsia" w:ascii="宋体" w:hAnsi="宋体" w:eastAsia="宋体" w:cs="宋体"/>
          <w:b/>
          <w:bCs/>
          <w:color w:val="auto"/>
          <w:sz w:val="24"/>
          <w:highlight w:val="none"/>
          <w:u w:val="dotted"/>
        </w:rPr>
        <w:t xml:space="preserve">                                                                                 </w:t>
      </w:r>
    </w:p>
    <w:p w14:paraId="14F7C6E4">
      <w:pPr>
        <w:spacing w:line="300" w:lineRule="auto"/>
        <w:ind w:left="1620" w:leftChars="200" w:hanging="1200" w:hangingChars="50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42560"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1205" name="000188"/>
                <wp:cNvGraphicFramePr/>
                <a:graphic xmlns:a="http://schemas.openxmlformats.org/drawingml/2006/main">
                  <a:graphicData uri="http://schemas.microsoft.com/office/word/2010/wordprocessingShape">
                    <wps:wsp>
                      <wps:cNvSpPr/>
                      <wps:spPr>
                        <a:xfrm>
                          <a:off x="0" y="0"/>
                          <a:ext cx="873760" cy="594360"/>
                        </a:xfrm>
                        <a:prstGeom prst="rect">
                          <a:avLst/>
                        </a:prstGeom>
                        <a:ln>
                          <a:noFill/>
                        </a:ln>
                      </wps:spPr>
                      <wps:txbx>
                        <w:txbxContent>
                          <w:p w14:paraId="3F9E811A">
                            <w:pPr>
                              <w:rPr>
                                <w:rFonts w:hint="eastAsia" w:ascii="楷体_GB2312" w:hAnsi="宋体" w:eastAsia="楷体_GB2312"/>
                                <w:b/>
                                <w:bCs/>
                                <w:sz w:val="18"/>
                                <w:szCs w:val="18"/>
                              </w:rPr>
                            </w:pPr>
                            <w:r>
                              <w:rPr>
                                <w:rFonts w:hint="eastAsia" w:ascii="楷体_GB2312" w:hAnsi="宋体" w:eastAsia="楷体_GB2312" w:cs="楷体_GB2312"/>
                                <w:b/>
                                <w:bCs/>
                                <w:sz w:val="18"/>
                                <w:szCs w:val="18"/>
                              </w:rPr>
                              <w:t>特别安全生产事项</w:t>
                            </w:r>
                          </w:p>
                        </w:txbxContent>
                      </wps:txbx>
                      <wps:bodyPr wrap="square"/>
                    </wps:wsp>
                  </a:graphicData>
                </a:graphic>
              </wp:anchor>
            </w:drawing>
          </mc:Choice>
          <mc:Fallback>
            <w:pict>
              <v:rect id="000188" o:spid="_x0000_s1026" o:spt="1" style="position:absolute;left:0pt;margin-left:0pt;margin-top:1.35pt;height:46.8pt;width:68.8pt;z-index:251842560;mso-width-relative:page;mso-height-relative:page;" filled="f" stroked="f" coordsize="21600,21600" o:gfxdata="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&#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CAeTy1gAAAAUBAAAPAAAAAAAAAAEAIAAAACIAAABk&#10;cnMvZG93bnJldi54bWxQSwECFAAUAAAACACHTuJAxZEwGJYBAAA4AwAADgAAAAAAAAABACAAAAAl&#10;AQAAZHJzL2Uyb0RvYy54bWxQSwUGAAAAAAYABgBZAQAALQUAAAAA&#10;">
                <v:fill on="f" focussize="0,0"/>
                <v:stroke on="f"/>
                <v:imagedata o:title=""/>
                <o:lock v:ext="edit" aspectratio="f"/>
                <v:textbox>
                  <w:txbxContent>
                    <w:p w14:paraId="3F9E811A">
                      <w:pPr>
                        <w:rPr>
                          <w:rFonts w:hint="eastAsia" w:ascii="楷体_GB2312" w:hAnsi="宋体" w:eastAsia="楷体_GB2312"/>
                          <w:b/>
                          <w:bCs/>
                          <w:sz w:val="18"/>
                          <w:szCs w:val="18"/>
                        </w:rPr>
                      </w:pPr>
                      <w:r>
                        <w:rPr>
                          <w:rFonts w:hint="eastAsia" w:ascii="楷体_GB2312" w:hAnsi="宋体" w:eastAsia="楷体_GB2312" w:cs="楷体_GB2312"/>
                          <w:b/>
                          <w:bCs/>
                          <w:sz w:val="18"/>
                          <w:szCs w:val="18"/>
                        </w:rPr>
                        <w:t>特别安全生产事项</w:t>
                      </w:r>
                    </w:p>
                  </w:txbxContent>
                </v:textbox>
              </v:rect>
            </w:pict>
          </mc:Fallback>
        </mc:AlternateContent>
      </w:r>
      <w:r>
        <w:rPr>
          <w:rFonts w:hint="eastAsia" w:ascii="宋体" w:hAnsi="宋体" w:eastAsia="宋体" w:cs="宋体"/>
          <w:color w:val="auto"/>
          <w:sz w:val="24"/>
          <w:highlight w:val="none"/>
        </w:rPr>
        <w:t xml:space="preserve">          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53F85B3D">
      <w:pPr>
        <w:spacing w:line="300" w:lineRule="auto"/>
        <w:ind w:left="1556" w:leftChars="741"/>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0885E18D">
      <w:pPr>
        <w:spacing w:line="300" w:lineRule="auto"/>
        <w:ind w:left="1556" w:leftChars="741"/>
        <w:rPr>
          <w:rFonts w:hint="eastAsia" w:ascii="宋体" w:hAnsi="宋体" w:eastAsia="宋体" w:cs="宋体"/>
          <w:color w:val="auto"/>
          <w:sz w:val="24"/>
          <w:highlight w:val="none"/>
        </w:rPr>
      </w:pPr>
      <w:r>
        <w:rPr>
          <w:rFonts w:hint="eastAsia" w:ascii="宋体" w:hAnsi="宋体" w:eastAsia="宋体" w:cs="宋体"/>
          <w:color w:val="auto"/>
          <w:sz w:val="24"/>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3F7C7658">
      <w:pPr>
        <w:adjustRightInd w:val="0"/>
        <w:snapToGrid w:val="0"/>
        <w:spacing w:line="300" w:lineRule="auto"/>
        <w:ind w:left="1556" w:leftChars="741"/>
        <w:rPr>
          <w:rFonts w:hint="eastAsia" w:ascii="宋体" w:hAnsi="宋体" w:eastAsia="宋体" w:cs="宋体"/>
          <w:color w:val="auto"/>
          <w:sz w:val="24"/>
          <w:highlight w:val="none"/>
        </w:rPr>
      </w:pPr>
      <w:r>
        <w:rPr>
          <w:rFonts w:hint="eastAsia" w:ascii="宋体" w:hAnsi="宋体" w:eastAsia="宋体" w:cs="宋体"/>
          <w:color w:val="auto"/>
          <w:sz w:val="24"/>
          <w:highlight w:val="none"/>
        </w:rPr>
        <w:t>需单独编制危险性较大分部分项专项工程施工方案的，及要求进行专家论证的超过一定规模的危险性较大的分部分项工程，承包人应及时编制和组织论证。</w:t>
      </w:r>
    </w:p>
    <w:p w14:paraId="5E27359F">
      <w:pPr>
        <w:adjustRightInd w:val="0"/>
        <w:snapToGrid w:val="0"/>
        <w:spacing w:line="300" w:lineRule="auto"/>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3A36816C">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115" w:name="_Toc469384029"/>
      <w:bookmarkStart w:id="116" w:name="_Toc46860850"/>
      <w:r>
        <w:rPr>
          <w:rFonts w:hint="eastAsia" w:hAnsi="宋体" w:eastAsia="宋体" w:cs="宋体"/>
          <w:b/>
          <w:bCs/>
          <w:color w:val="auto"/>
          <w:sz w:val="24"/>
          <w:szCs w:val="24"/>
          <w:highlight w:val="none"/>
        </w:rPr>
        <w:t>46  测量放线</w:t>
      </w:r>
      <w:bookmarkEnd w:id="115"/>
      <w:bookmarkEnd w:id="116"/>
    </w:p>
    <w:p w14:paraId="57BE4586">
      <w:pPr>
        <w:pStyle w:val="6"/>
        <w:tabs>
          <w:tab w:val="left" w:pos="1202"/>
        </w:tabs>
        <w:adjustRightInd w:val="0"/>
        <w:snapToGrid w:val="0"/>
        <w:spacing w:line="300" w:lineRule="auto"/>
        <w:ind w:firstLine="48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43584" behindDoc="0" locked="0" layoutInCell="1" allowOverlap="1">
                <wp:simplePos x="0" y="0"/>
                <wp:positionH relativeFrom="column">
                  <wp:posOffset>-114300</wp:posOffset>
                </wp:positionH>
                <wp:positionV relativeFrom="paragraph">
                  <wp:posOffset>286385</wp:posOffset>
                </wp:positionV>
                <wp:extent cx="914400" cy="546100"/>
                <wp:effectExtent l="0" t="0" r="0" b="0"/>
                <wp:wrapNone/>
                <wp:docPr id="1206" name="000189"/>
                <wp:cNvGraphicFramePr/>
                <a:graphic xmlns:a="http://schemas.openxmlformats.org/drawingml/2006/main">
                  <a:graphicData uri="http://schemas.microsoft.com/office/word/2010/wordprocessingShape">
                    <wps:wsp>
                      <wps:cNvSpPr/>
                      <wps:spPr>
                        <a:xfrm>
                          <a:off x="0" y="0"/>
                          <a:ext cx="914400" cy="546100"/>
                        </a:xfrm>
                        <a:prstGeom prst="rect">
                          <a:avLst/>
                        </a:prstGeom>
                        <a:ln>
                          <a:noFill/>
                        </a:ln>
                      </wps:spPr>
                      <wps:txbx>
                        <w:txbxContent>
                          <w:p w14:paraId="458EC149">
                            <w:pPr>
                              <w:rPr>
                                <w:rFonts w:hint="eastAsia" w:ascii="宋体"/>
                                <w:sz w:val="18"/>
                                <w:szCs w:val="18"/>
                              </w:rPr>
                            </w:pPr>
                            <w:r>
                              <w:rPr>
                                <w:rFonts w:hint="eastAsia" w:ascii="楷体_GB2312" w:hAnsi="宋体" w:eastAsia="楷体_GB2312" w:cs="楷体_GB2312"/>
                                <w:b/>
                                <w:bCs/>
                                <w:color w:val="000000"/>
                                <w:sz w:val="18"/>
                                <w:szCs w:val="18"/>
                              </w:rPr>
                              <w:t>测设施工控制网</w:t>
                            </w:r>
                          </w:p>
                        </w:txbxContent>
                      </wps:txbx>
                      <wps:bodyPr wrap="square"/>
                    </wps:wsp>
                  </a:graphicData>
                </a:graphic>
              </wp:anchor>
            </w:drawing>
          </mc:Choice>
          <mc:Fallback>
            <w:pict>
              <v:rect id="000189" o:spid="_x0000_s1026" o:spt="1" style="position:absolute;left:0pt;margin-left:-9pt;margin-top:22.55pt;height:43pt;width:72pt;z-index:251843584;mso-width-relative:page;mso-height-relative:page;" filled="f" stroked="f" coordsize="21600,21600" o:gfxdata="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VyBRI2wAAAAoBAAAPAAAAAAAAAAEAIAAAACIA&#10;AABkcnMvZG93bnJldi54bWxQSwECFAAUAAAACACHTuJAFBXSAZQBAAA4AwAADgAAAAAAAAABACAA&#10;AAAqAQAAZHJzL2Uyb0RvYy54bWxQSwUGAAAAAAYABgBZAQAAMAUAAAAA&#10;">
                <v:fill on="f" focussize="0,0"/>
                <v:stroke on="f"/>
                <v:imagedata o:title=""/>
                <o:lock v:ext="edit" aspectratio="f"/>
                <v:textbox>
                  <w:txbxContent>
                    <w:p w14:paraId="458EC149">
                      <w:pPr>
                        <w:rPr>
                          <w:rFonts w:hint="eastAsia" w:ascii="宋体"/>
                          <w:sz w:val="18"/>
                          <w:szCs w:val="18"/>
                        </w:rPr>
                      </w:pPr>
                      <w:r>
                        <w:rPr>
                          <w:rFonts w:hint="eastAsia" w:ascii="楷体_GB2312" w:hAnsi="宋体" w:eastAsia="楷体_GB2312" w:cs="楷体_GB2312"/>
                          <w:b/>
                          <w:bCs/>
                          <w:color w:val="000000"/>
                          <w:sz w:val="18"/>
                          <w:szCs w:val="18"/>
                        </w:rPr>
                        <w:t>测设施工控制网</w:t>
                      </w:r>
                    </w:p>
                  </w:txbxContent>
                </v:textbox>
              </v:rect>
            </w:pict>
          </mc:Fallback>
        </mc:AlternateContent>
      </w:r>
      <w:r>
        <w:rPr>
          <w:rFonts w:hint="eastAsia" w:ascii="宋体" w:hAnsi="宋体" w:eastAsia="宋体" w:cs="宋体"/>
          <w:b/>
          <w:bCs/>
          <w:color w:val="auto"/>
          <w:sz w:val="24"/>
          <w:highlight w:val="none"/>
        </w:rPr>
        <w:t>46.1</w:t>
      </w:r>
    </w:p>
    <w:p w14:paraId="64C03D32">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监理工程师应在发出开工令后的7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14:paraId="271E9F4D">
      <w:pPr>
        <w:adjustRightInd w:val="0"/>
        <w:snapToGrid w:val="0"/>
        <w:spacing w:line="300" w:lineRule="auto"/>
        <w:ind w:left="1619" w:leftChars="771"/>
        <w:rPr>
          <w:rFonts w:hint="eastAsia" w:ascii="宋体" w:hAnsi="宋体" w:eastAsia="宋体" w:cs="宋体"/>
          <w:color w:val="auto"/>
          <w:sz w:val="24"/>
          <w:highlight w:val="none"/>
        </w:rPr>
      </w:pPr>
    </w:p>
    <w:p w14:paraId="75A2B813">
      <w:pPr>
        <w:adjustRightInd w:val="0"/>
        <w:snapToGrid w:val="0"/>
        <w:spacing w:line="300" w:lineRule="auto"/>
        <w:rPr>
          <w:rFonts w:hint="eastAsia"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46.2  </w:t>
      </w:r>
      <w:r>
        <w:rPr>
          <w:rFonts w:hint="eastAsia" w:ascii="宋体" w:hAnsi="宋体" w:eastAsia="宋体" w:cs="宋体"/>
          <w:b/>
          <w:bCs/>
          <w:color w:val="auto"/>
          <w:sz w:val="24"/>
          <w:highlight w:val="none"/>
          <w:u w:val="dotted"/>
        </w:rPr>
        <w:t xml:space="preserve">                                                                              </w:t>
      </w:r>
    </w:p>
    <w:p w14:paraId="7CFE30BA">
      <w:pPr>
        <w:adjustRightInd w:val="0"/>
        <w:snapToGrid w:val="0"/>
        <w:spacing w:line="30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44608" behindDoc="0" locked="0" layoutInCell="1" allowOverlap="1">
                <wp:simplePos x="0" y="0"/>
                <wp:positionH relativeFrom="column">
                  <wp:posOffset>-114300</wp:posOffset>
                </wp:positionH>
                <wp:positionV relativeFrom="paragraph">
                  <wp:posOffset>213995</wp:posOffset>
                </wp:positionV>
                <wp:extent cx="914400" cy="677545"/>
                <wp:effectExtent l="0" t="0" r="0" b="0"/>
                <wp:wrapNone/>
                <wp:docPr id="1207" name="00018a"/>
                <wp:cNvGraphicFramePr/>
                <a:graphic xmlns:a="http://schemas.openxmlformats.org/drawingml/2006/main">
                  <a:graphicData uri="http://schemas.microsoft.com/office/word/2010/wordprocessingShape">
                    <wps:wsp>
                      <wps:cNvSpPr/>
                      <wps:spPr>
                        <a:xfrm>
                          <a:off x="0" y="0"/>
                          <a:ext cx="914400" cy="677545"/>
                        </a:xfrm>
                        <a:prstGeom prst="rect">
                          <a:avLst/>
                        </a:prstGeom>
                        <a:ln>
                          <a:noFill/>
                        </a:ln>
                      </wps:spPr>
                      <wps:txbx>
                        <w:txbxContent>
                          <w:p w14:paraId="47F19B39">
                            <w:pPr>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施工控制网（点）管理与使用</w:t>
                            </w:r>
                          </w:p>
                        </w:txbxContent>
                      </wps:txbx>
                      <wps:bodyPr wrap="square"/>
                    </wps:wsp>
                  </a:graphicData>
                </a:graphic>
              </wp:anchor>
            </w:drawing>
          </mc:Choice>
          <mc:Fallback>
            <w:pict>
              <v:rect id="00018a" o:spid="_x0000_s1026" o:spt="1" style="position:absolute;left:0pt;margin-left:-9pt;margin-top:16.85pt;height:53.35pt;width:72pt;z-index:251844608;mso-width-relative:page;mso-height-relative:page;" filled="f" stroked="f" coordsize="21600,21600" o:gfxdata="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obLCZ9sAAAAKAQAADwAAAAAAAAABACAAAAAi&#10;AAAAZHJzL2Rvd25yZXYueG1sUEsBAhQAFAAAAAgAh07iQD2lZwuVAQAAOAMAAA4AAAAAAAAAAQAg&#10;AAAAKgEAAGRycy9lMm9Eb2MueG1sUEsFBgAAAAAGAAYAWQEAADEFAAAAAA==&#10;">
                <v:fill on="f" focussize="0,0"/>
                <v:stroke on="f"/>
                <v:imagedata o:title=""/>
                <o:lock v:ext="edit" aspectratio="f"/>
                <v:textbox>
                  <w:txbxContent>
                    <w:p w14:paraId="47F19B39">
                      <w:pPr>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施工控制网（点）管理与使用</w:t>
                      </w:r>
                    </w:p>
                  </w:txbxContent>
                </v:textbox>
              </v:rect>
            </w:pict>
          </mc:Fallback>
        </mc:AlternateContent>
      </w:r>
    </w:p>
    <w:p w14:paraId="0850CC30">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承包人应负责施工控制网点的管理。施工控制网点丢失或损坏的，承包人应及时修复。承包人应承担施工控制网点的管理与修复费用，并在工程竣工后将施工控制网点移交发包人。</w:t>
      </w:r>
    </w:p>
    <w:p w14:paraId="509763AC">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监理工程师需要使用施工控制网的，承包人应提供必要的协助，发包人无需为此支付任何费用。</w:t>
      </w:r>
    </w:p>
    <w:p w14:paraId="7A13E72B">
      <w:pPr>
        <w:adjustRightInd w:val="0"/>
        <w:snapToGrid w:val="0"/>
        <w:spacing w:line="300" w:lineRule="auto"/>
        <w:rPr>
          <w:rFonts w:hint="eastAsia"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46.3  </w:t>
      </w:r>
      <w:r>
        <w:rPr>
          <w:rFonts w:hint="eastAsia" w:ascii="宋体" w:hAnsi="宋体" w:eastAsia="宋体" w:cs="宋体"/>
          <w:b/>
          <w:bCs/>
          <w:color w:val="auto"/>
          <w:sz w:val="24"/>
          <w:highlight w:val="none"/>
          <w:u w:val="dotted"/>
        </w:rPr>
        <w:t xml:space="preserve">                                                                              </w:t>
      </w:r>
    </w:p>
    <w:p w14:paraId="6BB35F1D">
      <w:pPr>
        <w:adjustRightInd w:val="0"/>
        <w:snapToGrid w:val="0"/>
        <w:spacing w:line="300" w:lineRule="auto"/>
        <w:rPr>
          <w:rFonts w:hint="eastAsia" w:ascii="宋体" w:hAnsi="宋体" w:eastAsia="宋体" w:cs="宋体"/>
          <w:color w:val="auto"/>
          <w:sz w:val="24"/>
          <w:highlight w:val="none"/>
        </w:rPr>
      </w:pPr>
    </w:p>
    <w:p w14:paraId="3C36815F">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45632"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1208" name="00018b"/>
                <wp:cNvGraphicFramePr/>
                <a:graphic xmlns:a="http://schemas.openxmlformats.org/drawingml/2006/main">
                  <a:graphicData uri="http://schemas.microsoft.com/office/word/2010/wordprocessingShape">
                    <wps:wsp>
                      <wps:cNvSpPr/>
                      <wps:spPr>
                        <a:xfrm>
                          <a:off x="0" y="0"/>
                          <a:ext cx="914400" cy="541020"/>
                        </a:xfrm>
                        <a:prstGeom prst="rect">
                          <a:avLst/>
                        </a:prstGeom>
                        <a:ln>
                          <a:noFill/>
                        </a:ln>
                      </wps:spPr>
                      <wps:txbx>
                        <w:txbxContent>
                          <w:p w14:paraId="1B123013">
                            <w:pPr>
                              <w:spacing w:line="200" w:lineRule="exact"/>
                              <w:rPr>
                                <w:rFonts w:hint="eastAsia"/>
                                <w:sz w:val="18"/>
                                <w:szCs w:val="18"/>
                              </w:rPr>
                            </w:pPr>
                            <w:r>
                              <w:rPr>
                                <w:rFonts w:hint="eastAsia" w:ascii="楷体_GB2312" w:hAnsi="宋体" w:eastAsia="楷体_GB2312" w:cs="楷体_GB2312"/>
                                <w:b/>
                                <w:bCs/>
                                <w:color w:val="000000"/>
                                <w:sz w:val="18"/>
                                <w:szCs w:val="18"/>
                              </w:rPr>
                              <w:t>承包人测量放线的责任</w:t>
                            </w:r>
                          </w:p>
                        </w:txbxContent>
                      </wps:txbx>
                      <wps:bodyPr wrap="square"/>
                    </wps:wsp>
                  </a:graphicData>
                </a:graphic>
              </wp:anchor>
            </w:drawing>
          </mc:Choice>
          <mc:Fallback>
            <w:pict>
              <v:rect id="00018b" o:spid="_x0000_s1026" o:spt="1" style="position:absolute;left:0pt;margin-left:-9pt;margin-top:-0.5pt;height:42.6pt;width:72pt;z-index:251845632;mso-width-relative:page;mso-height-relative:page;" filled="f" stroked="f" coordsize="21600,21600" o:gfxdata="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cMFbLdgAAAAJAQAADwAAAAAAAAABACAAAAAiAAAA&#10;ZHJzL2Rvd25yZXYueG1sUEsBAhQAFAAAAAgAh07iQDfw+YyVAQAAOAMAAA4AAAAAAAAAAQAgAAAA&#10;JwEAAGRycy9lMm9Eb2MueG1sUEsFBgAAAAAGAAYAWQEAAC4FAAAAAA==&#10;">
                <v:fill on="f" focussize="0,0"/>
                <v:stroke on="f"/>
                <v:imagedata o:title=""/>
                <o:lock v:ext="edit" aspectratio="f"/>
                <v:textbox>
                  <w:txbxContent>
                    <w:p w14:paraId="1B123013">
                      <w:pPr>
                        <w:spacing w:line="200" w:lineRule="exact"/>
                        <w:rPr>
                          <w:rFonts w:hint="eastAsia"/>
                          <w:sz w:val="18"/>
                          <w:szCs w:val="18"/>
                        </w:rPr>
                      </w:pPr>
                      <w:r>
                        <w:rPr>
                          <w:rFonts w:hint="eastAsia" w:ascii="楷体_GB2312" w:hAnsi="宋体" w:eastAsia="楷体_GB2312" w:cs="楷体_GB2312"/>
                          <w:b/>
                          <w:bCs/>
                          <w:color w:val="000000"/>
                          <w:sz w:val="18"/>
                          <w:szCs w:val="18"/>
                        </w:rPr>
                        <w:t>承包人测量放线的责任</w:t>
                      </w:r>
                    </w:p>
                  </w:txbxContent>
                </v:textbox>
              </v:rect>
            </w:pict>
          </mc:Fallback>
        </mc:AlternateContent>
      </w:r>
      <w:r>
        <w:rPr>
          <w:rFonts w:hint="eastAsia" w:ascii="宋体" w:hAnsi="宋体" w:eastAsia="宋体" w:cs="宋体"/>
          <w:color w:val="auto"/>
          <w:sz w:val="24"/>
          <w:highlight w:val="none"/>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14:paraId="510B3411">
      <w:pPr>
        <w:pStyle w:val="6"/>
        <w:tabs>
          <w:tab w:val="left" w:pos="720"/>
          <w:tab w:val="left" w:pos="1080"/>
        </w:tabs>
        <w:adjustRightInd w:val="0"/>
        <w:snapToGrid w:val="0"/>
        <w:spacing w:line="300" w:lineRule="auto"/>
        <w:ind w:firstLine="482"/>
        <w:rPr>
          <w:rFonts w:hint="eastAsia"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46.4 </w:t>
      </w:r>
      <w:r>
        <w:rPr>
          <w:rFonts w:hint="eastAsia" w:ascii="宋体" w:hAnsi="宋体" w:eastAsia="宋体" w:cs="宋体"/>
          <w:b/>
          <w:bCs/>
          <w:color w:val="auto"/>
          <w:sz w:val="24"/>
          <w:highlight w:val="none"/>
          <w:u w:val="dotted"/>
        </w:rPr>
        <w:t xml:space="preserve">                                                                               </w:t>
      </w:r>
    </w:p>
    <w:p w14:paraId="3DAF5AB8">
      <w:pPr>
        <w:spacing w:line="300" w:lineRule="auto"/>
        <w:rPr>
          <w:rFonts w:hint="eastAsia" w:ascii="宋体" w:hAnsi="宋体" w:eastAsia="宋体" w:cs="宋体"/>
          <w:color w:val="auto"/>
          <w:sz w:val="24"/>
          <w:highlight w:val="none"/>
        </w:rPr>
      </w:pPr>
    </w:p>
    <w:p w14:paraId="4BA312CA">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46656"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1209" name="00018c"/>
                <wp:cNvGraphicFramePr/>
                <a:graphic xmlns:a="http://schemas.openxmlformats.org/drawingml/2006/main">
                  <a:graphicData uri="http://schemas.microsoft.com/office/word/2010/wordprocessingShape">
                    <wps:wsp>
                      <wps:cNvSpPr/>
                      <wps:spPr>
                        <a:xfrm>
                          <a:off x="0" y="0"/>
                          <a:ext cx="914400" cy="375920"/>
                        </a:xfrm>
                        <a:prstGeom prst="rect">
                          <a:avLst/>
                        </a:prstGeom>
                        <a:ln>
                          <a:noFill/>
                        </a:ln>
                      </wps:spPr>
                      <wps:txbx>
                        <w:txbxContent>
                          <w:p w14:paraId="71398095">
                            <w:pPr>
                              <w:spacing w:line="200" w:lineRule="exact"/>
                              <w:rPr>
                                <w:rFonts w:hint="eastAsia" w:ascii="楷体_GB2312" w:hAnsi="宋体" w:eastAsia="楷体_GB2312"/>
                                <w:sz w:val="18"/>
                                <w:szCs w:val="18"/>
                              </w:rPr>
                            </w:pPr>
                            <w:r>
                              <w:rPr>
                                <w:rFonts w:hint="eastAsia" w:ascii="楷体_GB2312" w:hAnsi="宋体" w:eastAsia="楷体_GB2312" w:cs="楷体_GB2312"/>
                                <w:b/>
                                <w:bCs/>
                                <w:color w:val="000000"/>
                                <w:sz w:val="18"/>
                                <w:szCs w:val="18"/>
                              </w:rPr>
                              <w:t>测量放线误差的处理</w:t>
                            </w:r>
                          </w:p>
                        </w:txbxContent>
                      </wps:txbx>
                      <wps:bodyPr wrap="square"/>
                    </wps:wsp>
                  </a:graphicData>
                </a:graphic>
              </wp:anchor>
            </w:drawing>
          </mc:Choice>
          <mc:Fallback>
            <w:pict>
              <v:rect id="00018c" o:spid="_x0000_s1026" o:spt="1" style="position:absolute;left:0pt;margin-left:-5.25pt;margin-top:0.65pt;height:29.6pt;width:72pt;z-index:251846656;mso-width-relative:page;mso-height-relative:page;" filled="f" stroked="f" coordsize="21600,21600" o:gfxdata="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rYtBo9cAAAAIAQAADwAAAAAAAAABACAAAAAiAAAA&#10;ZHJzL2Rvd25yZXYueG1sUEsBAhQAFAAAAAgAh07iQA1Unt+WAQAAOAMAAA4AAAAAAAAAAQAgAAAA&#10;JgEAAGRycy9lMm9Eb2MueG1sUEsFBgAAAAAGAAYAWQEAAC4FAAAAAA==&#10;">
                <v:fill on="f" focussize="0,0"/>
                <v:stroke on="f"/>
                <v:imagedata o:title=""/>
                <o:lock v:ext="edit" aspectratio="f"/>
                <v:textbox>
                  <w:txbxContent>
                    <w:p w14:paraId="71398095">
                      <w:pPr>
                        <w:spacing w:line="200" w:lineRule="exact"/>
                        <w:rPr>
                          <w:rFonts w:hint="eastAsia" w:ascii="楷体_GB2312" w:hAnsi="宋体" w:eastAsia="楷体_GB2312"/>
                          <w:sz w:val="18"/>
                          <w:szCs w:val="18"/>
                        </w:rPr>
                      </w:pPr>
                      <w:r>
                        <w:rPr>
                          <w:rFonts w:hint="eastAsia" w:ascii="楷体_GB2312" w:hAnsi="宋体" w:eastAsia="楷体_GB2312" w:cs="楷体_GB2312"/>
                          <w:b/>
                          <w:bCs/>
                          <w:color w:val="000000"/>
                          <w:sz w:val="18"/>
                          <w:szCs w:val="18"/>
                        </w:rPr>
                        <w:t>测量放线误差的处理</w:t>
                      </w:r>
                    </w:p>
                  </w:txbxContent>
                </v:textbox>
              </v:rect>
            </w:pict>
          </mc:Fallback>
        </mc:AlternateContent>
      </w:r>
      <w:r>
        <w:rPr>
          <w:rFonts w:hint="eastAsia" w:ascii="宋体" w:hAnsi="宋体" w:eastAsia="宋体" w:cs="宋体"/>
          <w:color w:val="auto"/>
          <w:sz w:val="24"/>
          <w:highlight w:val="none"/>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14:paraId="7BCF0649">
      <w:pPr>
        <w:pStyle w:val="6"/>
        <w:tabs>
          <w:tab w:val="left" w:pos="720"/>
          <w:tab w:val="left" w:pos="1080"/>
        </w:tabs>
        <w:adjustRightInd w:val="0"/>
        <w:snapToGrid w:val="0"/>
        <w:spacing w:line="30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46.5 </w:t>
      </w:r>
      <w:r>
        <w:rPr>
          <w:rFonts w:hint="eastAsia" w:ascii="宋体" w:hAnsi="宋体" w:eastAsia="宋体" w:cs="宋体"/>
          <w:b/>
          <w:bCs/>
          <w:color w:val="auto"/>
          <w:sz w:val="24"/>
          <w:highlight w:val="none"/>
          <w:u w:val="dotted"/>
        </w:rPr>
        <w:t xml:space="preserve">                                                                         </w:t>
      </w:r>
      <w:r>
        <w:rPr>
          <w:rFonts w:hint="eastAsia" w:ascii="宋体" w:hAnsi="宋体" w:eastAsia="宋体" w:cs="宋体"/>
          <w:color w:val="auto"/>
          <w:sz w:val="24"/>
          <w:highlight w:val="none"/>
        </w:rPr>
        <mc:AlternateContent>
          <mc:Choice Requires="wps">
            <w:drawing>
              <wp:anchor distT="0" distB="0" distL="0" distR="0" simplePos="0" relativeHeight="251847680"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1210" name="00018d"/>
                <wp:cNvGraphicFramePr/>
                <a:graphic xmlns:a="http://schemas.openxmlformats.org/drawingml/2006/main">
                  <a:graphicData uri="http://schemas.microsoft.com/office/word/2010/wordprocessingShape">
                    <wps:wsp>
                      <wps:cNvSpPr/>
                      <wps:spPr>
                        <a:xfrm>
                          <a:off x="0" y="0"/>
                          <a:ext cx="914400" cy="448310"/>
                        </a:xfrm>
                        <a:prstGeom prst="rect">
                          <a:avLst/>
                        </a:prstGeom>
                        <a:ln>
                          <a:noFill/>
                        </a:ln>
                      </wps:spPr>
                      <wps:txbx>
                        <w:txbxContent>
                          <w:p w14:paraId="4272A137">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保护基准点或线等标志</w:t>
                            </w:r>
                          </w:p>
                        </w:txbxContent>
                      </wps:txbx>
                      <wps:bodyPr wrap="square"/>
                    </wps:wsp>
                  </a:graphicData>
                </a:graphic>
              </wp:anchor>
            </w:drawing>
          </mc:Choice>
          <mc:Fallback>
            <w:pict>
              <v:rect id="00018d" o:spid="_x0000_s1026" o:spt="1" style="position:absolute;left:0pt;margin-left:-9pt;margin-top:21.9pt;height:35.3pt;width:72pt;z-index:251847680;mso-width-relative:page;mso-height-relative:page;" filled="f" stroked="f" coordsize="21600,21600" o:gfxdata="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GIuVn7aAAAACgEAAA8AAAAAAAAAAQAgAAAAIgAA&#10;AGRycy9kb3ducmV2LnhtbFBLAQIUABQAAAAIAIdO4kBEE2iLlAEAADgDAAAOAAAAAAAAAAEAIAAA&#10;ACkBAABkcnMvZTJvRG9jLnhtbFBLBQYAAAAABgAGAFkBAAAvBQAAAAA=&#10;">
                <v:fill on="f" focussize="0,0"/>
                <v:stroke on="f"/>
                <v:imagedata o:title=""/>
                <o:lock v:ext="edit" aspectratio="f"/>
                <v:textbox>
                  <w:txbxContent>
                    <w:p w14:paraId="4272A137">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保护基准点或线等标志</w:t>
                      </w:r>
                    </w:p>
                  </w:txbxContent>
                </v:textbox>
              </v:rect>
            </w:pict>
          </mc:Fallback>
        </mc:AlternateContent>
      </w:r>
      <w:r>
        <w:rPr>
          <w:rFonts w:hint="eastAsia" w:ascii="宋体" w:hAnsi="宋体" w:eastAsia="宋体" w:cs="宋体"/>
          <w:b/>
          <w:bCs/>
          <w:color w:val="auto"/>
          <w:sz w:val="24"/>
          <w:highlight w:val="none"/>
          <w:u w:val="dotted"/>
        </w:rPr>
        <w:t xml:space="preserve">      </w:t>
      </w:r>
    </w:p>
    <w:p w14:paraId="21F8B35D">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14:paraId="108EE83F">
      <w:pPr>
        <w:pStyle w:val="6"/>
        <w:tabs>
          <w:tab w:val="left" w:pos="2070"/>
        </w:tabs>
        <w:adjustRightInd w:val="0"/>
        <w:snapToGrid w:val="0"/>
        <w:spacing w:line="300" w:lineRule="auto"/>
        <w:ind w:firstLine="482"/>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516DA56F">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117" w:name="_Toc46860851"/>
      <w:bookmarkStart w:id="118" w:name="_Toc469384030"/>
      <w:r>
        <w:rPr>
          <w:rFonts w:hint="eastAsia" w:hAnsi="宋体" w:eastAsia="宋体" w:cs="宋体"/>
          <w:b/>
          <w:bCs/>
          <w:color w:val="auto"/>
          <w:sz w:val="24"/>
          <w:szCs w:val="24"/>
          <w:highlight w:val="none"/>
        </w:rPr>
        <w:t>47  钻孔与勘探性开挖</w:t>
      </w:r>
      <w:bookmarkEnd w:id="117"/>
      <w:bookmarkEnd w:id="118"/>
    </w:p>
    <w:p w14:paraId="7E1414C0">
      <w:pPr>
        <w:pStyle w:val="6"/>
        <w:adjustRightInd w:val="0"/>
        <w:snapToGrid w:val="0"/>
        <w:spacing w:line="300" w:lineRule="auto"/>
        <w:ind w:firstLine="48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48704"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1211" name="00018e"/>
                <wp:cNvGraphicFramePr/>
                <a:graphic xmlns:a="http://schemas.openxmlformats.org/drawingml/2006/main">
                  <a:graphicData uri="http://schemas.microsoft.com/office/word/2010/wordprocessingShape">
                    <wps:wsp>
                      <wps:cNvSpPr/>
                      <wps:spPr>
                        <a:xfrm>
                          <a:off x="0" y="0"/>
                          <a:ext cx="914400" cy="648335"/>
                        </a:xfrm>
                        <a:prstGeom prst="rect">
                          <a:avLst/>
                        </a:prstGeom>
                        <a:ln>
                          <a:noFill/>
                        </a:ln>
                      </wps:spPr>
                      <wps:txbx>
                        <w:txbxContent>
                          <w:p w14:paraId="74FA6C13">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wps:txbx>
                      <wps:bodyPr wrap="square"/>
                    </wps:wsp>
                  </a:graphicData>
                </a:graphic>
              </wp:anchor>
            </w:drawing>
          </mc:Choice>
          <mc:Fallback>
            <w:pict>
              <v:rect id="00018e" o:spid="_x0000_s1026" o:spt="1" style="position:absolute;left:0pt;margin-left:-10.5pt;margin-top:22.45pt;height:51.05pt;width:72pt;z-index:251848704;mso-width-relative:page;mso-height-relative:page;" filled="f" stroked="f" coordsize="21600,21600" o:gfxdata="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j+6Zm9sAAAAKAQAADwAAAAAAAAABACAAAAAi&#10;AAAAZHJzL2Rvd25yZXYueG1sUEsBAhQAFAAAAAgAh07iQNk0arWVAQAAOAMAAA4AAAAAAAAAAQAg&#10;AAAAKgEAAGRycy9lMm9Eb2MueG1sUEsFBgAAAAAGAAYAWQEAADEFAAAAAA==&#10;">
                <v:fill on="f" focussize="0,0"/>
                <v:stroke on="f"/>
                <v:imagedata o:title=""/>
                <o:lock v:ext="edit" aspectratio="f"/>
                <v:textbox>
                  <w:txbxContent>
                    <w:p w14:paraId="74FA6C13">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v:textbox>
              </v:rect>
            </w:pict>
          </mc:Fallback>
        </mc:AlternateContent>
      </w:r>
      <w:r>
        <w:rPr>
          <w:rFonts w:hint="eastAsia" w:ascii="宋体" w:hAnsi="宋体" w:eastAsia="宋体" w:cs="宋体"/>
          <w:b/>
          <w:bCs/>
          <w:color w:val="auto"/>
          <w:sz w:val="24"/>
          <w:highlight w:val="none"/>
        </w:rPr>
        <w:t>47.1</w:t>
      </w:r>
    </w:p>
    <w:p w14:paraId="759E0F26">
      <w:pPr>
        <w:pStyle w:val="6"/>
        <w:adjustRightInd w:val="0"/>
        <w:snapToGrid w:val="0"/>
        <w:spacing w:line="300" w:lineRule="auto"/>
        <w:ind w:left="1619" w:leftChars="77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在施工过程中，如果需要承包人进行钻孔或勘探性开挖（含疏浚工作在内）工作的，监理工程师应就此项工作按照第56条规定书面发出专项指令。承包人在接到监理工程师指令后，应及时实施相关工作。</w:t>
      </w:r>
    </w:p>
    <w:p w14:paraId="60B27C2A">
      <w:pPr>
        <w:pStyle w:val="6"/>
        <w:tabs>
          <w:tab w:val="left" w:pos="720"/>
          <w:tab w:val="left" w:pos="1080"/>
        </w:tabs>
        <w:adjustRightInd w:val="0"/>
        <w:snapToGrid w:val="0"/>
        <w:spacing w:line="30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49728"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1212" name="00018f"/>
                <wp:cNvGraphicFramePr/>
                <a:graphic xmlns:a="http://schemas.openxmlformats.org/drawingml/2006/main">
                  <a:graphicData uri="http://schemas.microsoft.com/office/word/2010/wordprocessingShape">
                    <wps:wsp>
                      <wps:cNvSpPr/>
                      <wps:spPr>
                        <a:xfrm>
                          <a:off x="0" y="0"/>
                          <a:ext cx="914400" cy="699135"/>
                        </a:xfrm>
                        <a:prstGeom prst="rect">
                          <a:avLst/>
                        </a:prstGeom>
                        <a:ln>
                          <a:noFill/>
                        </a:ln>
                      </wps:spPr>
                      <wps:txbx>
                        <w:txbxContent>
                          <w:p w14:paraId="30364817">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钻孔和勘探性开挖工作的费用</w:t>
                            </w:r>
                          </w:p>
                          <w:p w14:paraId="5CB04304">
                            <w:pPr>
                              <w:spacing w:line="200" w:lineRule="exact"/>
                              <w:rPr>
                                <w:rFonts w:hint="eastAsia"/>
                                <w:sz w:val="18"/>
                                <w:szCs w:val="18"/>
                              </w:rPr>
                            </w:pPr>
                          </w:p>
                        </w:txbxContent>
                      </wps:txbx>
                      <wps:bodyPr wrap="square"/>
                    </wps:wsp>
                  </a:graphicData>
                </a:graphic>
              </wp:anchor>
            </w:drawing>
          </mc:Choice>
          <mc:Fallback>
            <w:pict>
              <v:rect id="00018f" o:spid="_x0000_s1026" o:spt="1" style="position:absolute;left:0pt;margin-left:-10.5pt;margin-top:15.7pt;height:55.05pt;width:72pt;z-index:251849728;mso-width-relative:page;mso-height-relative:page;" filled="f" stroked="f" coordsize="21600,21600" o:gfxdata="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iSbD99oAAAAKAQAADwAAAAAAAAABACAAAAAi&#10;AAAAZHJzL2Rvd25yZXYueG1sUEsBAhQAFAAAAAgAh07iQD8Jq1CWAQAAOAMAAA4AAAAAAAAAAQAg&#10;AAAAKQEAAGRycy9lMm9Eb2MueG1sUEsFBgAAAAAGAAYAWQEAADEFAAAAAA==&#10;">
                <v:fill on="f" focussize="0,0"/>
                <v:stroke on="f"/>
                <v:imagedata o:title=""/>
                <o:lock v:ext="edit" aspectratio="f"/>
                <v:textbox>
                  <w:txbxContent>
                    <w:p w14:paraId="30364817">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钻孔和勘探性开挖工作的费用</w:t>
                      </w:r>
                    </w:p>
                    <w:p w14:paraId="5CB04304">
                      <w:pPr>
                        <w:spacing w:line="200" w:lineRule="exact"/>
                        <w:rPr>
                          <w:rFonts w:hint="eastAsia"/>
                          <w:sz w:val="18"/>
                          <w:szCs w:val="18"/>
                        </w:rPr>
                      </w:pPr>
                    </w:p>
                  </w:txbxContent>
                </v:textbox>
              </v:rect>
            </w:pict>
          </mc:Fallback>
        </mc:AlternateContent>
      </w:r>
      <w:r>
        <w:rPr>
          <w:rFonts w:hint="eastAsia" w:ascii="宋体" w:hAnsi="宋体" w:eastAsia="宋体" w:cs="宋体"/>
          <w:b/>
          <w:bCs/>
          <w:color w:val="auto"/>
          <w:sz w:val="24"/>
          <w:highlight w:val="none"/>
        </w:rPr>
        <w:t xml:space="preserve">47.2 </w:t>
      </w:r>
      <w:r>
        <w:rPr>
          <w:rFonts w:hint="eastAsia" w:ascii="宋体" w:hAnsi="宋体" w:eastAsia="宋体" w:cs="宋体"/>
          <w:b/>
          <w:bCs/>
          <w:color w:val="auto"/>
          <w:sz w:val="24"/>
          <w:highlight w:val="none"/>
          <w:u w:val="dotted"/>
        </w:rPr>
        <w:t xml:space="preserve">                                                                               </w:t>
      </w:r>
    </w:p>
    <w:p w14:paraId="0E1DC37C">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除工程量清单中已列有此类工作的支付项目和额度外，此项工作所发生的一切费用，经造价工程师核实后，由合同双方当事人按照第72条规定办理。</w:t>
      </w:r>
    </w:p>
    <w:p w14:paraId="22744C80">
      <w:pPr>
        <w:pStyle w:val="22"/>
        <w:tabs>
          <w:tab w:val="left" w:pos="540"/>
        </w:tabs>
        <w:adjustRightInd w:val="0"/>
        <w:snapToGrid w:val="0"/>
        <w:spacing w:before="240" w:beforeLines="100"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u w:val="single"/>
        </w:rPr>
        <w:t xml:space="preserve">                                                                                                              </w:t>
      </w:r>
    </w:p>
    <w:p w14:paraId="252C5641">
      <w:pPr>
        <w:pStyle w:val="6"/>
        <w:adjustRightInd w:val="0"/>
        <w:snapToGrid w:val="0"/>
        <w:spacing w:line="300" w:lineRule="auto"/>
        <w:ind w:firstLine="482"/>
        <w:outlineLvl w:val="2"/>
        <w:rPr>
          <w:rFonts w:hint="eastAsia" w:ascii="宋体" w:hAnsi="宋体" w:eastAsia="宋体" w:cs="宋体"/>
          <w:b/>
          <w:bCs/>
          <w:color w:val="auto"/>
          <w:sz w:val="24"/>
          <w:highlight w:val="none"/>
        </w:rPr>
      </w:pPr>
      <w:bookmarkStart w:id="119" w:name="_Toc46860852"/>
      <w:bookmarkStart w:id="120" w:name="_Toc469384031"/>
      <w:r>
        <w:rPr>
          <w:rFonts w:hint="eastAsia" w:ascii="宋体" w:hAnsi="宋体" w:eastAsia="宋体" w:cs="宋体"/>
          <w:b/>
          <w:bCs/>
          <w:color w:val="auto"/>
          <w:sz w:val="24"/>
          <w:highlight w:val="none"/>
        </w:rPr>
        <w:t>48  发包人供应材料和工程设备</w:t>
      </w:r>
      <w:bookmarkEnd w:id="119"/>
      <w:bookmarkEnd w:id="120"/>
    </w:p>
    <w:p w14:paraId="739B3CD5">
      <w:pPr>
        <w:pStyle w:val="6"/>
        <w:adjustRightInd w:val="0"/>
        <w:snapToGrid w:val="0"/>
        <w:spacing w:line="300" w:lineRule="auto"/>
        <w:ind w:firstLine="48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50752"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1213" name="000190"/>
                <wp:cNvGraphicFramePr/>
                <a:graphic xmlns:a="http://schemas.openxmlformats.org/drawingml/2006/main">
                  <a:graphicData uri="http://schemas.microsoft.com/office/word/2010/wordprocessingShape">
                    <wps:wsp>
                      <wps:cNvSpPr/>
                      <wps:spPr>
                        <a:xfrm>
                          <a:off x="0" y="0"/>
                          <a:ext cx="914400" cy="514985"/>
                        </a:xfrm>
                        <a:prstGeom prst="rect">
                          <a:avLst/>
                        </a:prstGeom>
                        <a:ln>
                          <a:noFill/>
                        </a:ln>
                      </wps:spPr>
                      <wps:txbx>
                        <w:txbxContent>
                          <w:p w14:paraId="3FA2A718">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约定供应的材料和工程设备</w:t>
                            </w:r>
                          </w:p>
                        </w:txbxContent>
                      </wps:txbx>
                      <wps:bodyPr wrap="square"/>
                    </wps:wsp>
                  </a:graphicData>
                </a:graphic>
              </wp:anchor>
            </w:drawing>
          </mc:Choice>
          <mc:Fallback>
            <w:pict>
              <v:rect id="000190" o:spid="_x0000_s1026" o:spt="1" style="position:absolute;left:0pt;margin-left:-9pt;margin-top:21.95pt;height:40.55pt;width:72pt;z-index:251850752;mso-width-relative:page;mso-height-relative:page;" filled="f" stroked="f" coordsize="21600,21600" o:gfxdata="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6jbcJ2gAAAAoBAAAPAAAAAAAAAAEAIAAAACIA&#10;AABkcnMvZG93bnJldi54bWxQSwECFAAUAAAACACHTuJAHM/i35UBAAA4AwAADgAAAAAAAAABACAA&#10;AAApAQAAZHJzL2Uyb0RvYy54bWxQSwUGAAAAAAYABgBZAQAAMAUAAAAA&#10;">
                <v:fill on="f" focussize="0,0"/>
                <v:stroke on="f"/>
                <v:imagedata o:title=""/>
                <o:lock v:ext="edit" aspectratio="f"/>
                <v:textbox>
                  <w:txbxContent>
                    <w:p w14:paraId="3FA2A718">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约定供应的材料和工程设备</w:t>
                      </w:r>
                    </w:p>
                  </w:txbxContent>
                </v:textbox>
              </v:rect>
            </w:pict>
          </mc:Fallback>
        </mc:AlternateContent>
      </w:r>
      <w:r>
        <w:rPr>
          <w:rFonts w:hint="eastAsia" w:ascii="宋体" w:hAnsi="宋体" w:eastAsia="宋体" w:cs="宋体"/>
          <w:b/>
          <w:bCs/>
          <w:color w:val="auto"/>
          <w:sz w:val="24"/>
          <w:highlight w:val="none"/>
        </w:rPr>
        <w:t>48.1</w:t>
      </w:r>
    </w:p>
    <w:p w14:paraId="2BDC1E3B">
      <w:pPr>
        <w:pStyle w:val="6"/>
        <w:adjustRightInd w:val="0"/>
        <w:snapToGrid w:val="0"/>
        <w:spacing w:line="300" w:lineRule="auto"/>
        <w:ind w:left="1619" w:leftChars="77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14:paraId="135C23A2">
      <w:pPr>
        <w:pStyle w:val="6"/>
        <w:adjustRightInd w:val="0"/>
        <w:snapToGrid w:val="0"/>
        <w:spacing w:line="300" w:lineRule="auto"/>
        <w:ind w:firstLine="482"/>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48.2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6F628C27">
      <w:pPr>
        <w:pStyle w:val="6"/>
        <w:adjustRightInd w:val="0"/>
        <w:snapToGrid w:val="0"/>
        <w:spacing w:line="300" w:lineRule="auto"/>
        <w:ind w:left="1575" w:leftChars="750" w:firstLine="0" w:firstLineChars="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51776"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1214" name="000191"/>
                <wp:cNvGraphicFramePr/>
                <a:graphic xmlns:a="http://schemas.openxmlformats.org/drawingml/2006/main">
                  <a:graphicData uri="http://schemas.microsoft.com/office/word/2010/wordprocessingShape">
                    <wps:wsp>
                      <wps:cNvSpPr/>
                      <wps:spPr>
                        <a:xfrm>
                          <a:off x="0" y="0"/>
                          <a:ext cx="914400" cy="514985"/>
                        </a:xfrm>
                        <a:prstGeom prst="rect">
                          <a:avLst/>
                        </a:prstGeom>
                        <a:ln>
                          <a:noFill/>
                        </a:ln>
                      </wps:spPr>
                      <wps:txbx>
                        <w:txbxContent>
                          <w:p w14:paraId="000F2903">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建设单位交货日期的要求</w:t>
                            </w:r>
                          </w:p>
                        </w:txbxContent>
                      </wps:txbx>
                      <wps:bodyPr wrap="square"/>
                    </wps:wsp>
                  </a:graphicData>
                </a:graphic>
              </wp:anchor>
            </w:drawing>
          </mc:Choice>
          <mc:Fallback>
            <w:pict>
              <v:rect id="000191" o:spid="_x0000_s1026" o:spt="1" style="position:absolute;left:0pt;margin-left:-5.25pt;margin-top:3.75pt;height:40.55pt;width:72pt;z-index:251851776;mso-width-relative:page;mso-height-relative:page;" filled="f" stroked="f" coordsize="21600,21600" o:gfxdata="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DpeATPZAAAACAEAAA8AAAAAAAAAAQAgAAAAIgAA&#10;AGRycy9kb3ducmV2LnhtbFBLAQIUABQAAAAIAIdO4kALAMHUlQEAADgDAAAOAAAAAAAAAAEAIAAA&#10;ACgBAABkcnMvZTJvRG9jLnhtbFBLBQYAAAAABgAGAFkBAAAvBQAAAAA=&#10;">
                <v:fill on="f" focussize="0,0"/>
                <v:stroke on="f"/>
                <v:imagedata o:title=""/>
                <o:lock v:ext="edit" aspectratio="f"/>
                <v:textbox>
                  <w:txbxContent>
                    <w:p w14:paraId="000F2903">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建设单位交货日期的要求</w:t>
                      </w:r>
                    </w:p>
                  </w:txbxContent>
                </v:textbox>
              </v:rect>
            </w:pict>
          </mc:Fallback>
        </mc:AlternateContent>
      </w:r>
      <w:r>
        <w:rPr>
          <w:rFonts w:hint="eastAsia" w:ascii="宋体" w:hAnsi="宋体" w:eastAsia="宋体" w:cs="宋体"/>
          <w:color w:val="auto"/>
          <w:sz w:val="24"/>
          <w:highlight w:val="none"/>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14:paraId="2B7B076D">
      <w:pPr>
        <w:pStyle w:val="6"/>
        <w:adjustRightInd w:val="0"/>
        <w:snapToGrid w:val="0"/>
        <w:spacing w:line="30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48.3  </w:t>
      </w:r>
      <w:r>
        <w:rPr>
          <w:rFonts w:hint="eastAsia" w:ascii="宋体" w:hAnsi="宋体" w:eastAsia="宋体" w:cs="宋体"/>
          <w:b/>
          <w:bCs/>
          <w:color w:val="auto"/>
          <w:sz w:val="24"/>
          <w:highlight w:val="none"/>
          <w:u w:val="dotted"/>
        </w:rPr>
        <w:t xml:space="preserve">                                                                                                        </w:t>
      </w:r>
    </w:p>
    <w:p w14:paraId="4DBAEA33">
      <w:pPr>
        <w:pStyle w:val="6"/>
        <w:adjustRightInd w:val="0"/>
        <w:snapToGrid w:val="0"/>
        <w:spacing w:line="300" w:lineRule="auto"/>
        <w:ind w:left="1619" w:leftChars="77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52800"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1215" name="000192"/>
                <wp:cNvGraphicFramePr/>
                <a:graphic xmlns:a="http://schemas.openxmlformats.org/drawingml/2006/main">
                  <a:graphicData uri="http://schemas.microsoft.com/office/word/2010/wordprocessingShape">
                    <wps:wsp>
                      <wps:cNvSpPr/>
                      <wps:spPr>
                        <a:xfrm>
                          <a:off x="0" y="0"/>
                          <a:ext cx="967739" cy="452755"/>
                        </a:xfrm>
                        <a:prstGeom prst="rect">
                          <a:avLst/>
                        </a:prstGeom>
                        <a:ln>
                          <a:noFill/>
                        </a:ln>
                      </wps:spPr>
                      <wps:txbx>
                        <w:txbxContent>
                          <w:p w14:paraId="7C26F2E8">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w:t>
                            </w:r>
                          </w:p>
                        </w:txbxContent>
                      </wps:txbx>
                      <wps:bodyPr wrap="square"/>
                    </wps:wsp>
                  </a:graphicData>
                </a:graphic>
              </wp:anchor>
            </w:drawing>
          </mc:Choice>
          <mc:Fallback>
            <w:pict>
              <v:rect id="000192" o:spid="_x0000_s1026" o:spt="1" style="position:absolute;left:0pt;margin-left:-9pt;margin-top:0.2pt;height:35.65pt;width:76.2pt;z-index:251852800;mso-width-relative:page;mso-height-relative:page;" filled="f" stroked="f" coordsize="21600,21600" o:gfxdata="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fNAh2AAAAAcBAAAPAAAAAAAAAAEAIAAAACIA&#10;AABkcnMvZG93bnJldi54bWxQSwECFAAUAAAACACHTuJApZDI5pcBAAA4AwAADgAAAAAAAAABACAA&#10;AAAnAQAAZHJzL2Uyb0RvYy54bWxQSwUGAAAAAAYABgBZAQAAMAUAAAAA&#10;">
                <v:fill on="f" focussize="0,0"/>
                <v:stroke on="f"/>
                <v:imagedata o:title=""/>
                <o:lock v:ext="edit" aspectratio="f"/>
                <v:textbox>
                  <w:txbxContent>
                    <w:p w14:paraId="7C26F2E8">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w:t>
                      </w:r>
                    </w:p>
                  </w:txbxContent>
                </v:textbox>
              </v:rect>
            </w:pict>
          </mc:Fallback>
        </mc:AlternateContent>
      </w:r>
      <w:r>
        <w:rPr>
          <w:rFonts w:hint="eastAsia" w:ascii="宋体" w:hAnsi="宋体" w:eastAsia="宋体" w:cs="宋体"/>
          <w:color w:val="auto"/>
          <w:sz w:val="24"/>
          <w:highlight w:val="none"/>
        </w:rPr>
        <w:t>发包人应按照一览表内容和第48.2款交货日期向承包人供应材料和工程设备，并提供产品质量合格证明文件，对材料和工程设备质量负责。发包人应在材料和工程设备到货前至少提前24小时，以书面形式通知承包人和监理工程师，并在监理工程师的见证下与承包人共同清点，同时在施工现场内合理堆放。</w:t>
      </w:r>
    </w:p>
    <w:p w14:paraId="481599DE">
      <w:pPr>
        <w:pStyle w:val="6"/>
        <w:adjustRightInd w:val="0"/>
        <w:snapToGrid w:val="0"/>
        <w:spacing w:line="30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48.4  </w:t>
      </w:r>
      <w:r>
        <w:rPr>
          <w:rFonts w:hint="eastAsia" w:ascii="宋体" w:hAnsi="宋体" w:eastAsia="宋体" w:cs="宋体"/>
          <w:b/>
          <w:bCs/>
          <w:color w:val="auto"/>
          <w:sz w:val="24"/>
          <w:highlight w:val="none"/>
          <w:u w:val="dotted"/>
        </w:rPr>
        <w:t xml:space="preserve">                                                                                                        </w:t>
      </w:r>
    </w:p>
    <w:p w14:paraId="6C316685">
      <w:pPr>
        <w:pStyle w:val="6"/>
        <w:adjustRightInd w:val="0"/>
        <w:snapToGrid w:val="0"/>
        <w:spacing w:line="300" w:lineRule="auto"/>
        <w:ind w:left="1619" w:leftChars="77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53824"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1216" name="000193"/>
                <wp:cNvGraphicFramePr/>
                <a:graphic xmlns:a="http://schemas.openxmlformats.org/drawingml/2006/main">
                  <a:graphicData uri="http://schemas.microsoft.com/office/word/2010/wordprocessingShape">
                    <wps:wsp>
                      <wps:cNvSpPr/>
                      <wps:spPr>
                        <a:xfrm>
                          <a:off x="0" y="0"/>
                          <a:ext cx="914400" cy="1019175"/>
                        </a:xfrm>
                        <a:prstGeom prst="rect">
                          <a:avLst/>
                        </a:prstGeom>
                        <a:ln>
                          <a:noFill/>
                        </a:ln>
                      </wps:spPr>
                      <wps:txbx>
                        <w:txbxContent>
                          <w:p w14:paraId="5CF59FD4">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建设单位供应材料和工程设备的责任</w:t>
                            </w:r>
                          </w:p>
                        </w:txbxContent>
                      </wps:txbx>
                      <wps:bodyPr wrap="square"/>
                    </wps:wsp>
                  </a:graphicData>
                </a:graphic>
              </wp:anchor>
            </w:drawing>
          </mc:Choice>
          <mc:Fallback>
            <w:pict>
              <v:rect id="000193" o:spid="_x0000_s1026" o:spt="1" style="position:absolute;left:0pt;margin-left:-9pt;margin-top:0.7pt;height:80.25pt;width:72pt;z-index:251853824;mso-width-relative:page;mso-height-relative:page;" filled="f" stroked="f" coordsize="21600,21600" o:gfxdata="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WJHmFtgAAAAJAQAADwAAAAAAAAABACAAAAAiAAAA&#10;ZHJzL2Rvd25yZXYueG1sUEsBAhQAFAAAAAgAh07iQJJSXBeVAQAAOQMAAA4AAAAAAAAAAQAgAAAA&#10;JwEAAGRycy9lMm9Eb2MueG1sUEsFBgAAAAAGAAYAWQEAAC4FAAAAAA==&#10;">
                <v:fill on="f" focussize="0,0"/>
                <v:stroke on="f"/>
                <v:imagedata o:title=""/>
                <o:lock v:ext="edit" aspectratio="f"/>
                <v:textbox>
                  <w:txbxContent>
                    <w:p w14:paraId="5CF59FD4">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建设单位供应材料和工程设备的责任</w:t>
                      </w:r>
                    </w:p>
                  </w:txbxContent>
                </v:textbox>
              </v:rect>
            </w:pict>
          </mc:Fallback>
        </mc:AlternateContent>
      </w:r>
      <w:r>
        <w:rPr>
          <w:rFonts w:hint="eastAsia" w:ascii="宋体" w:hAnsi="宋体" w:eastAsia="宋体" w:cs="宋体"/>
          <w:color w:val="auto"/>
          <w:sz w:val="24"/>
          <w:highlight w:val="none"/>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14:paraId="152D2810">
      <w:pPr>
        <w:pStyle w:val="6"/>
        <w:adjustRightInd w:val="0"/>
        <w:snapToGrid w:val="0"/>
        <w:spacing w:line="300" w:lineRule="auto"/>
        <w:ind w:firstLine="482"/>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48.5  </w:t>
      </w:r>
      <w:r>
        <w:rPr>
          <w:rFonts w:hint="eastAsia" w:ascii="宋体" w:hAnsi="宋体" w:eastAsia="宋体" w:cs="宋体"/>
          <w:color w:val="auto"/>
          <w:sz w:val="24"/>
          <w:highlight w:val="none"/>
          <w:u w:val="dotted"/>
        </w:rPr>
        <w:t xml:space="preserve">                                                                                                        </w:t>
      </w:r>
    </w:p>
    <w:p w14:paraId="48C96DF6">
      <w:pPr>
        <w:pStyle w:val="6"/>
        <w:adjustRightInd w:val="0"/>
        <w:snapToGrid w:val="0"/>
        <w:spacing w:line="300" w:lineRule="auto"/>
        <w:ind w:left="1619" w:leftChars="77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54848"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1217" name="000194"/>
                <wp:cNvGraphicFramePr/>
                <a:graphic xmlns:a="http://schemas.openxmlformats.org/drawingml/2006/main">
                  <a:graphicData uri="http://schemas.microsoft.com/office/word/2010/wordprocessingShape">
                    <wps:wsp>
                      <wps:cNvSpPr/>
                      <wps:spPr>
                        <a:xfrm>
                          <a:off x="0" y="0"/>
                          <a:ext cx="914400" cy="594360"/>
                        </a:xfrm>
                        <a:prstGeom prst="rect">
                          <a:avLst/>
                        </a:prstGeom>
                        <a:ln>
                          <a:noFill/>
                        </a:ln>
                      </wps:spPr>
                      <wps:txbx>
                        <w:txbxContent>
                          <w:p w14:paraId="4B9377E7">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承包人保管建设单位供应的材料和工程设备</w:t>
                            </w:r>
                          </w:p>
                        </w:txbxContent>
                      </wps:txbx>
                      <wps:bodyPr wrap="square"/>
                    </wps:wsp>
                  </a:graphicData>
                </a:graphic>
              </wp:anchor>
            </w:drawing>
          </mc:Choice>
          <mc:Fallback>
            <w:pict>
              <v:rect id="000194" o:spid="_x0000_s1026" o:spt="1" style="position:absolute;left:0pt;margin-left:-9pt;margin-top:0.7pt;height:46.8pt;width:72pt;z-index:251854848;mso-width-relative:page;mso-height-relative:page;" filled="f" stroked="f" coordsize="21600,21600" o:gfxdata="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BNFHH2AAAAAgBAAAPAAAAAAAAAAEAIAAAACIA&#10;AABkcnMvZG93bnJldi54bWxQSwECFAAUAAAACACHTuJAXG1QhJcBAAA4AwAADgAAAAAAAAABACAA&#10;AAAnAQAAZHJzL2Uyb0RvYy54bWxQSwUGAAAAAAYABgBZAQAAMAUAAAAA&#10;">
                <v:fill on="f" focussize="0,0"/>
                <v:stroke on="f"/>
                <v:imagedata o:title=""/>
                <o:lock v:ext="edit" aspectratio="f"/>
                <v:textbox>
                  <w:txbxContent>
                    <w:p w14:paraId="4B9377E7">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承包人保管建设单位供应的材料和工程设备</w:t>
                      </w:r>
                    </w:p>
                  </w:txbxContent>
                </v:textbox>
              </v:rect>
            </w:pict>
          </mc:Fallback>
        </mc:AlternateContent>
      </w:r>
      <w:r>
        <w:rPr>
          <w:rFonts w:hint="eastAsia" w:ascii="宋体" w:hAnsi="宋体" w:eastAsia="宋体" w:cs="宋体"/>
          <w:color w:val="auto"/>
          <w:sz w:val="24"/>
          <w:highlight w:val="none"/>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14:paraId="39B0CC79">
      <w:pPr>
        <w:pStyle w:val="6"/>
        <w:adjustRightInd w:val="0"/>
        <w:snapToGrid w:val="0"/>
        <w:spacing w:line="300" w:lineRule="auto"/>
        <w:ind w:firstLine="482"/>
        <w:rPr>
          <w:rFonts w:hint="eastAsia"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48.6  </w:t>
      </w:r>
      <w:r>
        <w:rPr>
          <w:rFonts w:hint="eastAsia" w:ascii="宋体" w:hAnsi="宋体" w:eastAsia="宋体" w:cs="宋体"/>
          <w:b/>
          <w:bCs/>
          <w:color w:val="auto"/>
          <w:sz w:val="24"/>
          <w:highlight w:val="none"/>
          <w:u w:val="dotted"/>
        </w:rPr>
        <w:t xml:space="preserve">                                                                                                        </w:t>
      </w:r>
    </w:p>
    <w:p w14:paraId="426E30B6">
      <w:pPr>
        <w:pStyle w:val="6"/>
        <w:adjustRightInd w:val="0"/>
        <w:snapToGrid w:val="0"/>
        <w:spacing w:line="300" w:lineRule="auto"/>
        <w:ind w:left="1619" w:leftChars="77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55872"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1218" name="000195"/>
                <wp:cNvGraphicFramePr/>
                <a:graphic xmlns:a="http://schemas.openxmlformats.org/drawingml/2006/main">
                  <a:graphicData uri="http://schemas.microsoft.com/office/word/2010/wordprocessingShape">
                    <wps:wsp>
                      <wps:cNvSpPr/>
                      <wps:spPr>
                        <a:xfrm>
                          <a:off x="0" y="0"/>
                          <a:ext cx="914400" cy="908684"/>
                        </a:xfrm>
                        <a:prstGeom prst="rect">
                          <a:avLst/>
                        </a:prstGeom>
                        <a:ln>
                          <a:noFill/>
                        </a:ln>
                      </wps:spPr>
                      <wps:txbx>
                        <w:txbxContent>
                          <w:p w14:paraId="1FF255A6">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供应材料和工程设备与约定不符时建设单位的责任</w:t>
                            </w:r>
                          </w:p>
                        </w:txbxContent>
                      </wps:txbx>
                      <wps:bodyPr wrap="square"/>
                    </wps:wsp>
                  </a:graphicData>
                </a:graphic>
              </wp:anchor>
            </w:drawing>
          </mc:Choice>
          <mc:Fallback>
            <w:pict>
              <v:rect id="000195" o:spid="_x0000_s1026" o:spt="1" style="position:absolute;left:0pt;margin-left:-9pt;margin-top:1.45pt;height:71.55pt;width:72pt;z-index:251855872;mso-width-relative:page;mso-height-relative:page;" filled="f" stroked="f" coordsize="21600,21600" o:gfxdata="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0kfIstgAAAAJAQAADwAAAAAAAAABACAAAAAiAAAA&#10;ZHJzL2Rvd25yZXYueG1sUEsBAhQAFAAAAAgAh07iQARIW9eVAQAAOAMAAA4AAAAAAAAAAQAgAAAA&#10;JwEAAGRycy9lMm9Eb2MueG1sUEsFBgAAAAAGAAYAWQEAAC4FAAAAAA==&#10;">
                <v:fill on="f" focussize="0,0"/>
                <v:stroke on="f"/>
                <v:imagedata o:title=""/>
                <o:lock v:ext="edit" aspectratio="f"/>
                <v:textbox>
                  <w:txbxContent>
                    <w:p w14:paraId="1FF255A6">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供应材料和工程设备与约定不符时建设单位的责任</w:t>
                      </w:r>
                    </w:p>
                  </w:txbxContent>
                </v:textbox>
              </v:rect>
            </w:pict>
          </mc:Fallback>
        </mc:AlternateContent>
      </w:r>
      <w:r>
        <w:rPr>
          <w:rFonts w:hint="eastAsia" w:ascii="宋体" w:hAnsi="宋体" w:eastAsia="宋体" w:cs="宋体"/>
          <w:color w:val="auto"/>
          <w:sz w:val="24"/>
          <w:highlight w:val="none"/>
        </w:rPr>
        <w:t>发包人供应的材料和工程设备与一览表不符时，发包人应按照下列规定承担相应责任：</w:t>
      </w:r>
    </w:p>
    <w:p w14:paraId="15864866">
      <w:pPr>
        <w:pStyle w:val="6"/>
        <w:numPr>
          <w:ilvl w:val="0"/>
          <w:numId w:val="21"/>
        </w:numPr>
        <w:tabs>
          <w:tab w:val="left" w:pos="1080"/>
          <w:tab w:val="left" w:pos="2160"/>
        </w:tabs>
        <w:adjustRightInd w:val="0"/>
        <w:snapToGrid w:val="0"/>
        <w:spacing w:line="300" w:lineRule="auto"/>
        <w:ind w:left="1619" w:leftChars="77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材料和工程设备的单价与一览表不符，由发包人承担所有价差；</w:t>
      </w:r>
    </w:p>
    <w:p w14:paraId="61111D1E">
      <w:pPr>
        <w:pStyle w:val="6"/>
        <w:numPr>
          <w:ilvl w:val="0"/>
          <w:numId w:val="21"/>
        </w:numPr>
        <w:tabs>
          <w:tab w:val="left" w:pos="1080"/>
          <w:tab w:val="left" w:pos="1620"/>
        </w:tabs>
        <w:adjustRightInd w:val="0"/>
        <w:snapToGrid w:val="0"/>
        <w:spacing w:line="300" w:lineRule="auto"/>
        <w:ind w:left="1617" w:leftChars="769" w:hanging="2" w:hangingChars="1"/>
        <w:rPr>
          <w:rFonts w:hint="eastAsia" w:ascii="宋体" w:hAnsi="宋体" w:eastAsia="宋体" w:cs="宋体"/>
          <w:color w:val="auto"/>
          <w:sz w:val="24"/>
          <w:highlight w:val="none"/>
        </w:rPr>
      </w:pPr>
      <w:r>
        <w:rPr>
          <w:rFonts w:hint="eastAsia" w:ascii="宋体" w:hAnsi="宋体" w:eastAsia="宋体" w:cs="宋体"/>
          <w:color w:val="auto"/>
          <w:sz w:val="24"/>
          <w:highlight w:val="none"/>
        </w:rPr>
        <w:t>材料和工程设备的品种、规格、型号、质量标准与一览表不符，承包人可以拒绝接受保管，由发包人运出施工场地并重新采购；</w:t>
      </w:r>
    </w:p>
    <w:p w14:paraId="7FF207D3">
      <w:pPr>
        <w:pStyle w:val="6"/>
        <w:numPr>
          <w:ilvl w:val="0"/>
          <w:numId w:val="21"/>
        </w:numPr>
        <w:tabs>
          <w:tab w:val="left" w:pos="1080"/>
          <w:tab w:val="left" w:pos="1620"/>
        </w:tabs>
        <w:adjustRightInd w:val="0"/>
        <w:snapToGrid w:val="0"/>
        <w:spacing w:line="300" w:lineRule="auto"/>
        <w:ind w:left="1617" w:leftChars="769" w:hanging="2" w:hangingChars="1"/>
        <w:rPr>
          <w:rFonts w:hint="eastAsia" w:ascii="宋体" w:hAnsi="宋体" w:eastAsia="宋体" w:cs="宋体"/>
          <w:color w:val="auto"/>
          <w:sz w:val="24"/>
          <w:highlight w:val="none"/>
        </w:rPr>
      </w:pPr>
      <w:r>
        <w:rPr>
          <w:rFonts w:hint="eastAsia" w:ascii="宋体" w:hAnsi="宋体" w:eastAsia="宋体" w:cs="宋体"/>
          <w:color w:val="auto"/>
          <w:sz w:val="24"/>
          <w:highlight w:val="none"/>
        </w:rPr>
        <w:t>材料和工程设备的品种、规格、型号、质量标准与一览表不符，经发包人同意，承包人可代为调剂替换，由发包人承担相应费用；</w:t>
      </w:r>
    </w:p>
    <w:p w14:paraId="1F2F827C">
      <w:pPr>
        <w:pStyle w:val="6"/>
        <w:numPr>
          <w:ilvl w:val="0"/>
          <w:numId w:val="21"/>
        </w:numPr>
        <w:adjustRightInd w:val="0"/>
        <w:snapToGrid w:val="0"/>
        <w:spacing w:line="300" w:lineRule="auto"/>
        <w:ind w:left="1618" w:leftChars="770" w:hanging="1"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交货地点与一览表不符，除合同双方当事人协商确定外，由发包人重新运至一览表指定地点，并承担由此增加的费用和（或）延误的工期；</w:t>
      </w:r>
    </w:p>
    <w:p w14:paraId="6B534F8F">
      <w:pPr>
        <w:pStyle w:val="6"/>
        <w:tabs>
          <w:tab w:val="left" w:pos="2160"/>
        </w:tabs>
        <w:adjustRightInd w:val="0"/>
        <w:snapToGrid w:val="0"/>
        <w:spacing w:line="300" w:lineRule="auto"/>
        <w:ind w:left="1678" w:leftChars="750" w:hanging="103" w:hangingChars="43"/>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(5)供应数量少于一览表约定的数量时，由发包人补齐；多于一览表约定的数量时，发包人应将多出的部分运出施工场地；</w:t>
      </w:r>
    </w:p>
    <w:p w14:paraId="6470CFEF">
      <w:pPr>
        <w:pStyle w:val="6"/>
        <w:tabs>
          <w:tab w:val="left" w:pos="1980"/>
        </w:tabs>
        <w:adjustRightInd w:val="0"/>
        <w:snapToGrid w:val="0"/>
        <w:spacing w:line="300" w:lineRule="auto"/>
        <w:ind w:left="1680" w:leftChars="80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(6)交货时间早于一览表约定计划和第48.2款交货日期，由发包人承担由此发生的保管费；交货时间迟于一览表约定计划和第48.2款交货日期，由发包人承担由此增加的费用和（或）延误的工期。</w:t>
      </w:r>
    </w:p>
    <w:p w14:paraId="06D93CEB">
      <w:pPr>
        <w:pStyle w:val="6"/>
        <w:tabs>
          <w:tab w:val="left" w:pos="2160"/>
        </w:tabs>
        <w:adjustRightInd w:val="0"/>
        <w:snapToGrid w:val="0"/>
        <w:spacing w:line="30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48.7 </w:t>
      </w:r>
      <w:r>
        <w:rPr>
          <w:rFonts w:hint="eastAsia" w:ascii="宋体" w:hAnsi="宋体" w:eastAsia="宋体" w:cs="宋体"/>
          <w:b/>
          <w:bCs/>
          <w:color w:val="auto"/>
          <w:sz w:val="24"/>
          <w:highlight w:val="none"/>
          <w:u w:val="dotted"/>
        </w:rPr>
        <w:t xml:space="preserve">                                                                                 </w:t>
      </w:r>
    </w:p>
    <w:p w14:paraId="7B5E4A8F">
      <w:pPr>
        <w:pStyle w:val="6"/>
        <w:adjustRightInd w:val="0"/>
        <w:snapToGrid w:val="0"/>
        <w:spacing w:line="300" w:lineRule="auto"/>
        <w:ind w:left="1619" w:leftChars="77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56896"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1219" name="000196"/>
                <wp:cNvGraphicFramePr/>
                <a:graphic xmlns:a="http://schemas.openxmlformats.org/drawingml/2006/main">
                  <a:graphicData uri="http://schemas.microsoft.com/office/word/2010/wordprocessingShape">
                    <wps:wsp>
                      <wps:cNvSpPr/>
                      <wps:spPr>
                        <a:xfrm>
                          <a:off x="0" y="0"/>
                          <a:ext cx="914400" cy="611505"/>
                        </a:xfrm>
                        <a:prstGeom prst="rect">
                          <a:avLst/>
                        </a:prstGeom>
                        <a:ln>
                          <a:noFill/>
                        </a:ln>
                      </wps:spPr>
                      <wps:txbx>
                        <w:txbxContent>
                          <w:p w14:paraId="591EC65A">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wps:txbx>
                      <wps:bodyPr wrap="square"/>
                    </wps:wsp>
                  </a:graphicData>
                </a:graphic>
              </wp:anchor>
            </w:drawing>
          </mc:Choice>
          <mc:Fallback>
            <w:pict>
              <v:rect id="000196" o:spid="_x0000_s1026" o:spt="1" style="position:absolute;left:0pt;margin-left:-9pt;margin-top:1.35pt;height:48.15pt;width:72pt;z-index:251856896;mso-width-relative:page;mso-height-relative:page;" filled="f" stroked="f" coordsize="21600,21600" o:gfxdata="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dE3mKtgAAAAIAQAADwAAAAAAAAABACAAAAAiAAAA&#10;ZHJzL2Rvd25yZXYueG1sUEsBAhQAFAAAAAgAh07iQKEWzEmVAQAAOAMAAA4AAAAAAAAAAQAgAAAA&#10;JwEAAGRycy9lMm9Eb2MueG1sUEsFBgAAAAAGAAYAWQEAAC4FAAAAAA==&#10;">
                <v:fill on="f" focussize="0,0"/>
                <v:stroke on="f"/>
                <v:imagedata o:title=""/>
                <o:lock v:ext="edit" aspectratio="f"/>
                <v:textbox>
                  <w:txbxContent>
                    <w:p w14:paraId="591EC65A">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v:textbox>
              </v:rect>
            </w:pict>
          </mc:Fallback>
        </mc:AlternateContent>
      </w:r>
      <w:r>
        <w:rPr>
          <w:rFonts w:hint="eastAsia" w:ascii="宋体" w:hAnsi="宋体" w:eastAsia="宋体" w:cs="宋体"/>
          <w:color w:val="auto"/>
          <w:sz w:val="24"/>
          <w:highlight w:val="none"/>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14:paraId="18C33203">
      <w:pPr>
        <w:pStyle w:val="6"/>
        <w:adjustRightInd w:val="0"/>
        <w:snapToGrid w:val="0"/>
        <w:spacing w:before="120" w:beforeLines="50" w:line="30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48.8  </w:t>
      </w:r>
      <w:r>
        <w:rPr>
          <w:rFonts w:hint="eastAsia" w:ascii="宋体" w:hAnsi="宋体" w:eastAsia="宋体" w:cs="宋体"/>
          <w:b/>
          <w:bCs/>
          <w:color w:val="auto"/>
          <w:sz w:val="24"/>
          <w:highlight w:val="none"/>
          <w:u w:val="dotted"/>
        </w:rPr>
        <w:t xml:space="preserve">                                                                                                        </w:t>
      </w:r>
    </w:p>
    <w:p w14:paraId="562CECD6">
      <w:pPr>
        <w:pStyle w:val="6"/>
        <w:adjustRightInd w:val="0"/>
        <w:snapToGrid w:val="0"/>
        <w:spacing w:line="300" w:lineRule="auto"/>
        <w:ind w:left="1619" w:leftChars="77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57920"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1220" name="000197"/>
                <wp:cNvGraphicFramePr/>
                <a:graphic xmlns:a="http://schemas.openxmlformats.org/drawingml/2006/main">
                  <a:graphicData uri="http://schemas.microsoft.com/office/word/2010/wordprocessingShape">
                    <wps:wsp>
                      <wps:cNvSpPr/>
                      <wps:spPr>
                        <a:xfrm>
                          <a:off x="0" y="0"/>
                          <a:ext cx="1028700" cy="297180"/>
                        </a:xfrm>
                        <a:prstGeom prst="rect">
                          <a:avLst/>
                        </a:prstGeom>
                        <a:ln>
                          <a:noFill/>
                        </a:ln>
                      </wps:spPr>
                      <wps:txbx>
                        <w:txbxContent>
                          <w:p w14:paraId="7BAFED7D">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约定结算方式</w:t>
                            </w:r>
                          </w:p>
                        </w:txbxContent>
                      </wps:txbx>
                      <wps:bodyPr wrap="square"/>
                    </wps:wsp>
                  </a:graphicData>
                </a:graphic>
              </wp:anchor>
            </w:drawing>
          </mc:Choice>
          <mc:Fallback>
            <w:pict>
              <v:rect id="000197" o:spid="_x0000_s1026" o:spt="1" style="position:absolute;left:0pt;margin-left:-9pt;margin-top:0.6pt;height:23.4pt;width:81pt;z-index:251857920;mso-width-relative:page;mso-height-relative:page;" filled="f" stroked="f" coordsize="21600,21600" o:gfxdata="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&#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gYRuC1wAAAAgBAAAPAAAAAAAAAAEAIAAAACIAAABk&#10;cnMvZG93bnJldi54bWxQSwECFAAUAAAACACHTuJAUaB3PJUBAAA5AwAADgAAAAAAAAABACAAAAAm&#10;AQAAZHJzL2Uyb0RvYy54bWxQSwUGAAAAAAYABgBZAQAALQUAAAAA&#10;">
                <v:fill on="f" focussize="0,0"/>
                <v:stroke on="f"/>
                <v:imagedata o:title=""/>
                <o:lock v:ext="edit" aspectratio="f"/>
                <v:textbox>
                  <w:txbxContent>
                    <w:p w14:paraId="7BAFED7D">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约定结算方式</w:t>
                      </w:r>
                    </w:p>
                  </w:txbxContent>
                </v:textbox>
              </v:rect>
            </w:pict>
          </mc:Fallback>
        </mc:AlternateContent>
      </w:r>
      <w:r>
        <w:rPr>
          <w:rFonts w:hint="eastAsia" w:ascii="宋体" w:hAnsi="宋体" w:eastAsia="宋体" w:cs="宋体"/>
          <w:color w:val="auto"/>
          <w:sz w:val="24"/>
          <w:highlight w:val="none"/>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14:paraId="6B187376">
      <w:pPr>
        <w:pStyle w:val="6"/>
        <w:adjustRightInd w:val="0"/>
        <w:snapToGrid w:val="0"/>
        <w:spacing w:line="300" w:lineRule="auto"/>
        <w:ind w:firstLine="482"/>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6D0B05D7">
      <w:pPr>
        <w:pStyle w:val="6"/>
        <w:adjustRightInd w:val="0"/>
        <w:snapToGrid w:val="0"/>
        <w:spacing w:line="300" w:lineRule="auto"/>
        <w:ind w:firstLine="482"/>
        <w:outlineLvl w:val="2"/>
        <w:rPr>
          <w:rFonts w:hint="eastAsia" w:ascii="宋体" w:hAnsi="宋体" w:eastAsia="宋体" w:cs="宋体"/>
          <w:b/>
          <w:bCs/>
          <w:color w:val="auto"/>
          <w:sz w:val="24"/>
          <w:highlight w:val="none"/>
        </w:rPr>
      </w:pPr>
      <w:bookmarkStart w:id="121" w:name="_Toc469384032"/>
      <w:bookmarkStart w:id="122" w:name="_Toc46860853"/>
      <w:r>
        <w:rPr>
          <w:rFonts w:hint="eastAsia" w:ascii="宋体" w:hAnsi="宋体" w:eastAsia="宋体" w:cs="宋体"/>
          <w:b/>
          <w:bCs/>
          <w:color w:val="auto"/>
          <w:sz w:val="24"/>
          <w:highlight w:val="none"/>
        </w:rPr>
        <w:t>49  承包人采购材料和工程设备</w:t>
      </w:r>
      <w:bookmarkEnd w:id="121"/>
      <w:bookmarkEnd w:id="122"/>
    </w:p>
    <w:p w14:paraId="54BCB774">
      <w:pPr>
        <w:pStyle w:val="6"/>
        <w:adjustRightInd w:val="0"/>
        <w:snapToGrid w:val="0"/>
        <w:spacing w:line="30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49.1 </w:t>
      </w:r>
    </w:p>
    <w:p w14:paraId="4E3591A9">
      <w:pPr>
        <w:pStyle w:val="6"/>
        <w:adjustRightInd w:val="0"/>
        <w:snapToGrid w:val="0"/>
        <w:spacing w:line="300" w:lineRule="auto"/>
        <w:ind w:left="1619" w:leftChars="77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58944"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221" name="000198"/>
                <wp:cNvGraphicFramePr/>
                <a:graphic xmlns:a="http://schemas.openxmlformats.org/drawingml/2006/main">
                  <a:graphicData uri="http://schemas.microsoft.com/office/word/2010/wordprocessingShape">
                    <wps:wsp>
                      <wps:cNvSpPr/>
                      <wps:spPr>
                        <a:xfrm>
                          <a:off x="0" y="0"/>
                          <a:ext cx="914400" cy="486410"/>
                        </a:xfrm>
                        <a:prstGeom prst="rect">
                          <a:avLst/>
                        </a:prstGeom>
                        <a:ln>
                          <a:noFill/>
                        </a:ln>
                      </wps:spPr>
                      <wps:txbx>
                        <w:txbxContent>
                          <w:p w14:paraId="611C8FBF">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w:t>
                            </w:r>
                          </w:p>
                        </w:txbxContent>
                      </wps:txbx>
                      <wps:bodyPr wrap="square"/>
                    </wps:wsp>
                  </a:graphicData>
                </a:graphic>
              </wp:anchor>
            </w:drawing>
          </mc:Choice>
          <mc:Fallback>
            <w:pict>
              <v:rect id="000198" o:spid="_x0000_s1026" o:spt="1" style="position:absolute;left:0pt;margin-left:-9pt;margin-top:1.35pt;height:38.3pt;width:72pt;z-index:251858944;mso-width-relative:page;mso-height-relative:page;" filled="f" stroked="f" coordsize="21600,21600" o:gfxdata="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G3Hf1rZAAAACAEAAA8AAAAAAAAAAQAgAAAAIgAA&#10;AGRycy9kb3ducmV2LnhtbFBLAQIUABQAAAAIAIdO4kBmHvxxlQEAADgDAAAOAAAAAAAAAAEAIAAA&#10;ACgBAABkcnMvZTJvRG9jLnhtbFBLBQYAAAAABgAGAFkBAAAvBQAAAAA=&#10;">
                <v:fill on="f" focussize="0,0"/>
                <v:stroke on="f"/>
                <v:imagedata o:title=""/>
                <o:lock v:ext="edit" aspectratio="f"/>
                <v:textbox>
                  <w:txbxContent>
                    <w:p w14:paraId="611C8FBF">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w:t>
                      </w:r>
                    </w:p>
                  </w:txbxContent>
                </v:textbox>
              </v:rect>
            </w:pict>
          </mc:Fallback>
        </mc:AlternateContent>
      </w:r>
      <w:r>
        <w:rPr>
          <w:rFonts w:hint="eastAsia" w:ascii="宋体" w:hAnsi="宋体" w:eastAsia="宋体" w:cs="宋体"/>
          <w:color w:val="auto"/>
          <w:sz w:val="24"/>
          <w:highlight w:val="none"/>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14:paraId="06F20CC3">
      <w:pPr>
        <w:pStyle w:val="6"/>
        <w:adjustRightInd w:val="0"/>
        <w:snapToGrid w:val="0"/>
        <w:spacing w:line="30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49.2 </w:t>
      </w:r>
      <w:r>
        <w:rPr>
          <w:rFonts w:hint="eastAsia" w:ascii="宋体" w:hAnsi="宋体" w:eastAsia="宋体" w:cs="宋体"/>
          <w:b/>
          <w:bCs/>
          <w:color w:val="auto"/>
          <w:sz w:val="24"/>
          <w:highlight w:val="none"/>
          <w:u w:val="dotted"/>
        </w:rPr>
        <w:t xml:space="preserve">                                                                               </w:t>
      </w:r>
    </w:p>
    <w:p w14:paraId="31C60F37">
      <w:pPr>
        <w:pStyle w:val="6"/>
        <w:adjustRightInd w:val="0"/>
        <w:snapToGrid w:val="0"/>
        <w:spacing w:line="300" w:lineRule="auto"/>
        <w:ind w:left="1619" w:leftChars="77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59968"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222" name="000199"/>
                <wp:cNvGraphicFramePr/>
                <a:graphic xmlns:a="http://schemas.openxmlformats.org/drawingml/2006/main">
                  <a:graphicData uri="http://schemas.microsoft.com/office/word/2010/wordprocessingShape">
                    <wps:wsp>
                      <wps:cNvSpPr/>
                      <wps:spPr>
                        <a:xfrm>
                          <a:off x="0" y="0"/>
                          <a:ext cx="914400" cy="486410"/>
                        </a:xfrm>
                        <a:prstGeom prst="rect">
                          <a:avLst/>
                        </a:prstGeom>
                        <a:ln>
                          <a:noFill/>
                        </a:ln>
                      </wps:spPr>
                      <wps:txbx>
                        <w:txbxContent>
                          <w:p w14:paraId="56408D0B">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承包人供货与清点要求</w:t>
                            </w:r>
                          </w:p>
                        </w:txbxContent>
                      </wps:txbx>
                      <wps:bodyPr wrap="square"/>
                    </wps:wsp>
                  </a:graphicData>
                </a:graphic>
              </wp:anchor>
            </w:drawing>
          </mc:Choice>
          <mc:Fallback>
            <w:pict>
              <v:rect id="000199" o:spid="_x0000_s1026" o:spt="1" style="position:absolute;left:0pt;margin-left:-9pt;margin-top:1.35pt;height:38.3pt;width:72pt;z-index:251859968;mso-width-relative:page;mso-height-relative:page;" filled="f" stroked="f" coordsize="21600,21600" o:gfxdata="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G3Hf1rZAAAACAEAAA8AAAAAAAAAAQAgAAAAIgAA&#10;AGRycy9kb3ducmV2LnhtbFBLAQIUABQAAAAIAIdO4kBJMss7lQEAADgDAAAOAAAAAAAAAAEAIAAA&#10;ACgBAABkcnMvZTJvRG9jLnhtbFBLBQYAAAAABgAGAFkBAAAvBQAAAAA=&#10;">
                <v:fill on="f" focussize="0,0"/>
                <v:stroke on="f"/>
                <v:imagedata o:title=""/>
                <o:lock v:ext="edit" aspectratio="f"/>
                <v:textbox>
                  <w:txbxContent>
                    <w:p w14:paraId="56408D0B">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承包人供货与清点要求</w:t>
                      </w:r>
                    </w:p>
                  </w:txbxContent>
                </v:textbox>
              </v:rect>
            </w:pict>
          </mc:Fallback>
        </mc:AlternateContent>
      </w:r>
      <w:r>
        <w:rPr>
          <w:rFonts w:hint="eastAsia" w:ascii="宋体" w:hAnsi="宋体" w:eastAsia="宋体" w:cs="宋体"/>
          <w:color w:val="auto"/>
          <w:sz w:val="24"/>
          <w:highlight w:val="none"/>
        </w:rPr>
        <w:t>承包人应按照专用条款的约定，将各项材料和工程设备的供货人及品种、规格、数量和供货时间等情况以书面形式提交监理工程师确认，并由其报发包人批准后实施供货。承包人应在材料和工程设备到货前至少提前24小时，以书面形式通知发包人和监理工程师，并在监理工程师的见证下与发包人共同清点。</w:t>
      </w:r>
    </w:p>
    <w:p w14:paraId="22CC3AA7">
      <w:pPr>
        <w:pStyle w:val="6"/>
        <w:adjustRightInd w:val="0"/>
        <w:snapToGrid w:val="0"/>
        <w:spacing w:line="30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49.3  </w:t>
      </w:r>
      <w:r>
        <w:rPr>
          <w:rFonts w:hint="eastAsia" w:ascii="宋体" w:hAnsi="宋体" w:eastAsia="宋体" w:cs="宋体"/>
          <w:b/>
          <w:bCs/>
          <w:color w:val="auto"/>
          <w:sz w:val="24"/>
          <w:highlight w:val="none"/>
          <w:u w:val="dotted"/>
        </w:rPr>
        <w:t xml:space="preserve">                                                                                                        </w:t>
      </w:r>
    </w:p>
    <w:p w14:paraId="6ED172F6">
      <w:pPr>
        <w:pStyle w:val="6"/>
        <w:adjustRightInd w:val="0"/>
        <w:snapToGrid w:val="0"/>
        <w:spacing w:line="300" w:lineRule="auto"/>
        <w:ind w:left="1619" w:leftChars="77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60992"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1223" name="00019a"/>
                <wp:cNvGraphicFramePr/>
                <a:graphic xmlns:a="http://schemas.openxmlformats.org/drawingml/2006/main">
                  <a:graphicData uri="http://schemas.microsoft.com/office/word/2010/wordprocessingShape">
                    <wps:wsp>
                      <wps:cNvSpPr/>
                      <wps:spPr>
                        <a:xfrm>
                          <a:off x="0" y="0"/>
                          <a:ext cx="914400" cy="792480"/>
                        </a:xfrm>
                        <a:prstGeom prst="rect">
                          <a:avLst/>
                        </a:prstGeom>
                        <a:ln>
                          <a:noFill/>
                        </a:ln>
                      </wps:spPr>
                      <wps:txbx>
                        <w:txbxContent>
                          <w:p w14:paraId="7CBA70CD">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wps:txbx>
                      <wps:bodyPr wrap="square"/>
                    </wps:wsp>
                  </a:graphicData>
                </a:graphic>
              </wp:anchor>
            </w:drawing>
          </mc:Choice>
          <mc:Fallback>
            <w:pict>
              <v:rect id="00019a" o:spid="_x0000_s1026" o:spt="1" style="position:absolute;left:0pt;margin-left:-9pt;margin-top:0.1pt;height:62.4pt;width:72pt;z-index:251860992;mso-width-relative:page;mso-height-relative:page;" filled="f" stroked="f" coordsize="21600,21600" o:gfxdata="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2HpDJdcAAAAIAQAADwAAAAAAAAABACAAAAAiAAAA&#10;ZHJzL2Rvd25yZXYueG1sUEsBAhQAFAAAAAgAh07iQCtKGeaWAQAAOAMAAA4AAAAAAAAAAQAgAAAA&#10;JgEAAGRycy9lMm9Eb2MueG1sUEsFBgAAAAAGAAYAWQEAAC4FAAAAAA==&#10;">
                <v:fill on="f" focussize="0,0"/>
                <v:stroke on="f"/>
                <v:imagedata o:title=""/>
                <o:lock v:ext="edit" aspectratio="f"/>
                <v:textbox>
                  <w:txbxContent>
                    <w:p w14:paraId="7CBA70CD">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v:textbox>
              </v:rect>
            </w:pict>
          </mc:Fallback>
        </mc:AlternateContent>
      </w:r>
      <w:r>
        <w:rPr>
          <w:rFonts w:hint="eastAsia" w:ascii="宋体" w:hAnsi="宋体" w:eastAsia="宋体" w:cs="宋体"/>
          <w:color w:val="auto"/>
          <w:sz w:val="24"/>
          <w:highlight w:val="none"/>
        </w:rPr>
        <w:t>承包人采购的材料和工程设备不符合标准与规范、设计要求和合同约定的要求时，应按照监理工程师的指令将其运出施工场地，重新采购符合要求的产品，由此增加的费用和（或）延误的工期由承包人承担。</w:t>
      </w:r>
    </w:p>
    <w:p w14:paraId="2FFF52CD">
      <w:pPr>
        <w:pStyle w:val="6"/>
        <w:adjustRightInd w:val="0"/>
        <w:snapToGrid w:val="0"/>
        <w:spacing w:line="30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49.4  </w:t>
      </w:r>
      <w:r>
        <w:rPr>
          <w:rFonts w:hint="eastAsia" w:ascii="宋体" w:hAnsi="宋体" w:eastAsia="宋体" w:cs="宋体"/>
          <w:b/>
          <w:bCs/>
          <w:color w:val="auto"/>
          <w:sz w:val="24"/>
          <w:highlight w:val="none"/>
          <w:u w:val="dotted"/>
        </w:rPr>
        <w:t xml:space="preserve">                                                                                                        </w:t>
      </w:r>
    </w:p>
    <w:p w14:paraId="640ABB59">
      <w:pPr>
        <w:pStyle w:val="6"/>
        <w:adjustRightInd w:val="0"/>
        <w:snapToGrid w:val="0"/>
        <w:spacing w:line="300" w:lineRule="auto"/>
        <w:ind w:left="1619" w:leftChars="77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62016"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1224" name="00019b"/>
                <wp:cNvGraphicFramePr/>
                <a:graphic xmlns:a="http://schemas.openxmlformats.org/drawingml/2006/main">
                  <a:graphicData uri="http://schemas.microsoft.com/office/word/2010/wordprocessingShape">
                    <wps:wsp>
                      <wps:cNvSpPr/>
                      <wps:spPr>
                        <a:xfrm>
                          <a:off x="0" y="0"/>
                          <a:ext cx="914400" cy="792480"/>
                        </a:xfrm>
                        <a:prstGeom prst="rect">
                          <a:avLst/>
                        </a:prstGeom>
                        <a:ln>
                          <a:noFill/>
                        </a:ln>
                      </wps:spPr>
                      <wps:txbx>
                        <w:txbxContent>
                          <w:p w14:paraId="5212F855">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wps:txbx>
                      <wps:bodyPr wrap="square"/>
                    </wps:wsp>
                  </a:graphicData>
                </a:graphic>
              </wp:anchor>
            </w:drawing>
          </mc:Choice>
          <mc:Fallback>
            <w:pict>
              <v:rect id="00019b" o:spid="_x0000_s1026" o:spt="1" style="position:absolute;left:0pt;margin-left:-9pt;margin-top:-0.4pt;height:62.4pt;width:72pt;z-index:251862016;mso-width-relative:page;mso-height-relative:page;" filled="f" stroked="f" coordsize="21600,21600" o:gfxdata="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UNdAGtcAAAAJAQAADwAAAAAAAAABACAAAAAiAAAA&#10;ZHJzL2Rvd25yZXYueG1sUEsBAhQAFAAAAAgAh07iQMZPyhiWAQAAOAMAAA4AAAAAAAAAAQAgAAAA&#10;JgEAAGRycy9lMm9Eb2MueG1sUEsFBgAAAAAGAAYAWQEAAC4FAAAAAA==&#10;">
                <v:fill on="f" focussize="0,0"/>
                <v:stroke on="f"/>
                <v:imagedata o:title=""/>
                <o:lock v:ext="edit" aspectratio="f"/>
                <v:textbox>
                  <w:txbxContent>
                    <w:p w14:paraId="5212F855">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v:textbox>
              </v:rect>
            </w:pict>
          </mc:Fallback>
        </mc:AlternateContent>
      </w:r>
      <w:r>
        <w:rPr>
          <w:rFonts w:hint="eastAsia" w:ascii="宋体" w:hAnsi="宋体" w:eastAsia="宋体" w:cs="宋体"/>
          <w:color w:val="auto"/>
          <w:sz w:val="24"/>
          <w:highlight w:val="none"/>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14:paraId="657E9DF9">
      <w:pPr>
        <w:pStyle w:val="6"/>
        <w:adjustRightInd w:val="0"/>
        <w:snapToGrid w:val="0"/>
        <w:spacing w:line="30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63040"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1225" name="00019c"/>
                <wp:cNvGraphicFramePr/>
                <a:graphic xmlns:a="http://schemas.openxmlformats.org/drawingml/2006/main">
                  <a:graphicData uri="http://schemas.microsoft.com/office/word/2010/wordprocessingShape">
                    <wps:wsp>
                      <wps:cNvSpPr/>
                      <wps:spPr>
                        <a:xfrm>
                          <a:off x="0" y="0"/>
                          <a:ext cx="914400" cy="441960"/>
                        </a:xfrm>
                        <a:prstGeom prst="rect">
                          <a:avLst/>
                        </a:prstGeom>
                        <a:ln>
                          <a:noFill/>
                        </a:ln>
                      </wps:spPr>
                      <wps:txbx>
                        <w:txbxContent>
                          <w:p w14:paraId="2419D5B8">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承包人不执行指令的责任</w:t>
                            </w:r>
                          </w:p>
                        </w:txbxContent>
                      </wps:txbx>
                      <wps:bodyPr wrap="square"/>
                    </wps:wsp>
                  </a:graphicData>
                </a:graphic>
              </wp:anchor>
            </w:drawing>
          </mc:Choice>
          <mc:Fallback>
            <w:pict>
              <v:rect id="00019c" o:spid="_x0000_s1026" o:spt="1" style="position:absolute;left:0pt;margin-left:-9pt;margin-top:19.1pt;height:34.8pt;width:72pt;z-index:251863040;mso-width-relative:page;mso-height-relative:page;" filled="f" stroked="f" coordsize="21600,21600" o:gfxdata="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v7ucYNoAAAAKAQAADwAAAAAAAAABACAAAAAi&#10;AAAAZHJzL2Rvd25yZXYueG1sUEsBAhQAFAAAAAgAh07iQEs/dJ2WAQAAOAMAAA4AAAAAAAAAAQAg&#10;AAAAKQEAAGRycy9lMm9Eb2MueG1sUEsFBgAAAAAGAAYAWQEAADEFAAAAAA==&#10;">
                <v:fill on="f" focussize="0,0"/>
                <v:stroke on="f"/>
                <v:imagedata o:title=""/>
                <o:lock v:ext="edit" aspectratio="f"/>
                <v:textbox>
                  <w:txbxContent>
                    <w:p w14:paraId="2419D5B8">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承包人不执行指令的责任</w:t>
                      </w:r>
                    </w:p>
                  </w:txbxContent>
                </v:textbox>
              </v:rect>
            </w:pict>
          </mc:Fallback>
        </mc:AlternateContent>
      </w:r>
      <w:r>
        <w:rPr>
          <w:rFonts w:hint="eastAsia" w:ascii="宋体" w:hAnsi="宋体" w:eastAsia="宋体" w:cs="宋体"/>
          <w:b/>
          <w:bCs/>
          <w:color w:val="auto"/>
          <w:sz w:val="24"/>
          <w:highlight w:val="none"/>
        </w:rPr>
        <w:t xml:space="preserve">49.5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095F3D0F">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如果承包人不执行监理工程师依据第49.3款和第49.4款规定发出的指令,则发包人可自行或委托第三方执行该指令，由此发生的费用由承包人承担。该笔款项经造价工程师核实后，由发包人从应付或将付给或将付给承包人的工程款中扣除。</w:t>
      </w:r>
    </w:p>
    <w:p w14:paraId="3FBCA1E4">
      <w:pPr>
        <w:pStyle w:val="6"/>
        <w:adjustRightInd w:val="0"/>
        <w:snapToGrid w:val="0"/>
        <w:spacing w:line="30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49.6  </w:t>
      </w:r>
      <w:r>
        <w:rPr>
          <w:rFonts w:hint="eastAsia" w:ascii="宋体" w:hAnsi="宋体" w:eastAsia="宋体" w:cs="宋体"/>
          <w:b/>
          <w:bCs/>
          <w:color w:val="auto"/>
          <w:sz w:val="24"/>
          <w:highlight w:val="none"/>
          <w:u w:val="dotted"/>
        </w:rPr>
        <w:t xml:space="preserve">                                                                                                       </w:t>
      </w:r>
      <w:r>
        <w:rPr>
          <w:rFonts w:hint="eastAsia" w:ascii="宋体" w:hAnsi="宋体" w:eastAsia="宋体" w:cs="宋体"/>
          <w:b/>
          <w:bCs/>
          <w:color w:val="auto"/>
          <w:sz w:val="24"/>
          <w:highlight w:val="none"/>
        </w:rPr>
        <w:t xml:space="preserve"> </w:t>
      </w:r>
    </w:p>
    <w:p w14:paraId="1D18A67A">
      <w:pPr>
        <w:pStyle w:val="6"/>
        <w:tabs>
          <w:tab w:val="left" w:pos="1260"/>
        </w:tabs>
        <w:adjustRightInd w:val="0"/>
        <w:snapToGrid w:val="0"/>
        <w:spacing w:line="300" w:lineRule="auto"/>
        <w:ind w:left="1619" w:leftChars="77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64064"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1226" name="00019d"/>
                <wp:cNvGraphicFramePr/>
                <a:graphic xmlns:a="http://schemas.openxmlformats.org/drawingml/2006/main">
                  <a:graphicData uri="http://schemas.microsoft.com/office/word/2010/wordprocessingShape">
                    <wps:wsp>
                      <wps:cNvSpPr/>
                      <wps:spPr>
                        <a:xfrm>
                          <a:off x="0" y="0"/>
                          <a:ext cx="914400" cy="410845"/>
                        </a:xfrm>
                        <a:prstGeom prst="rect">
                          <a:avLst/>
                        </a:prstGeom>
                        <a:ln>
                          <a:noFill/>
                        </a:ln>
                      </wps:spPr>
                      <wps:txbx>
                        <w:txbxContent>
                          <w:p w14:paraId="52313762">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使用替换材料的申请与批准</w:t>
                            </w:r>
                          </w:p>
                        </w:txbxContent>
                      </wps:txbx>
                      <wps:bodyPr wrap="square"/>
                    </wps:wsp>
                  </a:graphicData>
                </a:graphic>
              </wp:anchor>
            </w:drawing>
          </mc:Choice>
          <mc:Fallback>
            <w:pict>
              <v:rect id="00019d" o:spid="_x0000_s1026" o:spt="1" style="position:absolute;left:0pt;margin-left:-9pt;margin-top:3.6pt;height:32.35pt;width:72pt;z-index:251864064;mso-width-relative:page;mso-height-relative:page;" filled="f" stroked="f" coordsize="21600,21600" o:gfxdata="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AJxzL51wAAAAgBAAAPAAAAAAAAAAEAIAAAACIAAABk&#10;cnMvZG93bnJldi54bWxQSwECFAAUAAAACACHTuJAUZg12ZUBAAA4AwAADgAAAAAAAAABACAAAAAm&#10;AQAAZHJzL2Uyb0RvYy54bWxQSwUGAAAAAAYABgBZAQAALQUAAAAA&#10;">
                <v:fill on="f" focussize="0,0"/>
                <v:stroke on="f"/>
                <v:imagedata o:title=""/>
                <o:lock v:ext="edit" aspectratio="f"/>
                <v:textbox>
                  <w:txbxContent>
                    <w:p w14:paraId="52313762">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使用替换材料的申请与批准</w:t>
                      </w:r>
                    </w:p>
                  </w:txbxContent>
                </v:textbox>
              </v:rect>
            </w:pict>
          </mc:Fallback>
        </mc:AlternateContent>
      </w:r>
      <w:r>
        <w:rPr>
          <w:rFonts w:hint="eastAsia" w:ascii="宋体" w:hAnsi="宋体" w:eastAsia="宋体" w:cs="宋体"/>
          <w:color w:val="auto"/>
          <w:sz w:val="24"/>
          <w:highlight w:val="none"/>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14:paraId="0D82C094">
      <w:pPr>
        <w:pStyle w:val="6"/>
        <w:adjustRightInd w:val="0"/>
        <w:snapToGrid w:val="0"/>
        <w:spacing w:line="30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49.7  </w:t>
      </w:r>
      <w:r>
        <w:rPr>
          <w:rFonts w:hint="eastAsia" w:ascii="宋体" w:hAnsi="宋体" w:eastAsia="宋体" w:cs="宋体"/>
          <w:b/>
          <w:bCs/>
          <w:color w:val="auto"/>
          <w:sz w:val="24"/>
          <w:highlight w:val="none"/>
          <w:u w:val="dotted"/>
        </w:rPr>
        <w:t xml:space="preserve">                                                                                                       </w:t>
      </w:r>
    </w:p>
    <w:p w14:paraId="643A6D9D">
      <w:pPr>
        <w:pStyle w:val="6"/>
        <w:tabs>
          <w:tab w:val="left" w:pos="1800"/>
        </w:tabs>
        <w:adjustRightInd w:val="0"/>
        <w:snapToGrid w:val="0"/>
        <w:spacing w:before="120" w:beforeLines="50" w:line="300" w:lineRule="auto"/>
        <w:ind w:left="1619" w:leftChars="77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65088"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1227" name="00019e"/>
                <wp:cNvGraphicFramePr/>
                <a:graphic xmlns:a="http://schemas.openxmlformats.org/drawingml/2006/main">
                  <a:graphicData uri="http://schemas.microsoft.com/office/word/2010/wordprocessingShape">
                    <wps:wsp>
                      <wps:cNvSpPr/>
                      <wps:spPr>
                        <a:xfrm>
                          <a:off x="0" y="0"/>
                          <a:ext cx="914400" cy="819150"/>
                        </a:xfrm>
                        <a:prstGeom prst="rect">
                          <a:avLst/>
                        </a:prstGeom>
                        <a:ln>
                          <a:noFill/>
                        </a:ln>
                      </wps:spPr>
                      <wps:txbx>
                        <w:txbxContent>
                          <w:p w14:paraId="01AE6F2B">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wps:txbx>
                      <wps:bodyPr wrap="square"/>
                    </wps:wsp>
                  </a:graphicData>
                </a:graphic>
              </wp:anchor>
            </w:drawing>
          </mc:Choice>
          <mc:Fallback>
            <w:pict>
              <v:rect id="00019e" o:spid="_x0000_s1026" o:spt="1" style="position:absolute;left:0pt;margin-left:-9pt;margin-top:2.4pt;height:64.5pt;width:72pt;z-index:251865088;mso-width-relative:page;mso-height-relative:page;" filled="f" stroked="f" coordsize="21600,21600" o:gfxdata="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MEbJOLZAAAACQEAAA8AAAAAAAAAAQAgAAAAIgAA&#10;AGRycy9kb3ducmV2LnhtbFBLAQIUABQAAAAIAIdO4kCFuOEvlQEAADgDAAAOAAAAAAAAAAEAIAAA&#10;ACgBAABkcnMvZTJvRG9jLnhtbFBLBQYAAAAABgAGAFkBAAAvBQAAAAA=&#10;">
                <v:fill on="f" focussize="0,0"/>
                <v:stroke on="f"/>
                <v:imagedata o:title=""/>
                <o:lock v:ext="edit" aspectratio="f"/>
                <v:textbox>
                  <w:txbxContent>
                    <w:p w14:paraId="01AE6F2B">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v:textbox>
              </v:rect>
            </w:pict>
          </mc:Fallback>
        </mc:AlternateContent>
      </w:r>
      <w:r>
        <w:rPr>
          <w:rFonts w:hint="eastAsia" w:ascii="宋体" w:hAnsi="宋体" w:eastAsia="宋体" w:cs="宋体"/>
          <w:color w:val="auto"/>
          <w:sz w:val="24"/>
          <w:highlight w:val="none"/>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14:paraId="6555311A">
      <w:pPr>
        <w:pStyle w:val="6"/>
        <w:adjustRightInd w:val="0"/>
        <w:snapToGrid w:val="0"/>
        <w:spacing w:line="300" w:lineRule="auto"/>
        <w:ind w:firstLine="48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66112" behindDoc="0" locked="0" layoutInCell="1" allowOverlap="1">
                <wp:simplePos x="0" y="0"/>
                <wp:positionH relativeFrom="column">
                  <wp:posOffset>-114300</wp:posOffset>
                </wp:positionH>
                <wp:positionV relativeFrom="paragraph">
                  <wp:posOffset>206375</wp:posOffset>
                </wp:positionV>
                <wp:extent cx="914400" cy="711835"/>
                <wp:effectExtent l="0" t="0" r="0" b="0"/>
                <wp:wrapNone/>
                <wp:docPr id="1228" name="00019f"/>
                <wp:cNvGraphicFramePr/>
                <a:graphic xmlns:a="http://schemas.openxmlformats.org/drawingml/2006/main">
                  <a:graphicData uri="http://schemas.microsoft.com/office/word/2010/wordprocessingShape">
                    <wps:wsp>
                      <wps:cNvSpPr/>
                      <wps:spPr>
                        <a:xfrm>
                          <a:off x="0" y="0"/>
                          <a:ext cx="914400" cy="711835"/>
                        </a:xfrm>
                        <a:prstGeom prst="rect">
                          <a:avLst/>
                        </a:prstGeom>
                        <a:ln>
                          <a:noFill/>
                        </a:ln>
                      </wps:spPr>
                      <wps:txbx>
                        <w:txbxContent>
                          <w:p w14:paraId="2E8E4FED">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wps:txbx>
                      <wps:bodyPr wrap="square"/>
                    </wps:wsp>
                  </a:graphicData>
                </a:graphic>
              </wp:anchor>
            </w:drawing>
          </mc:Choice>
          <mc:Fallback>
            <w:pict>
              <v:rect id="00019f" o:spid="_x0000_s1026" o:spt="1" style="position:absolute;left:0pt;margin-left:-9pt;margin-top:16.25pt;height:56.05pt;width:72pt;z-index:251866112;mso-width-relative:page;mso-height-relative:page;" filled="f" stroked="f" coordsize="21600,21600" o:gfxdata="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lIqCCtsAAAAKAQAADwAAAAAAAAABACAAAAAi&#10;AAAAZHJzL2Rvd25yZXYueG1sUEsBAhQAFAAAAAgAh07iQLQwpSaVAQAAOAMAAA4AAAAAAAAAAQAg&#10;AAAAKgEAAGRycy9lMm9Eb2MueG1sUEsFBgAAAAAGAAYAWQEAADEFAAAAAA==&#10;">
                <v:fill on="f" focussize="0,0"/>
                <v:stroke on="f"/>
                <v:imagedata o:title=""/>
                <o:lock v:ext="edit" aspectratio="f"/>
                <v:textbox>
                  <w:txbxContent>
                    <w:p w14:paraId="2E8E4FED">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v:textbox>
              </v:rect>
            </w:pict>
          </mc:Fallback>
        </mc:AlternateContent>
      </w:r>
      <w:r>
        <w:rPr>
          <w:rFonts w:hint="eastAsia" w:ascii="宋体" w:hAnsi="宋体" w:eastAsia="宋体" w:cs="宋体"/>
          <w:b/>
          <w:bCs/>
          <w:color w:val="auto"/>
          <w:sz w:val="24"/>
          <w:highlight w:val="none"/>
        </w:rPr>
        <w:t xml:space="preserve">49.8  </w:t>
      </w:r>
      <w:r>
        <w:rPr>
          <w:rFonts w:hint="eastAsia" w:ascii="宋体" w:hAnsi="宋体" w:eastAsia="宋体" w:cs="宋体"/>
          <w:b/>
          <w:bCs/>
          <w:color w:val="auto"/>
          <w:sz w:val="24"/>
          <w:highlight w:val="none"/>
          <w:u w:val="dotted"/>
        </w:rPr>
        <w:t xml:space="preserve">                                                                                                        </w:t>
      </w:r>
    </w:p>
    <w:p w14:paraId="64A82EC2">
      <w:pPr>
        <w:pStyle w:val="6"/>
        <w:adjustRightInd w:val="0"/>
        <w:snapToGrid w:val="0"/>
        <w:spacing w:line="300" w:lineRule="auto"/>
        <w:ind w:left="1619" w:leftChars="77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承包人采购材料和工程设备的，除专用条款另有约定外，发包人不得指定生产厂家或供应商。</w:t>
      </w:r>
    </w:p>
    <w:p w14:paraId="3813D657">
      <w:pPr>
        <w:pStyle w:val="6"/>
        <w:adjustRightInd w:val="0"/>
        <w:snapToGrid w:val="0"/>
        <w:spacing w:line="300" w:lineRule="auto"/>
        <w:ind w:firstLine="482"/>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4F143A21">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123" w:name="_Toc469384033"/>
      <w:bookmarkStart w:id="124" w:name="_Toc46860854"/>
      <w:r>
        <w:rPr>
          <w:rFonts w:hint="eastAsia" w:hAnsi="宋体" w:eastAsia="宋体" w:cs="宋体"/>
          <w:b/>
          <w:bCs/>
          <w:color w:val="auto"/>
          <w:sz w:val="24"/>
          <w:szCs w:val="24"/>
          <w:highlight w:val="none"/>
        </w:rPr>
        <w:t>50  材料和工程设备的检验试验</w:t>
      </w:r>
      <w:bookmarkEnd w:id="123"/>
      <w:bookmarkEnd w:id="124"/>
    </w:p>
    <w:p w14:paraId="72835007">
      <w:pPr>
        <w:pStyle w:val="6"/>
        <w:adjustRightInd w:val="0"/>
        <w:snapToGrid w:val="0"/>
        <w:spacing w:line="30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50.1</w:t>
      </w:r>
    </w:p>
    <w:p w14:paraId="3E7EE1F5">
      <w:pPr>
        <w:pStyle w:val="6"/>
        <w:adjustRightInd w:val="0"/>
        <w:snapToGrid w:val="0"/>
        <w:spacing w:line="300" w:lineRule="auto"/>
        <w:ind w:left="1619" w:leftChars="77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67136"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1229" name="0001a0"/>
                <wp:cNvGraphicFramePr/>
                <a:graphic xmlns:a="http://schemas.openxmlformats.org/drawingml/2006/main">
                  <a:graphicData uri="http://schemas.microsoft.com/office/word/2010/wordprocessingShape">
                    <wps:wsp>
                      <wps:cNvSpPr/>
                      <wps:spPr>
                        <a:xfrm>
                          <a:off x="0" y="0"/>
                          <a:ext cx="914400" cy="506095"/>
                        </a:xfrm>
                        <a:prstGeom prst="rect">
                          <a:avLst/>
                        </a:prstGeom>
                        <a:ln>
                          <a:noFill/>
                        </a:ln>
                      </wps:spPr>
                      <wps:txbx>
                        <w:txbxContent>
                          <w:p w14:paraId="24A057C5">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进入现场检验试验</w:t>
                            </w:r>
                          </w:p>
                        </w:txbxContent>
                      </wps:txbx>
                      <wps:bodyPr wrap="square"/>
                    </wps:wsp>
                  </a:graphicData>
                </a:graphic>
              </wp:anchor>
            </w:drawing>
          </mc:Choice>
          <mc:Fallback>
            <w:pict>
              <v:rect id="0001a0" o:spid="_x0000_s1026" o:spt="1" style="position:absolute;left:0pt;margin-left:-9pt;margin-top:0.05pt;height:39.85pt;width:72pt;z-index:251867136;mso-width-relative:page;mso-height-relative:page;" filled="f" stroked="f" coordsize="21600,21600" o:gfxdata="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&#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Br4mVPXAAAABwEAAA8AAAAAAAAAAQAgAAAAIgAAAGRy&#10;cy9kb3ducmV2LnhtbFBLAQIUABQAAAAIAIdO4kDxLTzQlAEAADgDAAAOAAAAAAAAAAEAIAAAACYB&#10;AABkcnMvZTJvRG9jLnhtbFBLBQYAAAAABgAGAFkBAAAsBQAAAAA=&#10;">
                <v:fill on="f" focussize="0,0"/>
                <v:stroke on="f"/>
                <v:imagedata o:title=""/>
                <o:lock v:ext="edit" aspectratio="f"/>
                <v:textbox>
                  <w:txbxContent>
                    <w:p w14:paraId="24A057C5">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进入现场检验试验</w:t>
                      </w:r>
                    </w:p>
                  </w:txbxContent>
                </v:textbox>
              </v:rect>
            </w:pict>
          </mc:Fallback>
        </mc:AlternateContent>
      </w:r>
      <w:r>
        <w:rPr>
          <w:rFonts w:hint="eastAsia" w:ascii="宋体" w:hAnsi="宋体" w:eastAsia="宋体" w:cs="宋体"/>
          <w:color w:val="auto"/>
          <w:sz w:val="24"/>
          <w:highlight w:val="none"/>
        </w:rPr>
        <w:t>监理工程师及其委派的代表可进入施工场地、材料和工程设备的制造、加工或制配车间等场所参加材料和工程设备等产品的检验试验。承包人应为他们进入上述场所及开展相关工作提供便利和协助。</w:t>
      </w:r>
    </w:p>
    <w:p w14:paraId="55361593">
      <w:pPr>
        <w:pStyle w:val="6"/>
        <w:tabs>
          <w:tab w:val="left" w:pos="360"/>
          <w:tab w:val="left" w:pos="720"/>
        </w:tabs>
        <w:adjustRightInd w:val="0"/>
        <w:snapToGrid w:val="0"/>
        <w:spacing w:line="300" w:lineRule="auto"/>
        <w:ind w:firstLine="482"/>
        <w:rPr>
          <w:rFonts w:hint="eastAsia"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50.2  </w:t>
      </w:r>
      <w:r>
        <w:rPr>
          <w:rFonts w:hint="eastAsia" w:ascii="宋体" w:hAnsi="宋体" w:eastAsia="宋体" w:cs="宋体"/>
          <w:b/>
          <w:bCs/>
          <w:color w:val="auto"/>
          <w:sz w:val="24"/>
          <w:highlight w:val="none"/>
          <w:u w:val="dotted"/>
        </w:rPr>
        <w:t xml:space="preserve">                                                                              </w:t>
      </w:r>
    </w:p>
    <w:p w14:paraId="10B19649">
      <w:pPr>
        <w:spacing w:line="30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68160" behindDoc="0" locked="0" layoutInCell="1" allowOverlap="1">
                <wp:simplePos x="0" y="0"/>
                <wp:positionH relativeFrom="column">
                  <wp:posOffset>-114300</wp:posOffset>
                </wp:positionH>
                <wp:positionV relativeFrom="paragraph">
                  <wp:posOffset>154305</wp:posOffset>
                </wp:positionV>
                <wp:extent cx="914400" cy="572770"/>
                <wp:effectExtent l="0" t="0" r="0" b="0"/>
                <wp:wrapNone/>
                <wp:docPr id="1230" name="0001a1"/>
                <wp:cNvGraphicFramePr/>
                <a:graphic xmlns:a="http://schemas.openxmlformats.org/drawingml/2006/main">
                  <a:graphicData uri="http://schemas.microsoft.com/office/word/2010/wordprocessingShape">
                    <wps:wsp>
                      <wps:cNvSpPr/>
                      <wps:spPr>
                        <a:xfrm>
                          <a:off x="0" y="0"/>
                          <a:ext cx="914400" cy="572770"/>
                        </a:xfrm>
                        <a:prstGeom prst="rect">
                          <a:avLst/>
                        </a:prstGeom>
                        <a:ln>
                          <a:noFill/>
                        </a:ln>
                      </wps:spPr>
                      <wps:txbx>
                        <w:txbxContent>
                          <w:p w14:paraId="0963006A">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wps:txbx>
                      <wps:bodyPr wrap="square"/>
                    </wps:wsp>
                  </a:graphicData>
                </a:graphic>
              </wp:anchor>
            </w:drawing>
          </mc:Choice>
          <mc:Fallback>
            <w:pict>
              <v:rect id="0001a1" o:spid="_x0000_s1026" o:spt="1" style="position:absolute;left:0pt;margin-left:-9pt;margin-top:12.15pt;height:45.1pt;width:72pt;z-index:251868160;mso-width-relative:page;mso-height-relative:page;" filled="f" stroked="f" coordsize="21600,21600" o:gfxdata="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v/5sRdsAAAAKAQAADwAAAAAAAAABACAAAAAi&#10;AAAAZHJzL2Rvd25yZXYueG1sUEsBAhQAFAAAAAgAh07iQP8GkJqVAQAAOAMAAA4AAAAAAAAAAQAg&#10;AAAAKgEAAGRycy9lMm9Eb2MueG1sUEsFBgAAAAAGAAYAWQEAADEFAAAAAA==&#10;">
                <v:fill on="f" focussize="0,0"/>
                <v:stroke on="f"/>
                <v:imagedata o:title=""/>
                <o:lock v:ext="edit" aspectratio="f"/>
                <v:textbox>
                  <w:txbxContent>
                    <w:p w14:paraId="0963006A">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v:textbox>
              </v:rect>
            </w:pict>
          </mc:Fallback>
        </mc:AlternateContent>
      </w:r>
    </w:p>
    <w:p w14:paraId="008EF4ED">
      <w:pPr>
        <w:pStyle w:val="6"/>
        <w:adjustRightInd w:val="0"/>
        <w:snapToGrid w:val="0"/>
        <w:spacing w:line="300" w:lineRule="auto"/>
        <w:ind w:left="1619" w:leftChars="77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材料和工程设备等产品的检验试验，包括见证取样和不见证取样两种情形：</w:t>
      </w:r>
    </w:p>
    <w:p w14:paraId="0BAB3C46">
      <w:pPr>
        <w:pStyle w:val="6"/>
        <w:adjustRightInd w:val="0"/>
        <w:snapToGrid w:val="0"/>
        <w:spacing w:line="300" w:lineRule="auto"/>
        <w:ind w:left="1619" w:leftChars="77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标准与规范、涉及结构安全有要求或合同有约定进行见证取样检验试验的材料和工程设备等产品，承包人应在取样前至少提前24小时通知监理工程师参加，并在监理工程师的见证下现场取样，同时送至具有相应资质等级的质量检测机构进行检验试验。</w:t>
      </w:r>
    </w:p>
    <w:p w14:paraId="517CF983">
      <w:pPr>
        <w:pStyle w:val="6"/>
        <w:adjustRightInd w:val="0"/>
        <w:snapToGrid w:val="0"/>
        <w:spacing w:line="300" w:lineRule="auto"/>
        <w:ind w:left="1619" w:leftChars="77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24小时发出延期检验试验指令并书面说明理由，延期不得超过48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14:paraId="3557BCA1">
      <w:pPr>
        <w:pStyle w:val="6"/>
        <w:adjustRightInd w:val="0"/>
        <w:snapToGrid w:val="0"/>
        <w:spacing w:line="300" w:lineRule="auto"/>
        <w:ind w:left="1619" w:leftChars="1" w:hanging="1617" w:hangingChars="671"/>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50.3 </w:t>
      </w:r>
      <w:r>
        <w:rPr>
          <w:rFonts w:hint="eastAsia" w:ascii="宋体" w:hAnsi="宋体" w:eastAsia="宋体" w:cs="宋体"/>
          <w:b/>
          <w:bCs/>
          <w:color w:val="auto"/>
          <w:sz w:val="24"/>
          <w:highlight w:val="none"/>
          <w:u w:val="dotted"/>
        </w:rPr>
        <w:t xml:space="preserve">                                                                               </w:t>
      </w:r>
    </w:p>
    <w:p w14:paraId="46882E31">
      <w:pPr>
        <w:pStyle w:val="6"/>
        <w:adjustRightInd w:val="0"/>
        <w:snapToGrid w:val="0"/>
        <w:spacing w:line="300" w:lineRule="auto"/>
        <w:ind w:left="1575" w:leftChars="75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69184"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1231" name="0001a2"/>
                <wp:cNvGraphicFramePr/>
                <a:graphic xmlns:a="http://schemas.openxmlformats.org/drawingml/2006/main">
                  <a:graphicData uri="http://schemas.microsoft.com/office/word/2010/wordprocessingShape">
                    <wps:wsp>
                      <wps:cNvSpPr/>
                      <wps:spPr>
                        <a:xfrm>
                          <a:off x="0" y="0"/>
                          <a:ext cx="914400" cy="557530"/>
                        </a:xfrm>
                        <a:prstGeom prst="rect">
                          <a:avLst/>
                        </a:prstGeom>
                        <a:ln>
                          <a:noFill/>
                        </a:ln>
                      </wps:spPr>
                      <wps:txbx>
                        <w:txbxContent>
                          <w:p w14:paraId="428E87C3">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材料和工程设备的使用</w:t>
                            </w:r>
                          </w:p>
                        </w:txbxContent>
                      </wps:txbx>
                      <wps:bodyPr wrap="square"/>
                    </wps:wsp>
                  </a:graphicData>
                </a:graphic>
              </wp:anchor>
            </w:drawing>
          </mc:Choice>
          <mc:Fallback>
            <w:pict>
              <v:rect id="0001a2" o:spid="_x0000_s1026" o:spt="1" style="position:absolute;left:0pt;margin-left:-5.25pt;margin-top:0.9pt;height:43.9pt;width:72pt;z-index:251869184;mso-width-relative:page;mso-height-relative:page;" filled="f" stroked="f" coordsize="21600,21600" o:gfxdata="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kCYkP9cAAAAIAQAADwAAAAAAAAABACAAAAAiAAAA&#10;ZHJzL2Rvd25yZXYueG1sUEsBAhQAFAAAAAgAh07iQNFdp7iWAQAAOAMAAA4AAAAAAAAAAQAgAAAA&#10;JgEAAGRycy9lMm9Eb2MueG1sUEsFBgAAAAAGAAYAWQEAAC4FAAAAAA==&#10;">
                <v:fill on="f" focussize="0,0"/>
                <v:stroke on="f"/>
                <v:imagedata o:title=""/>
                <o:lock v:ext="edit" aspectratio="f"/>
                <v:textbox>
                  <w:txbxContent>
                    <w:p w14:paraId="428E87C3">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材料和工程设备的使用</w:t>
                      </w:r>
                    </w:p>
                  </w:txbxContent>
                </v:textbox>
              </v:rect>
            </w:pict>
          </mc:Fallback>
        </mc:AlternateContent>
      </w:r>
      <w:r>
        <w:rPr>
          <w:rFonts w:hint="eastAsia" w:ascii="宋体" w:hAnsi="宋体" w:eastAsia="宋体" w:cs="宋体"/>
          <w:color w:val="auto"/>
          <w:sz w:val="24"/>
          <w:highlight w:val="none"/>
        </w:rPr>
        <w:t>材料和工程设备等产品检验试验合格的，可在合同工程中使用。材料和工程设备等产品检验试验不合格的，禁止在合同工程中使用，并及时清出施工场地。</w:t>
      </w:r>
    </w:p>
    <w:p w14:paraId="14A63C4D">
      <w:pPr>
        <w:pStyle w:val="6"/>
        <w:tabs>
          <w:tab w:val="left" w:pos="540"/>
        </w:tabs>
        <w:adjustRightInd w:val="0"/>
        <w:snapToGrid w:val="0"/>
        <w:spacing w:line="300" w:lineRule="auto"/>
        <w:ind w:firstLine="482"/>
        <w:rPr>
          <w:rFonts w:hint="eastAsia" w:ascii="宋体" w:hAnsi="宋体" w:eastAsia="宋体" w:cs="宋体"/>
          <w:color w:val="auto"/>
          <w:sz w:val="24"/>
          <w:highlight w:val="none"/>
          <w:u w:val="dotted"/>
        </w:rPr>
      </w:pPr>
      <w:r>
        <w:rPr>
          <w:rFonts w:hint="eastAsia" w:ascii="宋体" w:hAnsi="宋体" w:eastAsia="宋体" w:cs="宋体"/>
          <w:b/>
          <w:bCs/>
          <w:color w:val="auto"/>
          <w:sz w:val="24"/>
          <w:highlight w:val="none"/>
        </w:rPr>
        <w:t xml:space="preserve">50.4  </w:t>
      </w:r>
      <w:r>
        <w:rPr>
          <w:rFonts w:hint="eastAsia" w:ascii="宋体" w:hAnsi="宋体" w:eastAsia="宋体" w:cs="宋体"/>
          <w:b/>
          <w:bCs/>
          <w:color w:val="auto"/>
          <w:sz w:val="24"/>
          <w:highlight w:val="none"/>
          <w:u w:val="dotted"/>
        </w:rPr>
        <w:t xml:space="preserve">                                                                              </w:t>
      </w:r>
    </w:p>
    <w:p w14:paraId="2D0DBC10">
      <w:pPr>
        <w:pStyle w:val="6"/>
        <w:adjustRightInd w:val="0"/>
        <w:snapToGrid w:val="0"/>
        <w:spacing w:line="300" w:lineRule="auto"/>
        <w:ind w:left="1619" w:leftChars="77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70208"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1232" name="0001a3"/>
                <wp:cNvGraphicFramePr/>
                <a:graphic xmlns:a="http://schemas.openxmlformats.org/drawingml/2006/main">
                  <a:graphicData uri="http://schemas.microsoft.com/office/word/2010/wordprocessingShape">
                    <wps:wsp>
                      <wps:cNvSpPr/>
                      <wps:spPr>
                        <a:xfrm>
                          <a:off x="0" y="0"/>
                          <a:ext cx="914400" cy="555625"/>
                        </a:xfrm>
                        <a:prstGeom prst="rect">
                          <a:avLst/>
                        </a:prstGeom>
                        <a:ln>
                          <a:noFill/>
                        </a:ln>
                      </wps:spPr>
                      <wps:txbx>
                        <w:txbxContent>
                          <w:p w14:paraId="2823E37C">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wps:txbx>
                      <wps:bodyPr wrap="square"/>
                    </wps:wsp>
                  </a:graphicData>
                </a:graphic>
              </wp:anchor>
            </w:drawing>
          </mc:Choice>
          <mc:Fallback>
            <w:pict>
              <v:rect id="0001a3" o:spid="_x0000_s1026" o:spt="1" style="position:absolute;left:0pt;margin-left:-9pt;margin-top:1.2pt;height:43.75pt;width:72pt;z-index:251870208;mso-width-relative:page;mso-height-relative:page;" filled="f" stroked="f" coordsize="21600,21600" o:gfxdata="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ySifD9gAAAAIAQAADwAAAAAAAAABACAAAAAiAAAA&#10;ZHJzL2Rvd25yZXYueG1sUEsBAhQAFAAAAAgAh07iQNFSKsaVAQAAOAMAAA4AAAAAAAAAAQAgAAAA&#10;JwEAAGRycy9lMm9Eb2MueG1sUEsFBgAAAAAGAAYAWQEAAC4FAAAAAA==&#10;">
                <v:fill on="f" focussize="0,0"/>
                <v:stroke on="f"/>
                <v:imagedata o:title=""/>
                <o:lock v:ext="edit" aspectratio="f"/>
                <v:textbox>
                  <w:txbxContent>
                    <w:p w14:paraId="2823E37C">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v:textbox>
              </v:rect>
            </w:pict>
          </mc:Fallback>
        </mc:AlternateContent>
      </w:r>
      <w:r>
        <w:rPr>
          <w:rFonts w:hint="eastAsia" w:ascii="宋体" w:hAnsi="宋体" w:eastAsia="宋体" w:cs="宋体"/>
          <w:color w:val="auto"/>
          <w:sz w:val="24"/>
          <w:highlight w:val="none"/>
        </w:rPr>
        <w:t>除合同价款已包括外，材料和工程设备等产品的检验试验费，按照实际发生的费用计算。</w:t>
      </w:r>
    </w:p>
    <w:p w14:paraId="03A849AC">
      <w:pPr>
        <w:pStyle w:val="6"/>
        <w:tabs>
          <w:tab w:val="left" w:pos="1620"/>
          <w:tab w:val="left" w:pos="1980"/>
          <w:tab w:val="left" w:pos="2160"/>
        </w:tabs>
        <w:adjustRightInd w:val="0"/>
        <w:snapToGrid w:val="0"/>
        <w:spacing w:line="300" w:lineRule="auto"/>
        <w:ind w:left="1617"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（1）现场使用前材料和工程设备等产品的检验试验，发包人供应的，检验试验费由发包人承担；承包人采购的，检验试验费由承包人承担。</w:t>
      </w:r>
    </w:p>
    <w:p w14:paraId="3597528B">
      <w:pPr>
        <w:pStyle w:val="6"/>
        <w:tabs>
          <w:tab w:val="left" w:pos="1620"/>
          <w:tab w:val="left" w:pos="2160"/>
          <w:tab w:val="left" w:pos="2520"/>
        </w:tabs>
        <w:adjustRightInd w:val="0"/>
        <w:snapToGrid w:val="0"/>
        <w:spacing w:line="300" w:lineRule="auto"/>
        <w:ind w:left="1619" w:firstLine="0" w:firstLineChars="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（2）施工过程中材料和工程设备等产品的检验试验，合格的，检验试验费由发包人承担。不合格的，发包人供应的，检验试验费由发包人承担；承包人采购的，检验试验费由承包人承担。</w:t>
      </w:r>
    </w:p>
    <w:p w14:paraId="40ECD130">
      <w:pPr>
        <w:pStyle w:val="6"/>
        <w:tabs>
          <w:tab w:val="left" w:pos="1620"/>
          <w:tab w:val="left" w:pos="1980"/>
          <w:tab w:val="left" w:pos="2520"/>
          <w:tab w:val="left" w:pos="2700"/>
        </w:tabs>
        <w:adjustRightInd w:val="0"/>
        <w:snapToGrid w:val="0"/>
        <w:spacing w:line="30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50.5 </w:t>
      </w:r>
      <w:r>
        <w:rPr>
          <w:rFonts w:hint="eastAsia" w:ascii="宋体" w:hAnsi="宋体" w:eastAsia="宋体" w:cs="宋体"/>
          <w:b/>
          <w:bCs/>
          <w:color w:val="auto"/>
          <w:sz w:val="24"/>
          <w:highlight w:val="none"/>
          <w:u w:val="dotted"/>
        </w:rPr>
        <w:t xml:space="preserve">                                                                                                        </w:t>
      </w:r>
    </w:p>
    <w:p w14:paraId="7B66EE8B">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7123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1233" name="0001a4"/>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5A05B697">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再次检验试验及其费用承担</w:t>
                            </w:r>
                          </w:p>
                        </w:txbxContent>
                      </wps:txbx>
                      <wps:bodyPr wrap="square"/>
                    </wps:wsp>
                  </a:graphicData>
                </a:graphic>
              </wp:anchor>
            </w:drawing>
          </mc:Choice>
          <mc:Fallback>
            <w:pict>
              <v:rect id="0001a4" o:spid="_x0000_s1026" o:spt="1" style="position:absolute;left:0pt;margin-left:-9pt;margin-top:0.65pt;height:31.2pt;width:72pt;z-index:251871232;mso-width-relative:page;mso-height-relative:page;" filled="f" stroked="f" coordsize="21600,21600" o:gfxdata="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2I7pGdcAAAAIAQAADwAAAAAAAAABACAAAAAiAAAA&#10;ZHJzL2Rvd25yZXYueG1sUEsBAhQAFAAAAAgAh07iQPF15VaWAQAAOAMAAA4AAAAAAAAAAQAgAAAA&#10;JgEAAGRycy9lMm9Eb2MueG1sUEsFBgAAAAAGAAYAWQEAAC4FAAAAAA==&#10;">
                <v:fill on="f" focussize="0,0"/>
                <v:stroke on="f"/>
                <v:imagedata o:title=""/>
                <o:lock v:ext="edit" aspectratio="f"/>
                <v:textbox>
                  <w:txbxContent>
                    <w:p w14:paraId="5A05B697">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再次检验试验及其费用承担</w:t>
                      </w:r>
                    </w:p>
                  </w:txbxContent>
                </v:textbox>
              </v:rect>
            </w:pict>
          </mc:Fallback>
        </mc:AlternateContent>
      </w:r>
      <w:r>
        <w:rPr>
          <w:rFonts w:hint="eastAsia" w:ascii="宋体" w:hAnsi="宋体" w:eastAsia="宋体" w:cs="宋体"/>
          <w:color w:val="auto"/>
          <w:sz w:val="24"/>
          <w:highlight w:val="none"/>
        </w:rPr>
        <w:t>监理工程师对承包人自行检验试验结果有疑问的，或重新查验检验试验结果的，可要求承包人共同对材料和工程设备等产品再次检验试验。</w:t>
      </w:r>
    </w:p>
    <w:p w14:paraId="3F541034">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（1）合格的，再次检验试验费和（或）延误的工期由发包人承担，并向承包人支付合理利润。</w:t>
      </w:r>
    </w:p>
    <w:p w14:paraId="697C1335">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（2）不合格的，发包人供应的，再次检验试验费和（或）延误的工期由发包人承担，并向承包人支付合理利润；承包人采购的，再次检验试验费和（或）延误的工期由承包人承担。</w:t>
      </w:r>
    </w:p>
    <w:p w14:paraId="0AFB3589">
      <w:pPr>
        <w:pStyle w:val="6"/>
        <w:tabs>
          <w:tab w:val="left" w:pos="540"/>
        </w:tabs>
        <w:adjustRightInd w:val="0"/>
        <w:snapToGrid w:val="0"/>
        <w:spacing w:line="300" w:lineRule="auto"/>
        <w:ind w:firstLine="482"/>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50.6 </w:t>
      </w:r>
      <w:r>
        <w:rPr>
          <w:rFonts w:hint="eastAsia" w:ascii="宋体" w:hAnsi="宋体" w:eastAsia="宋体" w:cs="宋体"/>
          <w:b/>
          <w:bCs/>
          <w:color w:val="auto"/>
          <w:sz w:val="24"/>
          <w:highlight w:val="none"/>
          <w:u w:val="dotted"/>
        </w:rPr>
        <w:t xml:space="preserve">                                                                           </w:t>
      </w:r>
      <w:r>
        <w:rPr>
          <w:rFonts w:hint="eastAsia" w:ascii="宋体" w:hAnsi="宋体" w:eastAsia="宋体" w:cs="宋体"/>
          <w:color w:val="auto"/>
          <w:sz w:val="24"/>
          <w:highlight w:val="none"/>
        </w:rPr>
        <mc:AlternateContent>
          <mc:Choice Requires="wps">
            <w:drawing>
              <wp:anchor distT="0" distB="0" distL="0" distR="0" simplePos="0" relativeHeight="251872256"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1234" name="0001a5"/>
                <wp:cNvGraphicFramePr/>
                <a:graphic xmlns:a="http://schemas.openxmlformats.org/drawingml/2006/main">
                  <a:graphicData uri="http://schemas.microsoft.com/office/word/2010/wordprocessingShape">
                    <wps:wsp>
                      <wps:cNvSpPr/>
                      <wps:spPr>
                        <a:xfrm>
                          <a:off x="0" y="0"/>
                          <a:ext cx="914400" cy="690244"/>
                        </a:xfrm>
                        <a:prstGeom prst="rect">
                          <a:avLst/>
                        </a:prstGeom>
                        <a:ln>
                          <a:noFill/>
                        </a:ln>
                      </wps:spPr>
                      <wps:txbx>
                        <w:txbxContent>
                          <w:p w14:paraId="76E57AEA">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wps:txbx>
                      <wps:bodyPr wrap="square"/>
                    </wps:wsp>
                  </a:graphicData>
                </a:graphic>
              </wp:anchor>
            </w:drawing>
          </mc:Choice>
          <mc:Fallback>
            <w:pict>
              <v:rect id="0001a5" o:spid="_x0000_s1026" o:spt="1" style="position:absolute;left:0pt;margin-left:-9pt;margin-top:19.3pt;height:54.35pt;width:72pt;z-index:251872256;mso-width-relative:page;mso-height-relative:page;" filled="f" stroked="f" coordsize="21600,21600" o:gfxdata="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l3LBttsAAAAKAQAADwAAAAAAAAABACAAAAAi&#10;AAAAZHJzL2Rvd25yZXYueG1sUEsBAhQAFAAAAAgAh07iQPHw2/mVAQAAOAMAAA4AAAAAAAAAAQAg&#10;AAAAKgEAAGRycy9lMm9Eb2MueG1sUEsFBgAAAAAGAAYAWQEAADEFAAAAAA==&#10;">
                <v:fill on="f" focussize="0,0"/>
                <v:stroke on="f"/>
                <v:imagedata o:title=""/>
                <o:lock v:ext="edit" aspectratio="f"/>
                <v:textbox>
                  <w:txbxContent>
                    <w:p w14:paraId="76E57AEA">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v:textbox>
              </v:rect>
            </w:pict>
          </mc:Fallback>
        </mc:AlternateContent>
      </w:r>
      <w:r>
        <w:rPr>
          <w:rFonts w:hint="eastAsia" w:ascii="宋体" w:hAnsi="宋体" w:eastAsia="宋体" w:cs="宋体"/>
          <w:b/>
          <w:bCs/>
          <w:color w:val="auto"/>
          <w:sz w:val="24"/>
          <w:highlight w:val="none"/>
          <w:u w:val="dotted"/>
        </w:rPr>
        <w:t xml:space="preserve">    </w:t>
      </w:r>
    </w:p>
    <w:p w14:paraId="72BA48DB">
      <w:pPr>
        <w:pStyle w:val="6"/>
        <w:adjustRightInd w:val="0"/>
        <w:snapToGrid w:val="0"/>
        <w:spacing w:line="300" w:lineRule="auto"/>
        <w:ind w:left="1619" w:leftChars="77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合同双方当事人对材料和工程设备等产品质量有争议的，所需的检验试验费由责任方承担。双方均有责任的，由双方根据其责任划分分别承担。</w:t>
      </w:r>
    </w:p>
    <w:p w14:paraId="0685ED66">
      <w:pPr>
        <w:pStyle w:val="6"/>
        <w:adjustRightInd w:val="0"/>
        <w:snapToGrid w:val="0"/>
        <w:spacing w:line="300" w:lineRule="auto"/>
        <w:ind w:firstLine="482"/>
        <w:rPr>
          <w:rFonts w:hint="eastAsia" w:ascii="宋体" w:hAnsi="宋体" w:eastAsia="宋体" w:cs="宋体"/>
          <w:color w:val="auto"/>
          <w:sz w:val="24"/>
          <w:highlight w:val="none"/>
          <w:u w:val="single"/>
        </w:rPr>
      </w:pPr>
      <w:r>
        <w:rPr>
          <w:rFonts w:hint="eastAsia" w:ascii="宋体" w:hAnsi="宋体" w:eastAsia="宋体" w:cs="宋体"/>
          <w:b/>
          <w:bCs/>
          <w:color w:val="auto"/>
          <w:sz w:val="24"/>
          <w:highlight w:val="none"/>
          <w:u w:val="single"/>
        </w:rPr>
        <w:t xml:space="preserve">                                                                                  </w:t>
      </w:r>
      <w:r>
        <w:rPr>
          <w:rFonts w:hint="eastAsia" w:ascii="宋体" w:hAnsi="宋体" w:eastAsia="宋体" w:cs="宋体"/>
          <w:color w:val="auto"/>
          <w:sz w:val="24"/>
          <w:highlight w:val="none"/>
          <w:u w:val="single"/>
        </w:rPr>
        <w:t xml:space="preserve">                            </w:t>
      </w:r>
    </w:p>
    <w:p w14:paraId="019852B7">
      <w:pPr>
        <w:pStyle w:val="6"/>
        <w:adjustRightInd w:val="0"/>
        <w:snapToGrid w:val="0"/>
        <w:spacing w:line="300" w:lineRule="auto"/>
        <w:ind w:firstLine="482"/>
        <w:outlineLvl w:val="2"/>
        <w:rPr>
          <w:rFonts w:hint="eastAsia" w:ascii="宋体" w:hAnsi="宋体" w:eastAsia="宋体" w:cs="宋体"/>
          <w:b/>
          <w:bCs/>
          <w:color w:val="auto"/>
          <w:sz w:val="24"/>
          <w:highlight w:val="none"/>
        </w:rPr>
      </w:pPr>
      <w:bookmarkStart w:id="125" w:name="_Toc46860855"/>
      <w:bookmarkStart w:id="126" w:name="_Toc469384034"/>
      <w:r>
        <w:rPr>
          <w:rFonts w:hint="eastAsia" w:ascii="宋体" w:hAnsi="宋体" w:eastAsia="宋体" w:cs="宋体"/>
          <w:b/>
          <w:bCs/>
          <w:color w:val="auto"/>
          <w:sz w:val="24"/>
          <w:highlight w:val="none"/>
        </w:rPr>
        <w:t>51  施工设备和临时设施</w:t>
      </w:r>
      <w:bookmarkEnd w:id="125"/>
      <w:bookmarkEnd w:id="126"/>
    </w:p>
    <w:p w14:paraId="63041596">
      <w:pPr>
        <w:pStyle w:val="6"/>
        <w:adjustRightInd w:val="0"/>
        <w:snapToGrid w:val="0"/>
        <w:spacing w:line="30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51.1 </w:t>
      </w:r>
    </w:p>
    <w:p w14:paraId="23C96745">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73280"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1235" name="0001a6"/>
                <wp:cNvGraphicFramePr/>
                <a:graphic xmlns:a="http://schemas.openxmlformats.org/drawingml/2006/main">
                  <a:graphicData uri="http://schemas.microsoft.com/office/word/2010/wordprocessingShape">
                    <wps:wsp>
                      <wps:cNvSpPr/>
                      <wps:spPr>
                        <a:xfrm>
                          <a:off x="0" y="0"/>
                          <a:ext cx="988060" cy="753110"/>
                        </a:xfrm>
                        <a:prstGeom prst="rect">
                          <a:avLst/>
                        </a:prstGeom>
                        <a:ln>
                          <a:noFill/>
                        </a:ln>
                      </wps:spPr>
                      <wps:txbx>
                        <w:txbxContent>
                          <w:p w14:paraId="7A5ED02E">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wps:txbx>
                      <wps:bodyPr wrap="square"/>
                    </wps:wsp>
                  </a:graphicData>
                </a:graphic>
              </wp:anchor>
            </w:drawing>
          </mc:Choice>
          <mc:Fallback>
            <w:pict>
              <v:rect id="0001a6" o:spid="_x0000_s1026" o:spt="1" style="position:absolute;left:0pt;margin-left:-5.8pt;margin-top:0.45pt;height:59.3pt;width:77.8pt;z-index:251873280;mso-width-relative:page;mso-height-relative:page;" filled="f" stroked="f" coordsize="21600,21600" o:gfxdata="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k72qT2QAAAAgBAAAPAAAAAAAAAAEAIAAAACIA&#10;AABkcnMvZG93bnJldi54bWxQSwECFAAUAAAACACHTuJAVBZpPpYBAAA4AwAADgAAAAAAAAABACAA&#10;AAAoAQAAZHJzL2Uyb0RvYy54bWxQSwUGAAAAAAYABgBZAQAAMAUAAAAA&#10;">
                <v:fill on="f" focussize="0,0"/>
                <v:stroke on="f"/>
                <v:imagedata o:title=""/>
                <o:lock v:ext="edit" aspectratio="f"/>
                <v:textbox>
                  <w:txbxContent>
                    <w:p w14:paraId="7A5ED02E">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v:textbox>
              </v:rect>
            </w:pict>
          </mc:Fallback>
        </mc:AlternateContent>
      </w:r>
      <w:r>
        <w:rPr>
          <w:rFonts w:hint="eastAsia" w:ascii="宋体" w:hAnsi="宋体" w:eastAsia="宋体" w:cs="宋体"/>
          <w:color w:val="auto"/>
          <w:sz w:val="24"/>
          <w:highlight w:val="none"/>
        </w:rPr>
        <w:t>承包人应按合同工程进度计划的要求，及时配置施工设备和修建临时设施。除专用条款另有约定外，承包人应自行承担修建临时设施的费用。需要临时占地的，发包人应办理其申请手续并承担相应费用。</w:t>
      </w:r>
    </w:p>
    <w:p w14:paraId="18936BAF">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进入施工场地的承包人施工设备，需经监理工程师核查后才能投入使用。承包人更换合同约定自身施工设备的，应经监理工程师同意并由其报发包人批准后方可实施。</w:t>
      </w:r>
    </w:p>
    <w:p w14:paraId="72DEF21C">
      <w:pPr>
        <w:pStyle w:val="6"/>
        <w:tabs>
          <w:tab w:val="left" w:pos="540"/>
        </w:tabs>
        <w:adjustRightInd w:val="0"/>
        <w:snapToGrid w:val="0"/>
        <w:spacing w:line="30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74304"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1236" name="0001a7"/>
                <wp:cNvGraphicFramePr/>
                <a:graphic xmlns:a="http://schemas.openxmlformats.org/drawingml/2006/main">
                  <a:graphicData uri="http://schemas.microsoft.com/office/word/2010/wordprocessingShape">
                    <wps:wsp>
                      <wps:cNvSpPr/>
                      <wps:spPr>
                        <a:xfrm>
                          <a:off x="0" y="0"/>
                          <a:ext cx="873760" cy="685800"/>
                        </a:xfrm>
                        <a:prstGeom prst="rect">
                          <a:avLst/>
                        </a:prstGeom>
                        <a:ln>
                          <a:noFill/>
                        </a:ln>
                      </wps:spPr>
                      <wps:txbx>
                        <w:txbxContent>
                          <w:p w14:paraId="569DF754">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建设单位提供的施工设备和临时设施</w:t>
                            </w:r>
                          </w:p>
                          <w:p w14:paraId="61E524B2">
                            <w:pPr>
                              <w:spacing w:line="240" w:lineRule="exact"/>
                              <w:rPr>
                                <w:rFonts w:hint="eastAsia"/>
                                <w:sz w:val="18"/>
                                <w:szCs w:val="18"/>
                              </w:rPr>
                            </w:pPr>
                          </w:p>
                        </w:txbxContent>
                      </wps:txbx>
                      <wps:bodyPr wrap="square"/>
                    </wps:wsp>
                  </a:graphicData>
                </a:graphic>
              </wp:anchor>
            </w:drawing>
          </mc:Choice>
          <mc:Fallback>
            <w:pict>
              <v:rect id="0001a7" o:spid="_x0000_s1026" o:spt="1" style="position:absolute;left:0pt;margin-left:-5.25pt;margin-top:17pt;height:54pt;width:68.8pt;z-index:251874304;mso-width-relative:page;mso-height-relative:page;" filled="f" stroked="f" coordsize="21600,21600" o:gfxdata="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KAqTwzbAAAACgEAAA8AAAAAAAAAAQAgAAAA&#10;IgAAAGRycy9kb3ducmV2LnhtbFBLAQIUABQAAAAIAIdO4kBGzdr+lgEAADgDAAAOAAAAAAAAAAEA&#10;IAAAACoBAABkcnMvZTJvRG9jLnhtbFBLBQYAAAAABgAGAFkBAAAyBQAAAAA=&#10;">
                <v:fill on="f" focussize="0,0"/>
                <v:stroke on="f"/>
                <v:imagedata o:title=""/>
                <o:lock v:ext="edit" aspectratio="f"/>
                <v:textbox>
                  <w:txbxContent>
                    <w:p w14:paraId="569DF754">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建设单位提供的施工设备和临时设施</w:t>
                      </w:r>
                    </w:p>
                    <w:p w14:paraId="61E524B2">
                      <w:pPr>
                        <w:spacing w:line="240" w:lineRule="exact"/>
                        <w:rPr>
                          <w:rFonts w:hint="eastAsia"/>
                          <w:sz w:val="18"/>
                          <w:szCs w:val="18"/>
                        </w:rPr>
                      </w:pPr>
                    </w:p>
                  </w:txbxContent>
                </v:textbox>
              </v:rect>
            </w:pict>
          </mc:Fallback>
        </mc:AlternateContent>
      </w:r>
      <w:r>
        <w:rPr>
          <w:rFonts w:hint="eastAsia" w:ascii="宋体" w:hAnsi="宋体" w:eastAsia="宋体" w:cs="宋体"/>
          <w:b/>
          <w:bCs/>
          <w:color w:val="auto"/>
          <w:sz w:val="24"/>
          <w:highlight w:val="none"/>
        </w:rPr>
        <w:t xml:space="preserve">51.2 </w:t>
      </w:r>
      <w:r>
        <w:rPr>
          <w:rFonts w:hint="eastAsia" w:ascii="宋体" w:hAnsi="宋体" w:eastAsia="宋体" w:cs="宋体"/>
          <w:color w:val="auto"/>
          <w:sz w:val="24"/>
          <w:highlight w:val="none"/>
          <w:u w:val="dotted"/>
        </w:rPr>
        <w:t xml:space="preserve">                                                                                                        </w:t>
      </w:r>
    </w:p>
    <w:p w14:paraId="560716DD">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如果发包人提供施工设备或临时设施的，合同双方当事人应在专用条款中约定施工设备或临时设施的品种、规格、型号和提供的时间、地点等内容。</w:t>
      </w:r>
    </w:p>
    <w:p w14:paraId="73111D5B">
      <w:pPr>
        <w:pStyle w:val="6"/>
        <w:tabs>
          <w:tab w:val="left" w:pos="540"/>
        </w:tabs>
        <w:adjustRightInd w:val="0"/>
        <w:snapToGrid w:val="0"/>
        <w:spacing w:line="30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51.3 </w:t>
      </w:r>
      <w:r>
        <w:rPr>
          <w:rFonts w:hint="eastAsia" w:ascii="宋体" w:hAnsi="宋体" w:eastAsia="宋体" w:cs="宋体"/>
          <w:b/>
          <w:bCs/>
          <w:color w:val="auto"/>
          <w:sz w:val="24"/>
          <w:highlight w:val="none"/>
          <w:u w:val="dotted"/>
        </w:rPr>
        <w:t xml:space="preserve">                                                                                                        </w:t>
      </w:r>
    </w:p>
    <w:p w14:paraId="459FEA0F">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75328"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1237" name="0001a8"/>
                <wp:cNvGraphicFramePr/>
                <a:graphic xmlns:a="http://schemas.openxmlformats.org/drawingml/2006/main">
                  <a:graphicData uri="http://schemas.microsoft.com/office/word/2010/wordprocessingShape">
                    <wps:wsp>
                      <wps:cNvSpPr/>
                      <wps:spPr>
                        <a:xfrm>
                          <a:off x="0" y="0"/>
                          <a:ext cx="873760" cy="659765"/>
                        </a:xfrm>
                        <a:prstGeom prst="rect">
                          <a:avLst/>
                        </a:prstGeom>
                        <a:ln>
                          <a:noFill/>
                        </a:ln>
                      </wps:spPr>
                      <wps:txbx>
                        <w:txbxContent>
                          <w:p w14:paraId="0FDA78A3">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承包人增加或更换施工设备</w:t>
                            </w:r>
                          </w:p>
                        </w:txbxContent>
                      </wps:txbx>
                      <wps:bodyPr wrap="square"/>
                    </wps:wsp>
                  </a:graphicData>
                </a:graphic>
              </wp:anchor>
            </w:drawing>
          </mc:Choice>
          <mc:Fallback>
            <w:pict>
              <v:rect id="0001a8" o:spid="_x0000_s1026" o:spt="1" style="position:absolute;left:0pt;margin-left:-5.8pt;margin-top:0.7pt;height:51.95pt;width:68.8pt;z-index:251875328;mso-width-relative:page;mso-height-relative:page;" filled="f" stroked="f" coordsize="21600,21600" o:gfxdata="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UjKOQ2QAAAAkBAAAPAAAAAAAAAAEAIAAAACIA&#10;AABkcnMvZG93bnJldi54bWxQSwECFAAUAAAACACHTuJA9lF3+5YBAAA4AwAADgAAAAAAAAABACAA&#10;AAAoAQAAZHJzL2Uyb0RvYy54bWxQSwUGAAAAAAYABgBZAQAAMAUAAAAA&#10;">
                <v:fill on="f" focussize="0,0"/>
                <v:stroke on="f"/>
                <v:imagedata o:title=""/>
                <o:lock v:ext="edit" aspectratio="f"/>
                <v:textbox>
                  <w:txbxContent>
                    <w:p w14:paraId="0FDA78A3">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承包人增加或更换施工设备</w:t>
                      </w:r>
                    </w:p>
                  </w:txbxContent>
                </v:textbox>
              </v:rect>
            </w:pict>
          </mc:Fallback>
        </mc:AlternateContent>
      </w:r>
      <w:r>
        <w:rPr>
          <w:rFonts w:hint="eastAsia" w:ascii="宋体" w:hAnsi="宋体" w:eastAsia="宋体" w:cs="宋体"/>
          <w:color w:val="auto"/>
          <w:sz w:val="24"/>
          <w:highlight w:val="none"/>
        </w:rPr>
        <w:t>如果承包人使用的施工设备不能满足合同工程进度计划和（或）质量要求的，监理工程师有权要求承包人增加或更换施工设备，承包人应及时增加或更换，由此增加的费用和（或）延误的工期由承包人承担。</w:t>
      </w:r>
    </w:p>
    <w:p w14:paraId="46F95B04">
      <w:pPr>
        <w:pStyle w:val="6"/>
        <w:tabs>
          <w:tab w:val="left" w:pos="540"/>
        </w:tabs>
        <w:adjustRightInd w:val="0"/>
        <w:snapToGrid w:val="0"/>
        <w:spacing w:line="30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51.4  </w:t>
      </w:r>
      <w:r>
        <w:rPr>
          <w:rFonts w:hint="eastAsia" w:ascii="宋体" w:hAnsi="宋体" w:eastAsia="宋体" w:cs="宋体"/>
          <w:b/>
          <w:bCs/>
          <w:color w:val="auto"/>
          <w:sz w:val="24"/>
          <w:highlight w:val="none"/>
          <w:u w:val="dotted"/>
        </w:rPr>
        <w:t xml:space="preserve">                                                                                                        </w:t>
      </w:r>
    </w:p>
    <w:p w14:paraId="31F606A3">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运至施工现场的施工设备和在施工现场修建的临时设施，均应视为专门用于实施合同工程。除经监理工程师同意并由其报发包人批准，承包人可根据合同工程进度计划撤走闲置的施工设备</w:t>
      </w:r>
      <w:r>
        <w:rPr>
          <w:rFonts w:hint="eastAsia" w:ascii="宋体" w:hAnsi="宋体" w:eastAsia="宋体" w:cs="宋体"/>
          <w:color w:val="auto"/>
          <w:sz w:val="24"/>
          <w:highlight w:val="none"/>
        </w:rPr>
        <mc:AlternateContent>
          <mc:Choice Requires="wps">
            <w:drawing>
              <wp:anchor distT="0" distB="0" distL="0" distR="0" simplePos="0" relativeHeight="251876352"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1238" name="0001a9"/>
                <wp:cNvGraphicFramePr/>
                <a:graphic xmlns:a="http://schemas.openxmlformats.org/drawingml/2006/main">
                  <a:graphicData uri="http://schemas.microsoft.com/office/word/2010/wordprocessingShape">
                    <wps:wsp>
                      <wps:cNvSpPr/>
                      <wps:spPr>
                        <a:xfrm>
                          <a:off x="0" y="0"/>
                          <a:ext cx="914400" cy="659130"/>
                        </a:xfrm>
                        <a:prstGeom prst="rect">
                          <a:avLst/>
                        </a:prstGeom>
                        <a:ln>
                          <a:noFill/>
                        </a:ln>
                      </wps:spPr>
                      <wps:txbx>
                        <w:txbxContent>
                          <w:p w14:paraId="583CF134">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wps:txbx>
                      <wps:bodyPr wrap="square"/>
                    </wps:wsp>
                  </a:graphicData>
                </a:graphic>
              </wp:anchor>
            </w:drawing>
          </mc:Choice>
          <mc:Fallback>
            <w:pict>
              <v:rect id="0001a9" o:spid="_x0000_s1026" o:spt="1" style="position:absolute;left:0pt;margin-left:-9pt;margin-top:3.65pt;height:51.9pt;width:72pt;z-index:251876352;mso-width-relative:page;mso-height-relative:page;" filled="f" stroked="f" coordsize="21600,21600" o:gfxdata="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JRjQtnYAAAACQEAAA8AAAAAAAAAAQAgAAAAIgAA&#10;AGRycy9kb3ducmV2LnhtbFBLAQIUABQAAAAIAIdO4kDrzqtElgEAADgDAAAOAAAAAAAAAAEAIAAA&#10;ACcBAABkcnMvZTJvRG9jLnhtbFBLBQYAAAAABgAGAFkBAAAvBQAAAAA=&#10;">
                <v:fill on="f" focussize="0,0"/>
                <v:stroke on="f"/>
                <v:imagedata o:title=""/>
                <o:lock v:ext="edit" aspectratio="f"/>
                <v:textbox>
                  <w:txbxContent>
                    <w:p w14:paraId="583CF134">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v:textbox>
              </v:rect>
            </w:pict>
          </mc:Fallback>
        </mc:AlternateContent>
      </w:r>
      <w:r>
        <w:rPr>
          <w:rFonts w:hint="eastAsia" w:ascii="宋体" w:hAnsi="宋体" w:eastAsia="宋体" w:cs="宋体"/>
          <w:color w:val="auto"/>
          <w:sz w:val="24"/>
          <w:highlight w:val="none"/>
        </w:rPr>
        <w:t>外，承包人不得将上述施工设备和临时设施中的任何部分运出施工场地或挪作他用。</w:t>
      </w:r>
    </w:p>
    <w:p w14:paraId="0FA4991D">
      <w:pPr>
        <w:pStyle w:val="22"/>
        <w:tabs>
          <w:tab w:val="left" w:pos="540"/>
        </w:tabs>
        <w:adjustRightInd w:val="0"/>
        <w:snapToGrid w:val="0"/>
        <w:spacing w:before="240" w:beforeLines="100" w:line="300" w:lineRule="auto"/>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405B9F24">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127" w:name="_Toc469384035"/>
      <w:bookmarkStart w:id="128" w:name="_Toc46860856"/>
    </w:p>
    <w:p w14:paraId="0E3DA132">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★52  工程质量检查</w:t>
      </w:r>
      <w:bookmarkEnd w:id="127"/>
      <w:bookmarkEnd w:id="128"/>
    </w:p>
    <w:p w14:paraId="6B45EA20">
      <w:pPr>
        <w:pStyle w:val="6"/>
        <w:adjustRightInd w:val="0"/>
        <w:snapToGrid w:val="0"/>
        <w:spacing w:line="30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52.1 </w:t>
      </w:r>
    </w:p>
    <w:p w14:paraId="55231936">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77376"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1239" name="0001aa"/>
                <wp:cNvGraphicFramePr/>
                <a:graphic xmlns:a="http://schemas.openxmlformats.org/drawingml/2006/main">
                  <a:graphicData uri="http://schemas.microsoft.com/office/word/2010/wordprocessingShape">
                    <wps:wsp>
                      <wps:cNvSpPr/>
                      <wps:spPr>
                        <a:xfrm>
                          <a:off x="0" y="0"/>
                          <a:ext cx="988060" cy="522605"/>
                        </a:xfrm>
                        <a:prstGeom prst="rect">
                          <a:avLst/>
                        </a:prstGeom>
                        <a:ln>
                          <a:noFill/>
                        </a:ln>
                      </wps:spPr>
                      <wps:txbx>
                        <w:txbxContent>
                          <w:p w14:paraId="0B378E73">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承包人对工程</w:t>
                            </w:r>
                          </w:p>
                          <w:p w14:paraId="76910880">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质量检查的义</w:t>
                            </w:r>
                          </w:p>
                          <w:p w14:paraId="05EEE228">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txbxContent>
                      </wps:txbx>
                      <wps:bodyPr wrap="square"/>
                    </wps:wsp>
                  </a:graphicData>
                </a:graphic>
              </wp:anchor>
            </w:drawing>
          </mc:Choice>
          <mc:Fallback>
            <w:pict>
              <v:rect id="0001aa" o:spid="_x0000_s1026" o:spt="1" style="position:absolute;left:0pt;margin-left:-5.8pt;margin-top:0.45pt;height:41.15pt;width:77.8pt;z-index:251877376;mso-width-relative:page;mso-height-relative:page;" filled="f" stroked="f" coordsize="21600,21600" o:gfxdata="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9QpOtdgAAAAHAQAADwAAAAAAAAABACAAAAAiAAAA&#10;ZHJzL2Rvd25yZXYueG1sUEsBAhQAFAAAAAgAh07iQMz5n7qVAQAAOAMAAA4AAAAAAAAAAQAgAAAA&#10;JwEAAGRycy9lMm9Eb2MueG1sUEsFBgAAAAAGAAYAWQEAAC4FAAAAAA==&#10;">
                <v:fill on="f" focussize="0,0"/>
                <v:stroke on="f"/>
                <v:imagedata o:title=""/>
                <o:lock v:ext="edit" aspectratio="f"/>
                <v:textbox>
                  <w:txbxContent>
                    <w:p w14:paraId="0B378E73">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承包人对工程</w:t>
                      </w:r>
                    </w:p>
                    <w:p w14:paraId="76910880">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质量检查的义</w:t>
                      </w:r>
                    </w:p>
                    <w:p w14:paraId="05EEE228">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txbxContent>
                </v:textbox>
              </v:rect>
            </w:pict>
          </mc:Fallback>
        </mc:AlternateContent>
      </w:r>
      <w:r>
        <w:rPr>
          <w:rFonts w:hint="eastAsia" w:ascii="宋体" w:hAnsi="宋体" w:eastAsia="宋体" w:cs="宋体"/>
          <w:color w:val="auto"/>
          <w:sz w:val="24"/>
          <w:highlight w:val="none"/>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14:paraId="1BC4FEF3">
      <w:pPr>
        <w:pStyle w:val="6"/>
        <w:tabs>
          <w:tab w:val="left" w:pos="540"/>
        </w:tabs>
        <w:adjustRightInd w:val="0"/>
        <w:snapToGrid w:val="0"/>
        <w:spacing w:line="30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52.2 </w:t>
      </w:r>
      <w:r>
        <w:rPr>
          <w:rFonts w:hint="eastAsia" w:ascii="宋体" w:hAnsi="宋体" w:eastAsia="宋体" w:cs="宋体"/>
          <w:b/>
          <w:bCs/>
          <w:color w:val="auto"/>
          <w:sz w:val="24"/>
          <w:highlight w:val="none"/>
          <w:u w:val="dotted"/>
        </w:rPr>
        <w:t xml:space="preserve">                                                                                                        </w:t>
      </w:r>
    </w:p>
    <w:p w14:paraId="54110F0E">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78400"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1240" name="0001ab"/>
                <wp:cNvGraphicFramePr/>
                <a:graphic xmlns:a="http://schemas.openxmlformats.org/drawingml/2006/main">
                  <a:graphicData uri="http://schemas.microsoft.com/office/word/2010/wordprocessingShape">
                    <wps:wsp>
                      <wps:cNvSpPr/>
                      <wps:spPr>
                        <a:xfrm>
                          <a:off x="0" y="0"/>
                          <a:ext cx="873760" cy="448310"/>
                        </a:xfrm>
                        <a:prstGeom prst="rect">
                          <a:avLst/>
                        </a:prstGeom>
                        <a:ln>
                          <a:noFill/>
                        </a:ln>
                      </wps:spPr>
                      <wps:txbx>
                        <w:txbxContent>
                          <w:p w14:paraId="591B1BA6">
                            <w:pPr>
                              <w:spacing w:line="240" w:lineRule="exact"/>
                              <w:rPr>
                                <w:rFonts w:hint="eastAsia" w:ascii="楷体_GB2312" w:hAnsi="宋体" w:eastAsia="楷体_GB2312"/>
                                <w:sz w:val="18"/>
                                <w:szCs w:val="18"/>
                              </w:rPr>
                            </w:pPr>
                            <w:r>
                              <w:rPr>
                                <w:rFonts w:hint="eastAsia" w:ascii="楷体_GB2312" w:hAnsi="宋体" w:eastAsia="楷体_GB2312" w:cs="楷体_GB2312"/>
                                <w:b/>
                                <w:bCs/>
                                <w:color w:val="000000"/>
                                <w:sz w:val="18"/>
                                <w:szCs w:val="18"/>
                              </w:rPr>
                              <w:t>工程质量检查的要求</w:t>
                            </w:r>
                          </w:p>
                        </w:txbxContent>
                      </wps:txbx>
                      <wps:bodyPr wrap="square"/>
                    </wps:wsp>
                  </a:graphicData>
                </a:graphic>
              </wp:anchor>
            </w:drawing>
          </mc:Choice>
          <mc:Fallback>
            <w:pict>
              <v:rect id="0001ab" o:spid="_x0000_s1026" o:spt="1" style="position:absolute;left:0pt;margin-left:-5.8pt;margin-top:0.7pt;height:35.3pt;width:68.8pt;z-index:251878400;mso-width-relative:page;mso-height-relative:page;" filled="f" stroked="f" coordsize="21600,21600" o:gfxdata="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SlPbHNcAAAAIAQAADwAAAAAAAAABACAAAAAiAAAA&#10;ZHJzL2Rvd25yZXYueG1sUEsBAhQAFAAAAAgAh07iQIF6CM+WAQAAOAMAAA4AAAAAAAAAAQAgAAAA&#10;JgEAAGRycy9lMm9Eb2MueG1sUEsFBgAAAAAGAAYAWQEAAC4FAAAAAA==&#10;">
                <v:fill on="f" focussize="0,0"/>
                <v:stroke on="f"/>
                <v:imagedata o:title=""/>
                <o:lock v:ext="edit" aspectratio="f"/>
                <v:textbox>
                  <w:txbxContent>
                    <w:p w14:paraId="591B1BA6">
                      <w:pPr>
                        <w:spacing w:line="240" w:lineRule="exact"/>
                        <w:rPr>
                          <w:rFonts w:hint="eastAsia" w:ascii="楷体_GB2312" w:hAnsi="宋体" w:eastAsia="楷体_GB2312"/>
                          <w:sz w:val="18"/>
                          <w:szCs w:val="18"/>
                        </w:rPr>
                      </w:pPr>
                      <w:r>
                        <w:rPr>
                          <w:rFonts w:hint="eastAsia" w:ascii="楷体_GB2312" w:hAnsi="宋体" w:eastAsia="楷体_GB2312" w:cs="楷体_GB2312"/>
                          <w:b/>
                          <w:bCs/>
                          <w:color w:val="000000"/>
                          <w:sz w:val="18"/>
                          <w:szCs w:val="18"/>
                        </w:rPr>
                        <w:t>工程质量检查的要求</w:t>
                      </w:r>
                    </w:p>
                  </w:txbxContent>
                </v:textbox>
              </v:rect>
            </w:pict>
          </mc:Fallback>
        </mc:AlternateContent>
      </w:r>
      <w:r>
        <w:rPr>
          <w:rFonts w:hint="eastAsia" w:ascii="宋体" w:hAnsi="宋体" w:eastAsia="宋体" w:cs="宋体"/>
          <w:color w:val="auto"/>
          <w:sz w:val="24"/>
          <w:highlight w:val="none"/>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14:paraId="7BCABEB7">
      <w:pPr>
        <w:adjustRightInd w:val="0"/>
        <w:snapToGrid w:val="0"/>
        <w:spacing w:line="300" w:lineRule="auto"/>
        <w:ind w:left="1619" w:leftChars="771"/>
        <w:rPr>
          <w:rFonts w:hint="eastAsia" w:ascii="宋体" w:hAnsi="宋体" w:eastAsia="宋体" w:cs="宋体"/>
          <w:color w:val="auto"/>
          <w:sz w:val="24"/>
          <w:highlight w:val="none"/>
        </w:rPr>
      </w:pPr>
    </w:p>
    <w:p w14:paraId="42FB9D53">
      <w:pPr>
        <w:pStyle w:val="6"/>
        <w:tabs>
          <w:tab w:val="left" w:pos="540"/>
        </w:tabs>
        <w:adjustRightInd w:val="0"/>
        <w:snapToGrid w:val="0"/>
        <w:spacing w:line="30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52.3 </w:t>
      </w:r>
      <w:r>
        <w:rPr>
          <w:rFonts w:hint="eastAsia" w:ascii="宋体" w:hAnsi="宋体" w:eastAsia="宋体" w:cs="宋体"/>
          <w:b/>
          <w:bCs/>
          <w:color w:val="auto"/>
          <w:sz w:val="24"/>
          <w:highlight w:val="none"/>
          <w:u w:val="dotted"/>
        </w:rPr>
        <w:t xml:space="preserve">                                                                                                        </w:t>
      </w:r>
    </w:p>
    <w:p w14:paraId="2DFBEF4C">
      <w:pPr>
        <w:pStyle w:val="6"/>
        <w:adjustRightInd w:val="0"/>
        <w:snapToGrid w:val="0"/>
        <w:spacing w:line="300" w:lineRule="auto"/>
        <w:ind w:left="1619" w:leftChars="77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79424"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1241" name="0001ac"/>
                <wp:cNvGraphicFramePr/>
                <a:graphic xmlns:a="http://schemas.openxmlformats.org/drawingml/2006/main">
                  <a:graphicData uri="http://schemas.microsoft.com/office/word/2010/wordprocessingShape">
                    <wps:wsp>
                      <wps:cNvSpPr/>
                      <wps:spPr>
                        <a:xfrm>
                          <a:off x="0" y="0"/>
                          <a:ext cx="873760" cy="659765"/>
                        </a:xfrm>
                        <a:prstGeom prst="rect">
                          <a:avLst/>
                        </a:prstGeom>
                        <a:ln>
                          <a:noFill/>
                        </a:ln>
                      </wps:spPr>
                      <wps:txbx>
                        <w:txbxContent>
                          <w:p w14:paraId="3F6533CF">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wps:txbx>
                      <wps:bodyPr wrap="square"/>
                    </wps:wsp>
                  </a:graphicData>
                </a:graphic>
              </wp:anchor>
            </w:drawing>
          </mc:Choice>
          <mc:Fallback>
            <w:pict>
              <v:rect id="0001ac" o:spid="_x0000_s1026" o:spt="1" style="position:absolute;left:0pt;margin-left:-5.8pt;margin-top:0.7pt;height:51.95pt;width:68.8pt;z-index:251879424;mso-width-relative:page;mso-height-relative:page;" filled="f" stroked="f" coordsize="21600,21600" o:gfxdata="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UjKOQ2QAAAAkBAAAPAAAAAAAAAAEAIAAAACIA&#10;AABkcnMvZG93bnJldi54bWxQSwECFAAUAAAACACHTuJAVWF/pJYBAAA4AwAADgAAAAAAAAABACAA&#10;AAAoAQAAZHJzL2Uyb0RvYy54bWxQSwUGAAAAAAYABgBZAQAAMAUAAAAA&#10;">
                <v:fill on="f" focussize="0,0"/>
                <v:stroke on="f"/>
                <v:imagedata o:title=""/>
                <o:lock v:ext="edit" aspectratio="f"/>
                <v:textbox>
                  <w:txbxContent>
                    <w:p w14:paraId="3F6533CF">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v:textbox>
              </v:rect>
            </w:pict>
          </mc:Fallback>
        </mc:AlternateContent>
      </w:r>
      <w:r>
        <w:rPr>
          <w:rFonts w:hint="eastAsia" w:ascii="宋体" w:hAnsi="宋体" w:eastAsia="宋体" w:cs="宋体"/>
          <w:color w:val="auto"/>
          <w:sz w:val="24"/>
          <w:highlight w:val="none"/>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14:paraId="010717F3">
      <w:pPr>
        <w:pStyle w:val="6"/>
        <w:tabs>
          <w:tab w:val="left" w:pos="540"/>
        </w:tabs>
        <w:adjustRightInd w:val="0"/>
        <w:snapToGrid w:val="0"/>
        <w:spacing w:line="30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52.4  </w:t>
      </w:r>
      <w:r>
        <w:rPr>
          <w:rFonts w:hint="eastAsia" w:ascii="宋体" w:hAnsi="宋体" w:eastAsia="宋体" w:cs="宋体"/>
          <w:b/>
          <w:bCs/>
          <w:color w:val="auto"/>
          <w:sz w:val="24"/>
          <w:highlight w:val="none"/>
          <w:u w:val="dotted"/>
        </w:rPr>
        <w:t xml:space="preserve">                                                                                                        </w:t>
      </w:r>
    </w:p>
    <w:p w14:paraId="0829F248">
      <w:pPr>
        <w:pStyle w:val="6"/>
        <w:adjustRightInd w:val="0"/>
        <w:snapToGrid w:val="0"/>
        <w:spacing w:line="300" w:lineRule="auto"/>
        <w:ind w:left="1619" w:leftChars="77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80448"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1242" name="0001ad"/>
                <wp:cNvGraphicFramePr/>
                <a:graphic xmlns:a="http://schemas.openxmlformats.org/drawingml/2006/main">
                  <a:graphicData uri="http://schemas.microsoft.com/office/word/2010/wordprocessingShape">
                    <wps:wsp>
                      <wps:cNvSpPr/>
                      <wps:spPr>
                        <a:xfrm>
                          <a:off x="0" y="0"/>
                          <a:ext cx="914400" cy="440054"/>
                        </a:xfrm>
                        <a:prstGeom prst="rect">
                          <a:avLst/>
                        </a:prstGeom>
                        <a:ln>
                          <a:noFill/>
                        </a:ln>
                      </wps:spPr>
                      <wps:txbx>
                        <w:txbxContent>
                          <w:p w14:paraId="5AE8C540">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质量检查不得影响施工</w:t>
                            </w:r>
                          </w:p>
                        </w:txbxContent>
                      </wps:txbx>
                      <wps:bodyPr wrap="square"/>
                    </wps:wsp>
                  </a:graphicData>
                </a:graphic>
              </wp:anchor>
            </w:drawing>
          </mc:Choice>
          <mc:Fallback>
            <w:pict>
              <v:rect id="0001ad" o:spid="_x0000_s1026" o:spt="1" style="position:absolute;left:0pt;margin-left:-9pt;margin-top:3.65pt;height:34.65pt;width:72pt;z-index:251880448;mso-width-relative:page;mso-height-relative:page;" filled="f" stroked="f" coordsize="21600,21600" o:gfxdata="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BI5nO1wAAAAgBAAAPAAAAAAAAAAEAIAAAACIAAABkcnMv&#10;ZG93bnJldi54bWxQSwECFAAUAAAACACHTuJAFa8SwpIBAAA4AwAADgAAAAAAAAABACAAAAAmAQAA&#10;ZHJzL2Uyb0RvYy54bWxQSwUGAAAAAAYABgBZAQAAKgUAAAAA&#10;">
                <v:fill on="f" focussize="0,0"/>
                <v:stroke on="f"/>
                <v:imagedata o:title=""/>
                <o:lock v:ext="edit" aspectratio="f"/>
                <v:textbox>
                  <w:txbxContent>
                    <w:p w14:paraId="5AE8C540">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质量检查不得影响施工</w:t>
                      </w:r>
                    </w:p>
                  </w:txbxContent>
                </v:textbox>
              </v:rect>
            </w:pict>
          </mc:Fallback>
        </mc:AlternateContent>
      </w:r>
      <w:r>
        <w:rPr>
          <w:rFonts w:hint="eastAsia" w:ascii="宋体" w:hAnsi="宋体" w:eastAsia="宋体" w:cs="宋体"/>
          <w:color w:val="auto"/>
          <w:sz w:val="24"/>
          <w:highlight w:val="none"/>
        </w:rPr>
        <w:t>监理工程师对合同工程质量的检查，不得影响承包人的正常施工。如影响施工正常进行，承包人应向发包人、监理工程师发出书面改正通知；监理工程师应及时予以改正，否则承包人有权提出并得到补偿。</w:t>
      </w:r>
    </w:p>
    <w:p w14:paraId="7A95250F">
      <w:pPr>
        <w:pStyle w:val="6"/>
        <w:tabs>
          <w:tab w:val="left" w:pos="540"/>
        </w:tabs>
        <w:adjustRightInd w:val="0"/>
        <w:snapToGrid w:val="0"/>
        <w:spacing w:line="30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52.5  </w:t>
      </w:r>
      <w:r>
        <w:rPr>
          <w:rFonts w:hint="eastAsia" w:ascii="宋体" w:hAnsi="宋体" w:eastAsia="宋体" w:cs="宋体"/>
          <w:b/>
          <w:bCs/>
          <w:color w:val="auto"/>
          <w:sz w:val="24"/>
          <w:highlight w:val="none"/>
          <w:u w:val="dotted"/>
        </w:rPr>
        <w:t xml:space="preserve">                                                                                                        </w:t>
      </w:r>
    </w:p>
    <w:p w14:paraId="4CFADAD7">
      <w:pPr>
        <w:pStyle w:val="6"/>
        <w:adjustRightInd w:val="0"/>
        <w:snapToGrid w:val="0"/>
        <w:spacing w:line="300" w:lineRule="auto"/>
        <w:ind w:left="1619" w:leftChars="77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81472"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1243" name="0001ae"/>
                <wp:cNvGraphicFramePr/>
                <a:graphic xmlns:a="http://schemas.openxmlformats.org/drawingml/2006/main">
                  <a:graphicData uri="http://schemas.microsoft.com/office/word/2010/wordprocessingShape">
                    <wps:wsp>
                      <wps:cNvSpPr/>
                      <wps:spPr>
                        <a:xfrm>
                          <a:off x="0" y="0"/>
                          <a:ext cx="914400" cy="440054"/>
                        </a:xfrm>
                        <a:prstGeom prst="rect">
                          <a:avLst/>
                        </a:prstGeom>
                        <a:ln>
                          <a:noFill/>
                        </a:ln>
                      </wps:spPr>
                      <wps:txbx>
                        <w:txbxContent>
                          <w:p w14:paraId="2E442F45">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现场工艺试验</w:t>
                            </w:r>
                          </w:p>
                        </w:txbxContent>
                      </wps:txbx>
                      <wps:bodyPr wrap="square"/>
                    </wps:wsp>
                  </a:graphicData>
                </a:graphic>
              </wp:anchor>
            </w:drawing>
          </mc:Choice>
          <mc:Fallback>
            <w:pict>
              <v:rect id="0001ae" o:spid="_x0000_s1026" o:spt="1" style="position:absolute;left:0pt;margin-left:-9pt;margin-top:3.65pt;height:34.65pt;width:72pt;z-index:251881472;mso-width-relative:page;mso-height-relative:page;" filled="f" stroked="f" coordsize="21600,21600" o:gfxdata="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BI5nO1wAAAAgBAAAPAAAAAAAAAAEAIAAAACIAAABkcnMv&#10;ZG93bnJldi54bWxQSwECFAAUAAAACACHTuJApvKvqJIBAAA4AwAADgAAAAAAAAABACAAAAAmAQAA&#10;ZHJzL2Uyb0RvYy54bWxQSwUGAAAAAAYABgBZAQAAKgUAAAAA&#10;">
                <v:fill on="f" focussize="0,0"/>
                <v:stroke on="f"/>
                <v:imagedata o:title=""/>
                <o:lock v:ext="edit" aspectratio="f"/>
                <v:textbox>
                  <w:txbxContent>
                    <w:p w14:paraId="2E442F45">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现场工艺试验</w:t>
                      </w:r>
                    </w:p>
                  </w:txbxContent>
                </v:textbox>
              </v:rect>
            </w:pict>
          </mc:Fallback>
        </mc:AlternateContent>
      </w:r>
      <w:r>
        <w:rPr>
          <w:rFonts w:hint="eastAsia" w:ascii="宋体" w:hAnsi="宋体" w:eastAsia="宋体" w:cs="宋体"/>
          <w:color w:val="auto"/>
          <w:sz w:val="24"/>
          <w:highlight w:val="none"/>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14:paraId="5B2EFC74">
      <w:pPr>
        <w:pStyle w:val="6"/>
        <w:adjustRightInd w:val="0"/>
        <w:snapToGrid w:val="0"/>
        <w:spacing w:line="300" w:lineRule="auto"/>
        <w:ind w:firstLine="482"/>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664AAF43">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129" w:name="_Toc46860857"/>
      <w:bookmarkStart w:id="130" w:name="_Toc469384036"/>
      <w:r>
        <w:rPr>
          <w:rFonts w:hint="eastAsia" w:hAnsi="宋体" w:eastAsia="宋体" w:cs="宋体"/>
          <w:b/>
          <w:bCs/>
          <w:color w:val="auto"/>
          <w:sz w:val="24"/>
          <w:szCs w:val="24"/>
          <w:highlight w:val="none"/>
        </w:rPr>
        <w:t>★53  隐蔽工程和中间验收</w:t>
      </w:r>
      <w:bookmarkEnd w:id="129"/>
      <w:bookmarkEnd w:id="130"/>
    </w:p>
    <w:p w14:paraId="1E699D87">
      <w:pPr>
        <w:pStyle w:val="6"/>
        <w:tabs>
          <w:tab w:val="left" w:pos="1320"/>
        </w:tabs>
        <w:adjustRightInd w:val="0"/>
        <w:snapToGrid w:val="0"/>
        <w:spacing w:line="30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53.1</w:t>
      </w:r>
    </w:p>
    <w:p w14:paraId="7761D57C">
      <w:pPr>
        <w:pStyle w:val="6"/>
        <w:adjustRightInd w:val="0"/>
        <w:snapToGrid w:val="0"/>
        <w:spacing w:line="300" w:lineRule="auto"/>
        <w:ind w:left="1619" w:leftChars="77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82496"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1244" name="0001af"/>
                <wp:cNvGraphicFramePr/>
                <a:graphic xmlns:a="http://schemas.openxmlformats.org/drawingml/2006/main">
                  <a:graphicData uri="http://schemas.microsoft.com/office/word/2010/wordprocessingShape">
                    <wps:wsp>
                      <wps:cNvSpPr/>
                      <wps:spPr>
                        <a:xfrm>
                          <a:off x="0" y="0"/>
                          <a:ext cx="873760" cy="454660"/>
                        </a:xfrm>
                        <a:prstGeom prst="rect">
                          <a:avLst/>
                        </a:prstGeom>
                        <a:ln>
                          <a:noFill/>
                        </a:ln>
                      </wps:spPr>
                      <wps:txbx>
                        <w:txbxContent>
                          <w:p w14:paraId="5200B7BF">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隐蔽工程和中间验收的通知</w:t>
                            </w:r>
                          </w:p>
                        </w:txbxContent>
                      </wps:txbx>
                      <wps:bodyPr wrap="square"/>
                    </wps:wsp>
                  </a:graphicData>
                </a:graphic>
              </wp:anchor>
            </w:drawing>
          </mc:Choice>
          <mc:Fallback>
            <w:pict>
              <v:rect id="0001af" o:spid="_x0000_s1026" o:spt="1" style="position:absolute;left:0pt;margin-left:-5.8pt;margin-top:1.4pt;height:35.8pt;width:68.8pt;z-index:251882496;mso-width-relative:page;mso-height-relative:page;" filled="f" stroked="f" coordsize="21600,21600" o:gfxdata="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pBUBY9gAAAAIAQAADwAAAAAAAAABACAAAAAiAAAA&#10;ZHJzL2Rvd25yZXYueG1sUEsBAhQAFAAAAAgAh07iQLse/eiVAQAAOAMAAA4AAAAAAAAAAQAgAAAA&#10;JwEAAGRycy9lMm9Eb2MueG1sUEsFBgAAAAAGAAYAWQEAAC4FAAAAAA==&#10;">
                <v:fill on="f" focussize="0,0"/>
                <v:stroke on="f"/>
                <v:imagedata o:title=""/>
                <o:lock v:ext="edit" aspectratio="f"/>
                <v:textbox>
                  <w:txbxContent>
                    <w:p w14:paraId="5200B7BF">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隐蔽工程和中间验收的通知</w:t>
                      </w:r>
                    </w:p>
                  </w:txbxContent>
                </v:textbox>
              </v:rect>
            </w:pict>
          </mc:Fallback>
        </mc:AlternateContent>
      </w:r>
      <w:r>
        <w:rPr>
          <w:rFonts w:hint="eastAsia" w:ascii="宋体" w:hAnsi="宋体" w:eastAsia="宋体" w:cs="宋体"/>
          <w:color w:val="auto"/>
          <w:sz w:val="24"/>
          <w:highlight w:val="none"/>
        </w:rPr>
        <w:t>没有经监理工程师验收同意，任何工程均不得覆盖或隐蔽。隐蔽工程覆盖前或中间验收部位具备专用条款约定的验收条件时，承包人应进行自检，并在隐蔽或中间验收前48小时向监理工程师提出隐蔽工程或中间验收申请，通知监理工程师验收。通知的内容包括工程隐蔽或中间验收的内容、时间、地点，以及自检记录和必要的验收资料。承包人应准备验收记录，并提供必要的资料和协助。</w:t>
      </w:r>
    </w:p>
    <w:p w14:paraId="224F0E76">
      <w:pPr>
        <w:pStyle w:val="6"/>
        <w:tabs>
          <w:tab w:val="left" w:pos="720"/>
        </w:tabs>
        <w:adjustRightInd w:val="0"/>
        <w:snapToGrid w:val="0"/>
        <w:spacing w:line="300" w:lineRule="auto"/>
        <w:ind w:firstLine="482"/>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53.2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668228CA">
      <w:pPr>
        <w:pStyle w:val="6"/>
        <w:adjustRightInd w:val="0"/>
        <w:snapToGrid w:val="0"/>
        <w:spacing w:line="300" w:lineRule="auto"/>
        <w:ind w:left="1619" w:leftChars="77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83520" behindDoc="0" locked="0" layoutInCell="1" allowOverlap="1">
                <wp:simplePos x="0" y="0"/>
                <wp:positionH relativeFrom="column">
                  <wp:posOffset>-114300</wp:posOffset>
                </wp:positionH>
                <wp:positionV relativeFrom="paragraph">
                  <wp:posOffset>50800</wp:posOffset>
                </wp:positionV>
                <wp:extent cx="914400" cy="466725"/>
                <wp:effectExtent l="0" t="0" r="0" b="0"/>
                <wp:wrapNone/>
                <wp:docPr id="1245" name="0001b0"/>
                <wp:cNvGraphicFramePr/>
                <a:graphic xmlns:a="http://schemas.openxmlformats.org/drawingml/2006/main">
                  <a:graphicData uri="http://schemas.microsoft.com/office/word/2010/wordprocessingShape">
                    <wps:wsp>
                      <wps:cNvSpPr/>
                      <wps:spPr>
                        <a:xfrm>
                          <a:off x="0" y="0"/>
                          <a:ext cx="914400" cy="466725"/>
                        </a:xfrm>
                        <a:prstGeom prst="rect">
                          <a:avLst/>
                        </a:prstGeom>
                        <a:ln>
                          <a:noFill/>
                        </a:ln>
                      </wps:spPr>
                      <wps:txbx>
                        <w:txbxContent>
                          <w:p w14:paraId="555CB65B">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参加验收的限制</w:t>
                            </w:r>
                          </w:p>
                        </w:txbxContent>
                      </wps:txbx>
                      <wps:bodyPr wrap="square"/>
                    </wps:wsp>
                  </a:graphicData>
                </a:graphic>
              </wp:anchor>
            </w:drawing>
          </mc:Choice>
          <mc:Fallback>
            <w:pict>
              <v:rect id="0001b0" o:spid="_x0000_s1026" o:spt="1" style="position:absolute;left:0pt;margin-left:-9pt;margin-top:4pt;height:36.75pt;width:72pt;z-index:251883520;mso-width-relative:page;mso-height-relative:page;" filled="f" stroked="f" coordsize="21600,21600" o:gfxdata="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&#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KM+pM1wAAAAgBAAAPAAAAAAAAAAEAIAAAACIAAABk&#10;cnMvZG93bnJldi54bWxQSwECFAAUAAAACACHTuJAjDJhfZUBAAA4AwAADgAAAAAAAAABACAAAAAm&#10;AQAAZHJzL2Uyb0RvYy54bWxQSwUGAAAAAAYABgBZAQAALQUAAAAA&#10;">
                <v:fill on="f" focussize="0,0"/>
                <v:stroke on="f"/>
                <v:imagedata o:title=""/>
                <o:lock v:ext="edit" aspectratio="f"/>
                <v:textbox>
                  <w:txbxContent>
                    <w:p w14:paraId="555CB65B">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参加验收的限制</w:t>
                      </w:r>
                    </w:p>
                  </w:txbxContent>
                </v:textbox>
              </v:rect>
            </w:pict>
          </mc:Fallback>
        </mc:AlternateContent>
      </w:r>
      <w:r>
        <w:rPr>
          <w:rFonts w:hint="eastAsia" w:ascii="宋体" w:hAnsi="宋体" w:eastAsia="宋体" w:cs="宋体"/>
          <w:color w:val="auto"/>
          <w:sz w:val="24"/>
          <w:highlight w:val="none"/>
        </w:rPr>
        <w:t>如果监理工程师不能按时参加验收，应至少提前24小时发出延期验收指令并书面说明理由，延期不得超过48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54.1款规定重新验收。</w:t>
      </w:r>
    </w:p>
    <w:p w14:paraId="559FB83F">
      <w:pPr>
        <w:pStyle w:val="6"/>
        <w:tabs>
          <w:tab w:val="left" w:pos="720"/>
        </w:tabs>
        <w:adjustRightInd w:val="0"/>
        <w:snapToGrid w:val="0"/>
        <w:spacing w:line="300" w:lineRule="auto"/>
        <w:ind w:firstLine="482"/>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53.3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3C194F3C">
      <w:pPr>
        <w:pStyle w:val="6"/>
        <w:tabs>
          <w:tab w:val="left" w:pos="2160"/>
        </w:tabs>
        <w:adjustRightInd w:val="0"/>
        <w:snapToGrid w:val="0"/>
        <w:spacing w:line="300" w:lineRule="auto"/>
        <w:ind w:left="1619" w:leftChars="77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84544"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1246" name="0001b1"/>
                <wp:cNvGraphicFramePr/>
                <a:graphic xmlns:a="http://schemas.openxmlformats.org/drawingml/2006/main">
                  <a:graphicData uri="http://schemas.microsoft.com/office/word/2010/wordprocessingShape">
                    <wps:wsp>
                      <wps:cNvSpPr/>
                      <wps:spPr>
                        <a:xfrm>
                          <a:off x="0" y="0"/>
                          <a:ext cx="914400" cy="476249"/>
                        </a:xfrm>
                        <a:prstGeom prst="rect">
                          <a:avLst/>
                        </a:prstGeom>
                        <a:ln>
                          <a:noFill/>
                        </a:ln>
                      </wps:spPr>
                      <wps:txbx>
                        <w:txbxContent>
                          <w:p w14:paraId="09A0C555">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验收结果的确认</w:t>
                            </w:r>
                          </w:p>
                        </w:txbxContent>
                      </wps:txbx>
                      <wps:bodyPr wrap="square"/>
                    </wps:wsp>
                  </a:graphicData>
                </a:graphic>
              </wp:anchor>
            </w:drawing>
          </mc:Choice>
          <mc:Fallback>
            <w:pict>
              <v:rect id="0001b1" o:spid="_x0000_s1026" o:spt="1" style="position:absolute;left:0pt;margin-left:-9pt;margin-top:0.3pt;height:37.5pt;width:72pt;z-index:251884544;mso-width-relative:page;mso-height-relative:page;" filled="f" stroked="f" coordsize="21600,21600" o:gfxdata="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AO8GJI1wAAAAcBAAAPAAAAAAAAAAEAIAAAACIAAABk&#10;cnMvZG93bnJldi54bWxQSwECFAAUAAAACACHTuJAmGeY7JUBAAA4AwAADgAAAAAAAAABACAAAAAm&#10;AQAAZHJzL2Uyb0RvYy54bWxQSwUGAAAAAAYABgBZAQAALQUAAAAA&#10;">
                <v:fill on="f" focussize="0,0"/>
                <v:stroke on="f"/>
                <v:imagedata o:title=""/>
                <o:lock v:ext="edit" aspectratio="f"/>
                <v:textbox>
                  <w:txbxContent>
                    <w:p w14:paraId="09A0C555">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验收结果的确认</w:t>
                      </w:r>
                    </w:p>
                  </w:txbxContent>
                </v:textbox>
              </v:rect>
            </w:pict>
          </mc:Fallback>
        </mc:AlternateContent>
      </w:r>
      <w:r>
        <w:rPr>
          <w:rFonts w:hint="eastAsia" w:ascii="宋体" w:hAnsi="宋体" w:eastAsia="宋体" w:cs="宋体"/>
          <w:color w:val="auto"/>
          <w:sz w:val="24"/>
          <w:highlight w:val="none"/>
        </w:rPr>
        <w:t>验收合格的，监理工程师应在验收记录上签字，并形成验收文件，承包人可进行隐蔽或继续施工。验收合格24小时后，监理工程师仍不在验收记录上签字，视为监理工程师已认可验收记录。</w:t>
      </w:r>
    </w:p>
    <w:p w14:paraId="51049171">
      <w:pPr>
        <w:pStyle w:val="6"/>
        <w:tabs>
          <w:tab w:val="left" w:pos="2160"/>
        </w:tabs>
        <w:adjustRightInd w:val="0"/>
        <w:snapToGrid w:val="0"/>
        <w:spacing w:line="300" w:lineRule="auto"/>
        <w:ind w:left="1619" w:leftChars="77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验收不合格的，承包人应按照监理工程师的指令修改后重新验收，由此增加的费用和（或）延误的工期由承包人承担。</w:t>
      </w:r>
    </w:p>
    <w:p w14:paraId="70E11DF3">
      <w:pPr>
        <w:pStyle w:val="6"/>
        <w:tabs>
          <w:tab w:val="left" w:pos="540"/>
        </w:tabs>
        <w:adjustRightInd w:val="0"/>
        <w:snapToGrid w:val="0"/>
        <w:spacing w:line="30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85568"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1247" name="0001b2"/>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75261D55">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隐蔽工程的拍摄或照相</w:t>
                            </w:r>
                          </w:p>
                        </w:txbxContent>
                      </wps:txbx>
                      <wps:bodyPr wrap="square"/>
                    </wps:wsp>
                  </a:graphicData>
                </a:graphic>
              </wp:anchor>
            </w:drawing>
          </mc:Choice>
          <mc:Fallback>
            <w:pict>
              <v:rect id="0001b2" o:spid="_x0000_s1026" o:spt="1" style="position:absolute;left:0pt;margin-left:-9pt;margin-top:19.3pt;height:31.2pt;width:72pt;z-index:251885568;mso-width-relative:page;mso-height-relative:page;" filled="f" stroked="f" coordsize="21600,21600" o:gfxdata="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UG1Ng9oAAAAKAQAADwAAAAAAAAABACAAAAAi&#10;AAAAZHJzL2Rvd25yZXYueG1sUEsBAhQAFAAAAAgAh07iQEaC1AyWAQAAOAMAAA4AAAAAAAAAAQAg&#10;AAAAKQEAAGRycy9lMm9Eb2MueG1sUEsFBgAAAAAGAAYAWQEAADEFAAAAAA==&#10;">
                <v:fill on="f" focussize="0,0"/>
                <v:stroke on="f"/>
                <v:imagedata o:title=""/>
                <o:lock v:ext="edit" aspectratio="f"/>
                <v:textbox>
                  <w:txbxContent>
                    <w:p w14:paraId="75261D55">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隐蔽工程的拍摄或照相</w:t>
                      </w:r>
                    </w:p>
                  </w:txbxContent>
                </v:textbox>
              </v:rect>
            </w:pict>
          </mc:Fallback>
        </mc:AlternateContent>
      </w:r>
      <w:r>
        <w:rPr>
          <w:rFonts w:hint="eastAsia" w:ascii="宋体" w:hAnsi="宋体" w:eastAsia="宋体" w:cs="宋体"/>
          <w:b/>
          <w:bCs/>
          <w:color w:val="auto"/>
          <w:sz w:val="24"/>
          <w:highlight w:val="none"/>
        </w:rPr>
        <w:t xml:space="preserve">53.4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036FD542">
      <w:pPr>
        <w:pStyle w:val="6"/>
        <w:adjustRightInd w:val="0"/>
        <w:snapToGrid w:val="0"/>
        <w:spacing w:line="300" w:lineRule="auto"/>
        <w:ind w:left="1619" w:leftChars="77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如监理工程师有指令，承包人应对隐蔽工程进行拍摄或照相，保证监理工程师能充分检查和测量隐蔽的工程。</w:t>
      </w:r>
    </w:p>
    <w:p w14:paraId="5E41C57E">
      <w:pPr>
        <w:pStyle w:val="6"/>
        <w:tabs>
          <w:tab w:val="left" w:pos="540"/>
        </w:tabs>
        <w:adjustRightInd w:val="0"/>
        <w:snapToGrid w:val="0"/>
        <w:spacing w:line="300" w:lineRule="auto"/>
        <w:ind w:firstLine="48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86592"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1248" name="0001b3"/>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30658A42">
                            <w:pPr>
                              <w:spacing w:line="240" w:lineRule="exact"/>
                              <w:rPr>
                                <w:rFonts w:hint="eastAsia" w:ascii="宋体"/>
                                <w:sz w:val="18"/>
                                <w:szCs w:val="18"/>
                              </w:rPr>
                            </w:pPr>
                            <w:r>
                              <w:rPr>
                                <w:rFonts w:hint="eastAsia" w:ascii="楷体_GB2312" w:hAnsi="宋体" w:eastAsia="楷体_GB2312" w:cs="楷体_GB2312"/>
                                <w:b/>
                                <w:bCs/>
                                <w:color w:val="000000"/>
                                <w:sz w:val="18"/>
                                <w:szCs w:val="18"/>
                              </w:rPr>
                              <w:t>承包人私自隐蔽</w:t>
                            </w:r>
                          </w:p>
                        </w:txbxContent>
                      </wps:txbx>
                      <wps:bodyPr wrap="square"/>
                    </wps:wsp>
                  </a:graphicData>
                </a:graphic>
              </wp:anchor>
            </w:drawing>
          </mc:Choice>
          <mc:Fallback>
            <w:pict>
              <v:rect id="0001b3" o:spid="_x0000_s1026" o:spt="1" style="position:absolute;left:0pt;margin-left:-9pt;margin-top:19.3pt;height:31.2pt;width:72pt;z-index:251886592;mso-width-relative:page;mso-height-relative:page;" filled="f" stroked="f" coordsize="21600,21600" o:gfxdata="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UG1Ng9oAAAAKAQAADwAAAAAAAAABACAAAAAi&#10;AAAAZHJzL2Rvd25yZXYueG1sUEsBAhQAFAAAAAgAh07iQCGL3oWWAQAAOAMAAA4AAAAAAAAAAQAg&#10;AAAAKQEAAGRycy9lMm9Eb2MueG1sUEsFBgAAAAAGAAYAWQEAADEFAAAAAA==&#10;">
                <v:fill on="f" focussize="0,0"/>
                <v:stroke on="f"/>
                <v:imagedata o:title=""/>
                <o:lock v:ext="edit" aspectratio="f"/>
                <v:textbox>
                  <w:txbxContent>
                    <w:p w14:paraId="30658A42">
                      <w:pPr>
                        <w:spacing w:line="240" w:lineRule="exact"/>
                        <w:rPr>
                          <w:rFonts w:hint="eastAsia" w:ascii="宋体"/>
                          <w:sz w:val="18"/>
                          <w:szCs w:val="18"/>
                        </w:rPr>
                      </w:pPr>
                      <w:r>
                        <w:rPr>
                          <w:rFonts w:hint="eastAsia" w:ascii="楷体_GB2312" w:hAnsi="宋体" w:eastAsia="楷体_GB2312" w:cs="楷体_GB2312"/>
                          <w:b/>
                          <w:bCs/>
                          <w:color w:val="000000"/>
                          <w:sz w:val="18"/>
                          <w:szCs w:val="18"/>
                        </w:rPr>
                        <w:t>承包人私自隐蔽</w:t>
                      </w:r>
                    </w:p>
                  </w:txbxContent>
                </v:textbox>
              </v:rect>
            </w:pict>
          </mc:Fallback>
        </mc:AlternateContent>
      </w:r>
      <w:r>
        <w:rPr>
          <w:rFonts w:hint="eastAsia" w:ascii="宋体" w:hAnsi="宋体" w:eastAsia="宋体" w:cs="宋体"/>
          <w:b/>
          <w:bCs/>
          <w:color w:val="auto"/>
          <w:sz w:val="24"/>
          <w:highlight w:val="none"/>
        </w:rPr>
        <w:t xml:space="preserve">53.5  </w:t>
      </w:r>
      <w:r>
        <w:rPr>
          <w:rFonts w:hint="eastAsia" w:ascii="宋体" w:hAnsi="宋体" w:eastAsia="宋体" w:cs="宋体"/>
          <w:b/>
          <w:bCs/>
          <w:color w:val="auto"/>
          <w:sz w:val="24"/>
          <w:highlight w:val="none"/>
          <w:u w:val="dotted"/>
        </w:rPr>
        <w:t xml:space="preserve">                                                                                                       </w:t>
      </w:r>
    </w:p>
    <w:p w14:paraId="2D15EE72">
      <w:pPr>
        <w:pStyle w:val="6"/>
        <w:adjustRightInd w:val="0"/>
        <w:snapToGrid w:val="0"/>
        <w:spacing w:line="300" w:lineRule="auto"/>
        <w:ind w:left="1619" w:leftChars="771" w:firstLine="0" w:firstLineChars="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承包人未通知监理工程师到场验收，私自将隐蔽工程覆盖的，监理工程师有权指令承包人进行钻孔探测或剥露验收，由此增加的费用和（或）延误的工期由承包人承担。</w:t>
      </w:r>
    </w:p>
    <w:p w14:paraId="6C12F702">
      <w:pPr>
        <w:pStyle w:val="6"/>
        <w:adjustRightInd w:val="0"/>
        <w:snapToGrid w:val="0"/>
        <w:spacing w:line="300" w:lineRule="auto"/>
        <w:ind w:firstLine="482"/>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277CE478">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131" w:name="_Toc469384037"/>
      <w:bookmarkStart w:id="132" w:name="_Toc46860858"/>
      <w:r>
        <w:rPr>
          <w:rFonts w:hint="eastAsia" w:hAnsi="宋体" w:eastAsia="宋体" w:cs="宋体"/>
          <w:b/>
          <w:bCs/>
          <w:color w:val="auto"/>
          <w:sz w:val="24"/>
          <w:szCs w:val="24"/>
          <w:highlight w:val="none"/>
        </w:rPr>
        <w:t>★54  重新验收和额外检查检验</w:t>
      </w:r>
      <w:bookmarkEnd w:id="131"/>
      <w:bookmarkEnd w:id="132"/>
    </w:p>
    <w:p w14:paraId="0970BF69">
      <w:pPr>
        <w:pStyle w:val="6"/>
        <w:adjustRightInd w:val="0"/>
        <w:snapToGrid w:val="0"/>
        <w:spacing w:line="300" w:lineRule="auto"/>
        <w:ind w:firstLine="48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87616" behindDoc="0" locked="0" layoutInCell="1" allowOverlap="1">
                <wp:simplePos x="0" y="0"/>
                <wp:positionH relativeFrom="column">
                  <wp:posOffset>-114300</wp:posOffset>
                </wp:positionH>
                <wp:positionV relativeFrom="paragraph">
                  <wp:posOffset>245745</wp:posOffset>
                </wp:positionV>
                <wp:extent cx="800100" cy="285750"/>
                <wp:effectExtent l="0" t="0" r="0" b="0"/>
                <wp:wrapNone/>
                <wp:docPr id="1249" name="0001b4"/>
                <wp:cNvGraphicFramePr/>
                <a:graphic xmlns:a="http://schemas.openxmlformats.org/drawingml/2006/main">
                  <a:graphicData uri="http://schemas.microsoft.com/office/word/2010/wordprocessingShape">
                    <wps:wsp>
                      <wps:cNvSpPr/>
                      <wps:spPr>
                        <a:xfrm>
                          <a:off x="0" y="0"/>
                          <a:ext cx="800100" cy="285749"/>
                        </a:xfrm>
                        <a:prstGeom prst="rect">
                          <a:avLst/>
                        </a:prstGeom>
                        <a:ln>
                          <a:noFill/>
                        </a:ln>
                      </wps:spPr>
                      <wps:txbx>
                        <w:txbxContent>
                          <w:p w14:paraId="41DAE6E5">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重新验收</w:t>
                            </w:r>
                          </w:p>
                        </w:txbxContent>
                      </wps:txbx>
                      <wps:bodyPr wrap="square"/>
                    </wps:wsp>
                  </a:graphicData>
                </a:graphic>
              </wp:anchor>
            </w:drawing>
          </mc:Choice>
          <mc:Fallback>
            <w:pict>
              <v:rect id="0001b4" o:spid="_x0000_s1026" o:spt="1" style="position:absolute;left:0pt;margin-left:-9pt;margin-top:19.35pt;height:22.5pt;width:63pt;z-index:251887616;mso-width-relative:page;mso-height-relative:page;" filled="f" stroked="f" coordsize="21600,21600" o:gfxdata="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ii5spdkAAAAJAQAADwAAAAAAAAABACAAAAAiAAAA&#10;ZHJzL2Rvd25yZXYueG1sUEsBAhQAFAAAAAgAh07iQDshBCeUAQAAOAMAAA4AAAAAAAAAAQAgAAAA&#10;KAEAAGRycy9lMm9Eb2MueG1sUEsFBgAAAAAGAAYAWQEAAC4FAAAAAA==&#10;">
                <v:fill on="f" focussize="0,0"/>
                <v:stroke on="f"/>
                <v:imagedata o:title=""/>
                <o:lock v:ext="edit" aspectratio="f"/>
                <v:textbox>
                  <w:txbxContent>
                    <w:p w14:paraId="41DAE6E5">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重新验收</w:t>
                      </w:r>
                    </w:p>
                  </w:txbxContent>
                </v:textbox>
              </v:rect>
            </w:pict>
          </mc:Fallback>
        </mc:AlternateContent>
      </w:r>
      <w:r>
        <w:rPr>
          <w:rFonts w:hint="eastAsia" w:ascii="宋体" w:hAnsi="宋体" w:eastAsia="宋体" w:cs="宋体"/>
          <w:b/>
          <w:bCs/>
          <w:color w:val="auto"/>
          <w:sz w:val="24"/>
          <w:highlight w:val="none"/>
        </w:rPr>
        <w:t>54.1</w:t>
      </w:r>
    </w:p>
    <w:p w14:paraId="72FCB130">
      <w:pPr>
        <w:pStyle w:val="6"/>
        <w:adjustRightInd w:val="0"/>
        <w:snapToGrid w:val="0"/>
        <w:spacing w:line="300" w:lineRule="auto"/>
        <w:ind w:left="1619" w:leftChars="77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14:paraId="1237DD13">
      <w:pPr>
        <w:pStyle w:val="6"/>
        <w:tabs>
          <w:tab w:val="left" w:pos="540"/>
          <w:tab w:val="left" w:pos="720"/>
        </w:tabs>
        <w:adjustRightInd w:val="0"/>
        <w:snapToGrid w:val="0"/>
        <w:spacing w:line="30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54.2 </w:t>
      </w:r>
      <w:r>
        <w:rPr>
          <w:rFonts w:hint="eastAsia" w:ascii="宋体" w:hAnsi="宋体" w:eastAsia="宋体" w:cs="宋体"/>
          <w:b/>
          <w:bCs/>
          <w:color w:val="auto"/>
          <w:sz w:val="24"/>
          <w:highlight w:val="none"/>
          <w:u w:val="dotted"/>
        </w:rPr>
        <w:t xml:space="preserve">                                                                                                       </w:t>
      </w:r>
    </w:p>
    <w:p w14:paraId="319B688F">
      <w:pPr>
        <w:pStyle w:val="6"/>
        <w:adjustRightInd w:val="0"/>
        <w:snapToGrid w:val="0"/>
        <w:spacing w:line="300" w:lineRule="auto"/>
        <w:ind w:left="1619" w:leftChars="77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88640"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1250" name="0001b5"/>
                <wp:cNvGraphicFramePr/>
                <a:graphic xmlns:a="http://schemas.openxmlformats.org/drawingml/2006/main">
                  <a:graphicData uri="http://schemas.microsoft.com/office/word/2010/wordprocessingShape">
                    <wps:wsp>
                      <wps:cNvSpPr/>
                      <wps:spPr>
                        <a:xfrm>
                          <a:off x="0" y="0"/>
                          <a:ext cx="970280" cy="627380"/>
                        </a:xfrm>
                        <a:prstGeom prst="rect">
                          <a:avLst/>
                        </a:prstGeom>
                        <a:ln>
                          <a:noFill/>
                        </a:ln>
                      </wps:spPr>
                      <wps:txbx>
                        <w:txbxContent>
                          <w:p w14:paraId="26FAB715">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额外检查检验</w:t>
                            </w:r>
                          </w:p>
                        </w:txbxContent>
                      </wps:txbx>
                      <wps:bodyPr wrap="square"/>
                    </wps:wsp>
                  </a:graphicData>
                </a:graphic>
              </wp:anchor>
            </w:drawing>
          </mc:Choice>
          <mc:Fallback>
            <w:pict>
              <v:rect id="0001b5" o:spid="_x0000_s1026" o:spt="1" style="position:absolute;left:0pt;margin-left:-9pt;margin-top:0.6pt;height:49.4pt;width:76.4pt;z-index:251888640;mso-width-relative:page;mso-height-relative:page;" filled="f" stroked="f" coordsize="21600,21600" o:gfxdata="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&#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t9f0Y2AAAAAkBAAAPAAAAAAAAAAEAIAAAACIAAABk&#10;cnMvZG93bnJldi54bWxQSwECFAAUAAAACACHTuJAQUAGmZQBAAA4AwAADgAAAAAAAAABACAAAAAn&#10;AQAAZHJzL2Uyb0RvYy54bWxQSwUGAAAAAAYABgBZAQAALQUAAAAA&#10;">
                <v:fill on="f" focussize="0,0"/>
                <v:stroke on="f"/>
                <v:imagedata o:title=""/>
                <o:lock v:ext="edit" aspectratio="f"/>
                <v:textbox>
                  <w:txbxContent>
                    <w:p w14:paraId="26FAB715">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额外检查检验</w:t>
                      </w:r>
                    </w:p>
                  </w:txbxContent>
                </v:textbox>
              </v:rect>
            </w:pict>
          </mc:Fallback>
        </mc:AlternateContent>
      </w:r>
      <w:r>
        <w:rPr>
          <w:rFonts w:hint="eastAsia" w:ascii="宋体" w:hAnsi="宋体" w:eastAsia="宋体" w:cs="宋体"/>
          <w:color w:val="auto"/>
          <w:sz w:val="24"/>
          <w:highlight w:val="none"/>
        </w:rPr>
        <w:t>当监理工程师指令承包人进行合同中没有约定的检查检验，以核实合同工程某一部位或某种材料和工程设备等产品是否有缺陷时，承包人应按照要求进行检查检验。存在缺陷的，分别按照第50.5款、第52.3款规定处理；没有缺陷的，检查检验的费用和（或）延误的工期由发包人承担，并向承包人支付合理利润。</w:t>
      </w:r>
    </w:p>
    <w:p w14:paraId="6DF88C7F">
      <w:pPr>
        <w:adjustRightInd w:val="0"/>
        <w:snapToGrid w:val="0"/>
        <w:spacing w:line="300" w:lineRule="auto"/>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0F545F4F">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133" w:name="_Toc469384038"/>
      <w:bookmarkStart w:id="134" w:name="_Toc46860859"/>
      <w:r>
        <w:rPr>
          <w:rFonts w:hint="eastAsia" w:hAnsi="宋体" w:eastAsia="宋体" w:cs="宋体"/>
          <w:b/>
          <w:bCs/>
          <w:color w:val="auto"/>
          <w:sz w:val="24"/>
          <w:szCs w:val="24"/>
          <w:highlight w:val="none"/>
        </w:rPr>
        <w:t>55  工程试车</w:t>
      </w:r>
      <w:bookmarkEnd w:id="133"/>
      <w:bookmarkEnd w:id="134"/>
    </w:p>
    <w:p w14:paraId="5BA2797D">
      <w:pPr>
        <w:adjustRightInd w:val="0"/>
        <w:snapToGrid w:val="0"/>
        <w:spacing w:line="300" w:lineRule="auto"/>
        <w:ind w:left="-2" w:leftChars="-1" w:firstLine="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55.1 </w:t>
      </w:r>
    </w:p>
    <w:p w14:paraId="17E19239">
      <w:pPr>
        <w:adjustRightInd w:val="0"/>
        <w:snapToGrid w:val="0"/>
        <w:spacing w:line="300" w:lineRule="auto"/>
        <w:ind w:left="162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89664"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1251" name="0001b6"/>
                <wp:cNvGraphicFramePr/>
                <a:graphic xmlns:a="http://schemas.openxmlformats.org/drawingml/2006/main">
                  <a:graphicData uri="http://schemas.microsoft.com/office/word/2010/wordprocessingShape">
                    <wps:wsp>
                      <wps:cNvSpPr/>
                      <wps:spPr>
                        <a:xfrm>
                          <a:off x="0" y="0"/>
                          <a:ext cx="800100" cy="297180"/>
                        </a:xfrm>
                        <a:prstGeom prst="rect">
                          <a:avLst/>
                        </a:prstGeom>
                        <a:ln>
                          <a:noFill/>
                        </a:ln>
                      </wps:spPr>
                      <wps:txbx>
                        <w:txbxContent>
                          <w:p w14:paraId="55EE239A">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试车内容</w:t>
                            </w:r>
                          </w:p>
                        </w:txbxContent>
                      </wps:txbx>
                      <wps:bodyPr wrap="square"/>
                    </wps:wsp>
                  </a:graphicData>
                </a:graphic>
              </wp:anchor>
            </w:drawing>
          </mc:Choice>
          <mc:Fallback>
            <w:pict>
              <v:rect id="0001b6" o:spid="_x0000_s1026" o:spt="1" style="position:absolute;left:0pt;margin-left:-9pt;margin-top:1.3pt;height:23.4pt;width:63pt;z-index:251889664;mso-width-relative:page;mso-height-relative:page;" filled="f" stroked="f" coordsize="21600,21600" o:gfxdata="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&#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L5OMzDXAAAACAEAAA8AAAAAAAAAAQAgAAAAIgAAAGRy&#10;cy9kb3ducmV2LnhtbFBLAQIUABQAAAAIAIdO4kAm+ClrlAEAADgDAAAOAAAAAAAAAAEAIAAAACYB&#10;AABkcnMvZTJvRG9jLnhtbFBLBQYAAAAABgAGAFkBAAAsBQAAAAA=&#10;">
                <v:fill on="f" focussize="0,0"/>
                <v:stroke on="f"/>
                <v:imagedata o:title=""/>
                <o:lock v:ext="edit" aspectratio="f"/>
                <v:textbox>
                  <w:txbxContent>
                    <w:p w14:paraId="55EE239A">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试车内容</w:t>
                      </w:r>
                    </w:p>
                  </w:txbxContent>
                </v:textbox>
              </v:rect>
            </w:pict>
          </mc:Fallback>
        </mc:AlternateContent>
      </w:r>
      <w:r>
        <w:rPr>
          <w:rFonts w:hint="eastAsia" w:ascii="宋体" w:hAnsi="宋体" w:eastAsia="宋体" w:cs="宋体"/>
          <w:color w:val="auto"/>
          <w:sz w:val="24"/>
          <w:highlight w:val="none"/>
        </w:rPr>
        <w:t>按照合同约定需要试车的，试车的内容应与承包人承包的安装范围相一致。</w:t>
      </w:r>
    </w:p>
    <w:p w14:paraId="1B9683FE">
      <w:pPr>
        <w:tabs>
          <w:tab w:val="left" w:pos="540"/>
        </w:tabs>
        <w:adjustRightInd w:val="0"/>
        <w:snapToGrid w:val="0"/>
        <w:spacing w:line="300" w:lineRule="auto"/>
        <w:rPr>
          <w:rFonts w:hint="eastAsia"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55.2  </w:t>
      </w:r>
      <w:r>
        <w:rPr>
          <w:rFonts w:hint="eastAsia" w:ascii="宋体" w:hAnsi="宋体" w:eastAsia="宋体" w:cs="宋体"/>
          <w:b/>
          <w:bCs/>
          <w:color w:val="auto"/>
          <w:sz w:val="24"/>
          <w:highlight w:val="none"/>
          <w:u w:val="dotted"/>
        </w:rPr>
        <w:t xml:space="preserve">                                                                                                        </w:t>
      </w:r>
    </w:p>
    <w:p w14:paraId="2EB22932">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90688"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1252" name="0001b7"/>
                <wp:cNvGraphicFramePr/>
                <a:graphic xmlns:a="http://schemas.openxmlformats.org/drawingml/2006/main">
                  <a:graphicData uri="http://schemas.microsoft.com/office/word/2010/wordprocessingShape">
                    <wps:wsp>
                      <wps:cNvSpPr/>
                      <wps:spPr>
                        <a:xfrm>
                          <a:off x="0" y="0"/>
                          <a:ext cx="914400" cy="469265"/>
                        </a:xfrm>
                        <a:prstGeom prst="rect">
                          <a:avLst/>
                        </a:prstGeom>
                        <a:ln>
                          <a:noFill/>
                        </a:ln>
                      </wps:spPr>
                      <wps:txbx>
                        <w:txbxContent>
                          <w:p w14:paraId="086341BC">
                            <w:pPr>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单机试车的通知和限制</w:t>
                            </w:r>
                          </w:p>
                        </w:txbxContent>
                      </wps:txbx>
                      <wps:bodyPr wrap="square"/>
                    </wps:wsp>
                  </a:graphicData>
                </a:graphic>
              </wp:anchor>
            </w:drawing>
          </mc:Choice>
          <mc:Fallback>
            <w:pict>
              <v:rect id="0001b7" o:spid="_x0000_s1026" o:spt="1" style="position:absolute;left:0pt;margin-left:-9pt;margin-top:0.25pt;height:36.95pt;width:72pt;z-index:251890688;mso-width-relative:page;mso-height-relative:page;" filled="f" stroked="f" coordsize="21600,21600" o:gfxdata="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R7ZRPdcAAAAHAQAADwAAAAAAAAABACAAAAAiAAAA&#10;ZHJzL2Rvd25yZXYueG1sUEsBAhQAFAAAAAgAh07iQOY2ncCWAQAAOAMAAA4AAAAAAAAAAQAgAAAA&#10;JgEAAGRycy9lMm9Eb2MueG1sUEsFBgAAAAAGAAYAWQEAAC4FAAAAAA==&#10;">
                <v:fill on="f" focussize="0,0"/>
                <v:stroke on="f"/>
                <v:imagedata o:title=""/>
                <o:lock v:ext="edit" aspectratio="f"/>
                <v:textbox>
                  <w:txbxContent>
                    <w:p w14:paraId="086341BC">
                      <w:pPr>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单机试车的通知和限制</w:t>
                      </w:r>
                    </w:p>
                  </w:txbxContent>
                </v:textbox>
              </v:rect>
            </w:pict>
          </mc:Fallback>
        </mc:AlternateContent>
      </w:r>
      <w:r>
        <w:rPr>
          <w:rFonts w:hint="eastAsia" w:ascii="宋体" w:hAnsi="宋体" w:eastAsia="宋体" w:cs="宋体"/>
          <w:color w:val="auto"/>
          <w:sz w:val="24"/>
          <w:highlight w:val="none"/>
        </w:rPr>
        <w:t>设备安装工程具备单机无负荷试车条件时，承包人应组织试车，并在试车前48小时以书面形式通知监理工程师。通知包括试车内容、时间和地点。承包人应自行准备试车记录，发包人应为承包人试车提供便利和协助。</w:t>
      </w:r>
    </w:p>
    <w:p w14:paraId="4166C0E5">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监理工程师不能按时参加试车的，应在开始试车前至少提前24小时发出延期试车指令并书面说明理由，延期不能超过48小时。监理工程师未发出延期试车指令也未能按时参加试车的，承包人可自行试车，并认为试车是经监理工程师同意下完成的。试车完成后，承包人应立即向监理工程师提交试车记录，监理工程师应予认可。</w:t>
      </w:r>
    </w:p>
    <w:p w14:paraId="380735C0">
      <w:pPr>
        <w:adjustRightInd w:val="0"/>
        <w:snapToGrid w:val="0"/>
        <w:spacing w:line="300" w:lineRule="auto"/>
        <w:rPr>
          <w:rFonts w:hint="eastAsia" w:ascii="宋体" w:hAnsi="宋体" w:eastAsia="宋体" w:cs="宋体"/>
          <w:color w:val="auto"/>
          <w:sz w:val="24"/>
          <w:highlight w:val="none"/>
          <w:u w:val="dotted"/>
        </w:rPr>
      </w:pPr>
      <w:r>
        <w:rPr>
          <w:rFonts w:hint="eastAsia" w:ascii="宋体" w:hAnsi="宋体" w:eastAsia="宋体" w:cs="宋体"/>
          <w:b/>
          <w:bCs/>
          <w:color w:val="auto"/>
          <w:sz w:val="24"/>
          <w:highlight w:val="none"/>
        </w:rPr>
        <w:t xml:space="preserve">55.3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0DE20E24">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91712"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1253" name="0001b8"/>
                <wp:cNvGraphicFramePr/>
                <a:graphic xmlns:a="http://schemas.openxmlformats.org/drawingml/2006/main">
                  <a:graphicData uri="http://schemas.microsoft.com/office/word/2010/wordprocessingShape">
                    <wps:wsp>
                      <wps:cNvSpPr/>
                      <wps:spPr>
                        <a:xfrm>
                          <a:off x="0" y="0"/>
                          <a:ext cx="873760" cy="471804"/>
                        </a:xfrm>
                        <a:prstGeom prst="rect">
                          <a:avLst/>
                        </a:prstGeom>
                        <a:ln>
                          <a:noFill/>
                        </a:ln>
                      </wps:spPr>
                      <wps:txbx>
                        <w:txbxContent>
                          <w:p w14:paraId="411F05C7">
                            <w:pPr>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单机试车结果的确认</w:t>
                            </w:r>
                          </w:p>
                        </w:txbxContent>
                      </wps:txbx>
                      <wps:bodyPr wrap="square"/>
                    </wps:wsp>
                  </a:graphicData>
                </a:graphic>
              </wp:anchor>
            </w:drawing>
          </mc:Choice>
          <mc:Fallback>
            <w:pict>
              <v:rect id="0001b8" o:spid="_x0000_s1026" o:spt="1" style="position:absolute;left:0pt;margin-left:-5.8pt;margin-top:0.05pt;height:37.15pt;width:68.8pt;z-index:251891712;mso-width-relative:page;mso-height-relative:page;" filled="f" stroked="f" coordsize="21600,21600" o:gfxdata="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1rNpZ9cAAAAHAQAADwAAAAAAAAABACAAAAAiAAAA&#10;ZHJzL2Rvd25yZXYueG1sUEsBAhQAFAAAAAgAh07iQG8o816WAQAAOAMAAA4AAAAAAAAAAQAgAAAA&#10;JgEAAGRycy9lMm9Eb2MueG1sUEsFBgAAAAAGAAYAWQEAAC4FAAAAAA==&#10;">
                <v:fill on="f" focussize="0,0"/>
                <v:stroke on="f"/>
                <v:imagedata o:title=""/>
                <o:lock v:ext="edit" aspectratio="f"/>
                <v:textbox>
                  <w:txbxContent>
                    <w:p w14:paraId="411F05C7">
                      <w:pPr>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单机试车结果的确认</w:t>
                      </w:r>
                    </w:p>
                  </w:txbxContent>
                </v:textbox>
              </v:rect>
            </w:pict>
          </mc:Fallback>
        </mc:AlternateContent>
      </w:r>
      <w:r>
        <w:rPr>
          <w:rFonts w:hint="eastAsia" w:ascii="宋体" w:hAnsi="宋体" w:eastAsia="宋体" w:cs="宋体"/>
          <w:color w:val="auto"/>
          <w:sz w:val="24"/>
          <w:highlight w:val="none"/>
        </w:rPr>
        <w:t>单机试车合格，监理工程师应在试车记录上签字，承包人可继续施工或申请办理竣工验收手续。单机试车合格24小时后，监理工程师仍不在试车记录上签字的，视为监理工程师已认可试车记录。</w:t>
      </w:r>
    </w:p>
    <w:p w14:paraId="2B8EB0E8">
      <w:pPr>
        <w:adjustRightInd w:val="0"/>
        <w:snapToGrid w:val="0"/>
        <w:spacing w:line="300" w:lineRule="auto"/>
        <w:rPr>
          <w:rFonts w:hint="eastAsia"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55.4  </w:t>
      </w:r>
      <w:r>
        <w:rPr>
          <w:rFonts w:hint="eastAsia" w:ascii="宋体" w:hAnsi="宋体" w:eastAsia="宋体" w:cs="宋体"/>
          <w:b/>
          <w:bCs/>
          <w:color w:val="auto"/>
          <w:sz w:val="24"/>
          <w:highlight w:val="none"/>
          <w:u w:val="dotted"/>
        </w:rPr>
        <w:t xml:space="preserve">                                                                                                        </w:t>
      </w:r>
    </w:p>
    <w:p w14:paraId="0185C1A3">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92736"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1254" name="0001b9"/>
                <wp:cNvGraphicFramePr/>
                <a:graphic xmlns:a="http://schemas.openxmlformats.org/drawingml/2006/main">
                  <a:graphicData uri="http://schemas.microsoft.com/office/word/2010/wordprocessingShape">
                    <wps:wsp>
                      <wps:cNvSpPr/>
                      <wps:spPr>
                        <a:xfrm>
                          <a:off x="0" y="0"/>
                          <a:ext cx="873760" cy="492759"/>
                        </a:xfrm>
                        <a:prstGeom prst="rect">
                          <a:avLst/>
                        </a:prstGeom>
                        <a:ln>
                          <a:noFill/>
                        </a:ln>
                      </wps:spPr>
                      <wps:txbx>
                        <w:txbxContent>
                          <w:p w14:paraId="09337D15">
                            <w:pPr>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联动试车通知和结果的确认</w:t>
                            </w:r>
                          </w:p>
                        </w:txbxContent>
                      </wps:txbx>
                      <wps:bodyPr wrap="square"/>
                    </wps:wsp>
                  </a:graphicData>
                </a:graphic>
              </wp:anchor>
            </w:drawing>
          </mc:Choice>
          <mc:Fallback>
            <w:pict>
              <v:rect id="0001b9" o:spid="_x0000_s1026" o:spt="1" style="position:absolute;left:0pt;margin-left:-5.8pt;margin-top:0.9pt;height:38.8pt;width:68.8pt;z-index:251892736;mso-width-relative:page;mso-height-relative:page;" filled="f" stroked="f" coordsize="21600,21600" o:gfxdata="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pLDGP2AAAAAgBAAAPAAAAAAAAAAEAIAAAACIA&#10;AABkcnMvZG93bnJldi54bWxQSwECFAAUAAAACACHTuJAPhlrAJcBAAA4AwAADgAAAAAAAAABACAA&#10;AAAnAQAAZHJzL2Uyb0RvYy54bWxQSwUGAAAAAAYABgBZAQAAMAUAAAAA&#10;">
                <v:fill on="f" focussize="0,0"/>
                <v:stroke on="f"/>
                <v:imagedata o:title=""/>
                <o:lock v:ext="edit" aspectratio="f"/>
                <v:textbox>
                  <w:txbxContent>
                    <w:p w14:paraId="09337D15">
                      <w:pPr>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联动试车通知和结果的确认</w:t>
                      </w:r>
                    </w:p>
                  </w:txbxContent>
                </v:textbox>
              </v:rect>
            </w:pict>
          </mc:Fallback>
        </mc:AlternateContent>
      </w:r>
      <w:r>
        <w:rPr>
          <w:rFonts w:hint="eastAsia" w:ascii="宋体" w:hAnsi="宋体" w:eastAsia="宋体" w:cs="宋体"/>
          <w:color w:val="auto"/>
          <w:sz w:val="24"/>
          <w:highlight w:val="none"/>
        </w:rPr>
        <w:t>设备安装工程具备联动无负荷试车条件时，发包人应组织试车，并在试车前48小时以书面形式通知承包人。通知包括试车内容、时间、地点和对承包人的要求，承包人应按照要求做好准备工作。试车合格，合同双方当事人均应在试车记录上签字。</w:t>
      </w:r>
    </w:p>
    <w:p w14:paraId="28C2A50B">
      <w:pPr>
        <w:adjustRightInd w:val="0"/>
        <w:snapToGrid w:val="0"/>
        <w:spacing w:line="300" w:lineRule="auto"/>
        <w:rPr>
          <w:rFonts w:hint="eastAsia"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55.5  </w:t>
      </w:r>
      <w:r>
        <w:rPr>
          <w:rFonts w:hint="eastAsia" w:ascii="宋体" w:hAnsi="宋体" w:eastAsia="宋体" w:cs="宋体"/>
          <w:b/>
          <w:bCs/>
          <w:color w:val="auto"/>
          <w:sz w:val="24"/>
          <w:highlight w:val="none"/>
          <w:u w:val="dotted"/>
        </w:rPr>
        <w:t xml:space="preserve">                                                                                                        </w:t>
      </w:r>
    </w:p>
    <w:p w14:paraId="6035988C">
      <w:pPr>
        <w:adjustRightInd w:val="0"/>
        <w:snapToGrid w:val="0"/>
        <w:spacing w:line="300" w:lineRule="auto"/>
        <w:ind w:left="162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893760"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1255" name="0001ba"/>
                <wp:cNvGraphicFramePr/>
                <a:graphic xmlns:a="http://schemas.openxmlformats.org/drawingml/2006/main">
                  <a:graphicData uri="http://schemas.microsoft.com/office/word/2010/wordprocessingShape">
                    <wps:wsp>
                      <wps:cNvSpPr/>
                      <wps:spPr>
                        <a:xfrm>
                          <a:off x="0" y="0"/>
                          <a:ext cx="883920" cy="427990"/>
                        </a:xfrm>
                        <a:prstGeom prst="rect">
                          <a:avLst/>
                        </a:prstGeom>
                        <a:ln>
                          <a:noFill/>
                        </a:ln>
                      </wps:spPr>
                      <wps:txbx>
                        <w:txbxContent>
                          <w:p w14:paraId="3AB0F4EB">
                            <w:pPr>
                              <w:spacing w:line="240" w:lineRule="exact"/>
                              <w:rPr>
                                <w:rFonts w:hint="eastAsia" w:ascii="楷体_GB2312" w:hAnsi="宋体" w:eastAsia="楷体_GB2312"/>
                                <w:sz w:val="18"/>
                                <w:szCs w:val="18"/>
                              </w:rPr>
                            </w:pPr>
                            <w:r>
                              <w:rPr>
                                <w:rFonts w:hint="eastAsia" w:ascii="楷体_GB2312" w:hAnsi="宋体" w:eastAsia="楷体_GB2312" w:cs="楷体_GB2312"/>
                                <w:b/>
                                <w:bCs/>
                                <w:color w:val="000000"/>
                                <w:sz w:val="18"/>
                                <w:szCs w:val="18"/>
                              </w:rPr>
                              <w:t>试车费用和不达要求处理</w:t>
                            </w:r>
                          </w:p>
                        </w:txbxContent>
                      </wps:txbx>
                      <wps:bodyPr wrap="square"/>
                    </wps:wsp>
                  </a:graphicData>
                </a:graphic>
              </wp:anchor>
            </w:drawing>
          </mc:Choice>
          <mc:Fallback>
            <w:pict>
              <v:rect id="0001ba" o:spid="_x0000_s1026" o:spt="1" style="position:absolute;left:0pt;margin-left:-9pt;margin-top:-0.5pt;height:33.7pt;width:69.6pt;z-index:251893760;mso-width-relative:page;mso-height-relative:page;" filled="f" stroked="f" coordsize="21600,21600" o:gfxdata="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OdZdw2QAAAAkBAAAPAAAAAAAAAAEAIAAAACIA&#10;AABkcnMvZG93bnJldi54bWxQSwECFAAUAAAACACHTuJAmHOJo5YBAAA4AwAADgAAAAAAAAABACAA&#10;AAAoAQAAZHJzL2Uyb0RvYy54bWxQSwUGAAAAAAYABgBZAQAAMAUAAAAA&#10;">
                <v:fill on="f" focussize="0,0"/>
                <v:stroke on="f"/>
                <v:imagedata o:title=""/>
                <o:lock v:ext="edit" aspectratio="f"/>
                <v:textbox>
                  <w:txbxContent>
                    <w:p w14:paraId="3AB0F4EB">
                      <w:pPr>
                        <w:spacing w:line="240" w:lineRule="exact"/>
                        <w:rPr>
                          <w:rFonts w:hint="eastAsia" w:ascii="楷体_GB2312" w:hAnsi="宋体" w:eastAsia="楷体_GB2312"/>
                          <w:sz w:val="18"/>
                          <w:szCs w:val="18"/>
                        </w:rPr>
                      </w:pPr>
                      <w:r>
                        <w:rPr>
                          <w:rFonts w:hint="eastAsia" w:ascii="楷体_GB2312" w:hAnsi="宋体" w:eastAsia="楷体_GB2312" w:cs="楷体_GB2312"/>
                          <w:b/>
                          <w:bCs/>
                          <w:color w:val="000000"/>
                          <w:sz w:val="18"/>
                          <w:szCs w:val="18"/>
                        </w:rPr>
                        <w:t>试车费用和不达要求处理</w:t>
                      </w:r>
                    </w:p>
                  </w:txbxContent>
                </v:textbox>
              </v:rect>
            </w:pict>
          </mc:Fallback>
        </mc:AlternateContent>
      </w:r>
      <w:r>
        <w:rPr>
          <w:rFonts w:hint="eastAsia" w:ascii="宋体" w:hAnsi="宋体" w:eastAsia="宋体" w:cs="宋体"/>
          <w:color w:val="auto"/>
          <w:sz w:val="24"/>
          <w:highlight w:val="none"/>
        </w:rPr>
        <w:t xml:space="preserve">试车费用，除已含在合同价款外，由发包人承担。试车达不到验收要求的，按照下列规定处理： </w:t>
      </w:r>
    </w:p>
    <w:p w14:paraId="671DE484">
      <w:pPr>
        <w:numPr>
          <w:ilvl w:val="0"/>
          <w:numId w:val="22"/>
        </w:numPr>
        <w:tabs>
          <w:tab w:val="left" w:pos="1080"/>
          <w:tab w:val="left" w:pos="1620"/>
        </w:tabs>
        <w:adjustRightInd w:val="0"/>
        <w:snapToGrid w:val="0"/>
        <w:spacing w:line="300" w:lineRule="auto"/>
        <w:ind w:left="1619" w:leftChars="771"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由于设计原因试车达不到验收要求，发包人应要求设计人修改设计，承包人按照修改后的设计重新安装。发包人承担修改设计、拆除及重新安装的全部费用和延误的工期。</w:t>
      </w:r>
    </w:p>
    <w:p w14:paraId="48AFC81A">
      <w:pPr>
        <w:numPr>
          <w:ilvl w:val="0"/>
          <w:numId w:val="22"/>
        </w:numPr>
        <w:tabs>
          <w:tab w:val="left" w:pos="1080"/>
          <w:tab w:val="left" w:pos="1620"/>
        </w:tabs>
        <w:adjustRightInd w:val="0"/>
        <w:snapToGrid w:val="0"/>
        <w:spacing w:line="300" w:lineRule="auto"/>
        <w:ind w:left="1619" w:leftChars="771"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14:paraId="6E11D06A">
      <w:pPr>
        <w:numPr>
          <w:ilvl w:val="0"/>
          <w:numId w:val="22"/>
        </w:numPr>
        <w:tabs>
          <w:tab w:val="left" w:pos="1080"/>
          <w:tab w:val="left" w:pos="1980"/>
        </w:tabs>
        <w:adjustRightInd w:val="0"/>
        <w:snapToGrid w:val="0"/>
        <w:spacing w:line="300" w:lineRule="auto"/>
        <w:ind w:left="1617" w:leftChars="770"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由于承包人施工原因试车达不到验收要求，承包人应按照监理工程师要求重新安装和试车，并承担拆除、重新安装和重新试车的费用和延误的工期。</w:t>
      </w:r>
    </w:p>
    <w:p w14:paraId="2F2E8F6D">
      <w:pPr>
        <w:adjustRightInd w:val="0"/>
        <w:snapToGrid w:val="0"/>
        <w:spacing w:line="300" w:lineRule="auto"/>
        <w:rPr>
          <w:rFonts w:hint="eastAsia"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55.6  </w:t>
      </w:r>
      <w:r>
        <w:rPr>
          <w:rFonts w:hint="eastAsia" w:ascii="宋体" w:hAnsi="宋体" w:eastAsia="宋体" w:cs="宋体"/>
          <w:b/>
          <w:bCs/>
          <w:color w:val="auto"/>
          <w:sz w:val="24"/>
          <w:highlight w:val="none"/>
          <w:u w:val="dotted"/>
        </w:rPr>
        <w:t xml:space="preserve">                                                                               </w:t>
      </w:r>
    </w:p>
    <w:p w14:paraId="32B5DEA7">
      <w:pPr>
        <w:adjustRightInd w:val="0"/>
        <w:snapToGrid w:val="0"/>
        <w:spacing w:line="300" w:lineRule="auto"/>
        <w:rPr>
          <w:rFonts w:hint="eastAsia" w:ascii="宋体" w:hAnsi="宋体" w:eastAsia="宋体" w:cs="宋体"/>
          <w:b/>
          <w:bCs/>
          <w:color w:val="auto"/>
          <w:sz w:val="24"/>
          <w:highlight w:val="none"/>
          <w:u w:val="dotted"/>
        </w:rPr>
      </w:pPr>
    </w:p>
    <w:p w14:paraId="12B6C2A7">
      <w:pPr>
        <w:pStyle w:val="35"/>
        <w:adjustRightInd w:val="0"/>
        <w:snapToGrid w:val="0"/>
        <w:spacing w:line="300" w:lineRule="auto"/>
        <w:ind w:left="1619" w:leftChars="771"/>
        <w:rPr>
          <w:rFonts w:hint="eastAsia" w:ascii="宋体" w:eastAsia="宋体" w:cs="宋体"/>
          <w:color w:val="auto"/>
          <w:highlight w:val="none"/>
        </w:rPr>
      </w:pPr>
      <w:r>
        <w:rPr>
          <w:rFonts w:hint="eastAsia" w:ascii="宋体" w:eastAsia="宋体" w:cs="宋体"/>
          <w:color w:val="auto"/>
          <w:highlight w:val="none"/>
        </w:rPr>
        <mc:AlternateContent>
          <mc:Choice Requires="wps">
            <w:drawing>
              <wp:anchor distT="0" distB="0" distL="0" distR="0" simplePos="0" relativeHeight="251894784"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1256" name="0001bb"/>
                <wp:cNvGraphicFramePr/>
                <a:graphic xmlns:a="http://schemas.openxmlformats.org/drawingml/2006/main">
                  <a:graphicData uri="http://schemas.microsoft.com/office/word/2010/wordprocessingShape">
                    <wps:wsp>
                      <wps:cNvSpPr/>
                      <wps:spPr>
                        <a:xfrm>
                          <a:off x="0" y="0"/>
                          <a:ext cx="800100" cy="297180"/>
                        </a:xfrm>
                        <a:prstGeom prst="rect">
                          <a:avLst/>
                        </a:prstGeom>
                        <a:ln>
                          <a:noFill/>
                        </a:ln>
                      </wps:spPr>
                      <wps:txbx>
                        <w:txbxContent>
                          <w:p w14:paraId="777B0075">
                            <w:pPr>
                              <w:spacing w:line="240" w:lineRule="exact"/>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投料试车</w:t>
                            </w:r>
                          </w:p>
                        </w:txbxContent>
                      </wps:txbx>
                      <wps:bodyPr wrap="square"/>
                    </wps:wsp>
                  </a:graphicData>
                </a:graphic>
              </wp:anchor>
            </w:drawing>
          </mc:Choice>
          <mc:Fallback>
            <w:pict>
              <v:rect id="0001bb" o:spid="_x0000_s1026" o:spt="1" style="position:absolute;left:0pt;margin-left:-9pt;margin-top:0.8pt;height:23.4pt;width:63pt;z-index:251894784;mso-width-relative:page;mso-height-relative:page;" filled="f" stroked="f" coordsize="21600,21600" o:gfxdata="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mEo1D9YAAAAIAQAADwAAAAAAAAABACAAAAAiAAAAZHJz&#10;L2Rvd25yZXYueG1sUEsBAhQAFAAAAAgAh07iQP+4y1eUAQAAOAMAAA4AAAAAAAAAAQAgAAAAJQEA&#10;AGRycy9lMm9Eb2MueG1sUEsFBgAAAAAGAAYAWQEAACsFAAAAAA==&#10;">
                <v:fill on="f" focussize="0,0"/>
                <v:stroke on="f"/>
                <v:imagedata o:title=""/>
                <o:lock v:ext="edit" aspectratio="f"/>
                <v:textbox>
                  <w:txbxContent>
                    <w:p w14:paraId="777B0075">
                      <w:pPr>
                        <w:spacing w:line="240" w:lineRule="exact"/>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投料试车</w:t>
                      </w:r>
                    </w:p>
                  </w:txbxContent>
                </v:textbox>
              </v:rect>
            </w:pict>
          </mc:Fallback>
        </mc:AlternateContent>
      </w:r>
      <w:r>
        <w:rPr>
          <w:rFonts w:hint="eastAsia" w:ascii="宋体" w:eastAsia="宋体" w:cs="宋体"/>
          <w:color w:val="auto"/>
          <w:highlight w:val="none"/>
        </w:rPr>
        <w:t>投料试车应在永久工程竣工验收后，由发包人负责。如果发包人要求在永久工程竣工验收前进行试车或需要承包人配合时，应事先取得承包人同意，并另行签订补充协议。</w:t>
      </w:r>
    </w:p>
    <w:p w14:paraId="66E84B83">
      <w:pPr>
        <w:pStyle w:val="6"/>
        <w:adjustRightInd w:val="0"/>
        <w:snapToGrid w:val="0"/>
        <w:spacing w:line="300" w:lineRule="auto"/>
        <w:ind w:firstLine="482"/>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7649330B">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135" w:name="_Toc469384039"/>
      <w:bookmarkStart w:id="136" w:name="_Toc46860860"/>
      <w:r>
        <w:rPr>
          <w:rFonts w:hint="eastAsia" w:hAnsi="宋体" w:eastAsia="宋体" w:cs="宋体"/>
          <w:b/>
          <w:bCs/>
          <w:color w:val="auto"/>
          <w:sz w:val="24"/>
          <w:szCs w:val="24"/>
          <w:highlight w:val="none"/>
        </w:rPr>
        <w:t>★56  工程变更</w:t>
      </w:r>
      <w:bookmarkEnd w:id="135"/>
      <w:bookmarkEnd w:id="136"/>
    </w:p>
    <w:p w14:paraId="65F62C3C">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56.1</w:t>
      </w:r>
    </w:p>
    <w:p w14:paraId="26F03CDD">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895808"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1257" name="0001bc"/>
                <wp:cNvGraphicFramePr/>
                <a:graphic xmlns:a="http://schemas.openxmlformats.org/drawingml/2006/main">
                  <a:graphicData uri="http://schemas.microsoft.com/office/word/2010/wordprocessingShape">
                    <wps:wsp>
                      <wps:cNvSpPr/>
                      <wps:spPr>
                        <a:xfrm>
                          <a:off x="0" y="0"/>
                          <a:ext cx="1028700" cy="297180"/>
                        </a:xfrm>
                        <a:prstGeom prst="rect">
                          <a:avLst/>
                        </a:prstGeom>
                        <a:ln>
                          <a:noFill/>
                        </a:ln>
                      </wps:spPr>
                      <wps:txbx>
                        <w:txbxContent>
                          <w:p w14:paraId="76DFFDFE">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工程变更权限</w:t>
                            </w:r>
                          </w:p>
                        </w:txbxContent>
                      </wps:txbx>
                      <wps:bodyPr wrap="square"/>
                    </wps:wsp>
                  </a:graphicData>
                </a:graphic>
              </wp:anchor>
            </w:drawing>
          </mc:Choice>
          <mc:Fallback>
            <w:pict>
              <v:rect id="0001bc" o:spid="_x0000_s1026" o:spt="1" style="position:absolute;left:0pt;margin-left:-9pt;margin-top:0.1pt;height:23.4pt;width:81pt;z-index:251895808;mso-width-relative:page;mso-height-relative:page;" filled="f" stroked="f" coordsize="21600,21600" o:gfxdata="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Rn00ztcAAAAHAQAADwAAAAAAAAABACAAAAAiAAAA&#10;ZHJzL2Rvd25yZXYueG1sUEsBAhQAFAAAAAgAh07iQEzrZR2WAQAAOQMAAA4AAAAAAAAAAQAgAAAA&#10;JgEAAGRycy9lMm9Eb2MueG1sUEsFBgAAAAAGAAYAWQEAAC4FAAAAAA==&#10;">
                <v:fill on="f" focussize="0,0"/>
                <v:stroke on="f"/>
                <v:imagedata o:title=""/>
                <o:lock v:ext="edit" aspectratio="f"/>
                <v:textbox>
                  <w:txbxContent>
                    <w:p w14:paraId="76DFFDFE">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工程变更权限</w:t>
                      </w:r>
                    </w:p>
                  </w:txbxContent>
                </v:textbox>
              </v:rect>
            </w:pict>
          </mc:Fallback>
        </mc:AlternateContent>
      </w:r>
      <w:r>
        <w:rPr>
          <w:rFonts w:hint="eastAsia" w:hAnsi="宋体" w:eastAsia="宋体" w:cs="宋体"/>
          <w:color w:val="auto"/>
          <w:sz w:val="24"/>
          <w:szCs w:val="24"/>
          <w:highlight w:val="none"/>
        </w:rPr>
        <w:t>合同履行期间，经发包人批准，监理工程师可按照第56.3款约定的变更程序向承包人发出变更指令，承包人应按照合同约定实施变更工作。</w:t>
      </w:r>
    </w:p>
    <w:p w14:paraId="4C1FE9EE">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没有经发包人批准也没有监理工程师的工程变更指令，承包人应按照合同约定施工，无权对合同工程作出任何变更。</w:t>
      </w:r>
    </w:p>
    <w:p w14:paraId="739CC83B">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工程量偏差不属于工程变更，该项工程量增减不需要任何指令。</w:t>
      </w:r>
    </w:p>
    <w:p w14:paraId="745BD84F">
      <w:pPr>
        <w:pStyle w:val="22"/>
        <w:adjustRightInd w:val="0"/>
        <w:snapToGrid w:val="0"/>
        <w:spacing w:line="300" w:lineRule="auto"/>
        <w:rPr>
          <w:rFonts w:hint="eastAsia" w:hAnsi="宋体" w:eastAsia="宋体" w:cs="宋体"/>
          <w:color w:val="auto"/>
          <w:sz w:val="24"/>
          <w:szCs w:val="24"/>
          <w:highlight w:val="none"/>
          <w:u w:val="dotted"/>
        </w:rPr>
      </w:pPr>
      <w:r>
        <w:rPr>
          <w:rFonts w:hint="eastAsia" w:hAnsi="宋体" w:eastAsia="宋体" w:cs="宋体"/>
          <w:b/>
          <w:bCs/>
          <w:color w:val="auto"/>
          <w:sz w:val="24"/>
          <w:szCs w:val="24"/>
          <w:highlight w:val="none"/>
        </w:rPr>
        <w:t xml:space="preserve">56.2 </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542E0A83">
      <w:pPr>
        <w:pStyle w:val="22"/>
        <w:adjustRightInd w:val="0"/>
        <w:snapToGrid w:val="0"/>
        <w:spacing w:line="300" w:lineRule="auto"/>
        <w:rPr>
          <w:rFonts w:hint="eastAsia" w:hAnsi="宋体" w:eastAsia="宋体" w:cs="宋体"/>
          <w:color w:val="auto"/>
          <w:sz w:val="24"/>
          <w:szCs w:val="24"/>
          <w:highlight w:val="none"/>
        </w:rPr>
      </w:pPr>
    </w:p>
    <w:p w14:paraId="2BF400F5">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896832"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1258" name="0001bd"/>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723DACAE">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工程变更内容</w:t>
                            </w:r>
                          </w:p>
                        </w:txbxContent>
                      </wps:txbx>
                      <wps:bodyPr wrap="square"/>
                    </wps:wsp>
                  </a:graphicData>
                </a:graphic>
              </wp:anchor>
            </w:drawing>
          </mc:Choice>
          <mc:Fallback>
            <w:pict>
              <v:rect id="0001bd" o:spid="_x0000_s1026" o:spt="1" style="position:absolute;left:0pt;margin-left:-9pt;margin-top:5.5pt;height:31.2pt;width:72pt;z-index:251896832;mso-width-relative:page;mso-height-relative:page;" filled="f" stroked="f" coordsize="21600,21600" o:gfxdata="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uF7VE2QAAAAkBAAAPAAAAAAAAAAEAIAAAACIA&#10;AABkcnMvZG93bnJldi54bWxQSwECFAAUAAAACACHTuJAmmQjO5YBAAA4AwAADgAAAAAAAAABACAA&#10;AAAoAQAAZHJzL2Uyb0RvYy54bWxQSwUGAAAAAAYABgBZAQAAMAUAAAAA&#10;">
                <v:fill on="f" focussize="0,0"/>
                <v:stroke on="f"/>
                <v:imagedata o:title=""/>
                <o:lock v:ext="edit" aspectratio="f"/>
                <v:textbox>
                  <w:txbxContent>
                    <w:p w14:paraId="723DACAE">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工程变更内容</w:t>
                      </w:r>
                    </w:p>
                  </w:txbxContent>
                </v:textbox>
              </v:rect>
            </w:pict>
          </mc:Fallback>
        </mc:AlternateContent>
      </w:r>
      <w:r>
        <w:rPr>
          <w:rFonts w:hint="eastAsia" w:hAnsi="宋体" w:eastAsia="宋体" w:cs="宋体"/>
          <w:color w:val="auto"/>
          <w:sz w:val="24"/>
          <w:szCs w:val="24"/>
          <w:highlight w:val="none"/>
        </w:rPr>
        <w:t>合同履行期间，发包人可对合同工程或其任何部分的形式、质量或数量作出变更。发生下列情形之一，应按照本条规定进行变更。</w:t>
      </w:r>
    </w:p>
    <w:p w14:paraId="5483552B">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(1) 改变合同工程中任何工程数量（不含工程量的偏差）；</w:t>
      </w:r>
    </w:p>
    <w:p w14:paraId="610D9DF0">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(2) 删减任何工作，但删减的工作不能转由发包人或其他人实施；   </w:t>
      </w:r>
    </w:p>
    <w:p w14:paraId="0C023975">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(3) 改变任何工作内容的性质、质量或其他特征；</w:t>
      </w:r>
    </w:p>
    <w:p w14:paraId="0BE6F723">
      <w:pPr>
        <w:pStyle w:val="22"/>
        <w:adjustRightInd w:val="0"/>
        <w:snapToGrid w:val="0"/>
        <w:spacing w:line="300" w:lineRule="auto"/>
        <w:ind w:left="1619" w:leftChars="771" w:firstLine="1"/>
        <w:rPr>
          <w:rFonts w:hint="eastAsia" w:hAnsi="宋体" w:eastAsia="宋体" w:cs="宋体"/>
          <w:color w:val="auto"/>
          <w:sz w:val="24"/>
          <w:szCs w:val="24"/>
          <w:highlight w:val="none"/>
        </w:rPr>
      </w:pPr>
      <w:r>
        <w:rPr>
          <w:rFonts w:hint="eastAsia" w:hAnsi="宋体" w:eastAsia="宋体" w:cs="宋体"/>
          <w:color w:val="auto"/>
          <w:sz w:val="24"/>
          <w:szCs w:val="24"/>
          <w:highlight w:val="none"/>
        </w:rPr>
        <w:t>(4) 改变工程任何部分的标高、基线、位置和(或)尺寸；</w:t>
      </w:r>
    </w:p>
    <w:p w14:paraId="64B6131A">
      <w:pPr>
        <w:pStyle w:val="22"/>
        <w:adjustRightInd w:val="0"/>
        <w:snapToGrid w:val="0"/>
        <w:spacing w:line="300" w:lineRule="auto"/>
        <w:ind w:left="1619" w:leftChars="771" w:firstLine="1"/>
        <w:rPr>
          <w:rFonts w:hint="eastAsia" w:hAnsi="宋体" w:eastAsia="宋体" w:cs="宋体"/>
          <w:color w:val="auto"/>
          <w:sz w:val="24"/>
          <w:szCs w:val="24"/>
          <w:highlight w:val="none"/>
        </w:rPr>
      </w:pPr>
      <w:r>
        <w:rPr>
          <w:rFonts w:hint="eastAsia" w:hAnsi="宋体" w:eastAsia="宋体" w:cs="宋体"/>
          <w:color w:val="auto"/>
          <w:sz w:val="24"/>
          <w:szCs w:val="24"/>
          <w:highlight w:val="none"/>
        </w:rPr>
        <w:t>(5) 为完成永久工程所必须的任何额外工作；</w:t>
      </w:r>
    </w:p>
    <w:p w14:paraId="1B742A5C">
      <w:pPr>
        <w:pStyle w:val="22"/>
        <w:adjustRightInd w:val="0"/>
        <w:snapToGrid w:val="0"/>
        <w:spacing w:line="300" w:lineRule="auto"/>
        <w:ind w:left="1619" w:leftChars="771" w:firstLine="1"/>
        <w:rPr>
          <w:rFonts w:hint="eastAsia" w:hAnsi="宋体" w:eastAsia="宋体" w:cs="宋体"/>
          <w:color w:val="auto"/>
          <w:sz w:val="24"/>
          <w:szCs w:val="24"/>
          <w:highlight w:val="none"/>
        </w:rPr>
      </w:pPr>
      <w:r>
        <w:rPr>
          <w:rFonts w:hint="eastAsia" w:hAnsi="宋体" w:eastAsia="宋体" w:cs="宋体"/>
          <w:color w:val="auto"/>
          <w:sz w:val="24"/>
          <w:szCs w:val="24"/>
          <w:highlight w:val="none"/>
        </w:rPr>
        <w:t>但对合同工程工期、质量标准等实质性变更的，应在作出变更前，与承包人签订补充协议书，作为本合同的补充文件。</w:t>
      </w:r>
    </w:p>
    <w:p w14:paraId="732E1C72">
      <w:pPr>
        <w:pStyle w:val="22"/>
        <w:adjustRightInd w:val="0"/>
        <w:snapToGrid w:val="0"/>
        <w:spacing w:line="300" w:lineRule="auto"/>
        <w:rPr>
          <w:rFonts w:hint="eastAsia"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56.3  </w:t>
      </w:r>
      <w:r>
        <w:rPr>
          <w:rFonts w:hint="eastAsia" w:hAnsi="宋体" w:eastAsia="宋体" w:cs="宋体"/>
          <w:b/>
          <w:bCs/>
          <w:color w:val="auto"/>
          <w:sz w:val="24"/>
          <w:szCs w:val="24"/>
          <w:highlight w:val="none"/>
          <w:u w:val="dotted"/>
        </w:rPr>
        <w:t xml:space="preserve">                                                                               </w:t>
      </w:r>
    </w:p>
    <w:p w14:paraId="14115F18">
      <w:pPr>
        <w:pStyle w:val="22"/>
        <w:adjustRightInd w:val="0"/>
        <w:snapToGrid w:val="0"/>
        <w:spacing w:line="300" w:lineRule="auto"/>
        <w:rPr>
          <w:rFonts w:hint="eastAsia" w:hAnsi="宋体" w:eastAsia="宋体" w:cs="宋体"/>
          <w:b/>
          <w:bCs/>
          <w:color w:val="auto"/>
          <w:sz w:val="24"/>
          <w:szCs w:val="24"/>
          <w:highlight w:val="none"/>
        </w:rPr>
      </w:pPr>
    </w:p>
    <w:p w14:paraId="0F3DC7FD">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897856"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1259" name="0001be"/>
                <wp:cNvGraphicFramePr/>
                <a:graphic xmlns:a="http://schemas.openxmlformats.org/drawingml/2006/main">
                  <a:graphicData uri="http://schemas.microsoft.com/office/word/2010/wordprocessingShape">
                    <wps:wsp>
                      <wps:cNvSpPr/>
                      <wps:spPr>
                        <a:xfrm>
                          <a:off x="0" y="0"/>
                          <a:ext cx="914400" cy="556895"/>
                        </a:xfrm>
                        <a:prstGeom prst="rect">
                          <a:avLst/>
                        </a:prstGeom>
                        <a:ln>
                          <a:noFill/>
                        </a:ln>
                      </wps:spPr>
                      <wps:txbx>
                        <w:txbxContent>
                          <w:p w14:paraId="52A8E9DA">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工程变更程序</w:t>
                            </w:r>
                          </w:p>
                        </w:txbxContent>
                      </wps:txbx>
                      <wps:bodyPr wrap="square"/>
                    </wps:wsp>
                  </a:graphicData>
                </a:graphic>
              </wp:anchor>
            </w:drawing>
          </mc:Choice>
          <mc:Fallback>
            <w:pict>
              <v:rect id="0001be" o:spid="_x0000_s1026" o:spt="1" style="position:absolute;left:0pt;margin-left:-9pt;margin-top:1.25pt;height:43.85pt;width:72pt;z-index:251897856;mso-width-relative:page;mso-height-relative:page;" filled="f" stroked="f" coordsize="21600,21600" o:gfxdata="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Ggl+V9gAAAAIAQAADwAAAAAAAAABACAAAAAiAAAA&#10;ZHJzL2Rvd25yZXYueG1sUEsBAhQAFAAAAAgAh07iQJQZHIOVAQAAOAMAAA4AAAAAAAAAAQAgAAAA&#10;JwEAAGRycy9lMm9Eb2MueG1sUEsFBgAAAAAGAAYAWQEAAC4FAAAAAA==&#10;">
                <v:fill on="f" focussize="0,0"/>
                <v:stroke on="f"/>
                <v:imagedata o:title=""/>
                <o:lock v:ext="edit" aspectratio="f"/>
                <v:textbox>
                  <w:txbxContent>
                    <w:p w14:paraId="52A8E9DA">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工程变更程序</w:t>
                      </w:r>
                    </w:p>
                  </w:txbxContent>
                </v:textbox>
              </v:rect>
            </w:pict>
          </mc:Fallback>
        </mc:AlternateContent>
      </w:r>
      <w:r>
        <w:rPr>
          <w:rFonts w:hint="eastAsia" w:hAnsi="宋体" w:eastAsia="宋体" w:cs="宋体"/>
          <w:color w:val="auto"/>
          <w:sz w:val="24"/>
          <w:szCs w:val="24"/>
          <w:highlight w:val="none"/>
        </w:rPr>
        <w:t>合同工程发生变更，合同双方当事人以及监理工程师、造价工程师应遵循下列程序实施工程变更的相关工作。</w:t>
      </w:r>
    </w:p>
    <w:p w14:paraId="3983902E">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(1)合同工程可能发生或发生工程变更时，监理工程师或承包人可依据下列情况及时提出。</w:t>
      </w:r>
    </w:p>
    <w:p w14:paraId="74CF855B">
      <w:pPr>
        <w:pStyle w:val="22"/>
        <w:adjustRightInd w:val="0"/>
        <w:snapToGrid w:val="0"/>
        <w:spacing w:line="300" w:lineRule="auto"/>
        <w:ind w:left="1620"/>
        <w:rPr>
          <w:rFonts w:hint="eastAsia" w:hAnsi="宋体" w:eastAsia="宋体" w:cs="宋体"/>
          <w:color w:val="auto"/>
          <w:sz w:val="24"/>
          <w:szCs w:val="24"/>
          <w:highlight w:val="none"/>
        </w:rPr>
      </w:pPr>
      <w:r>
        <w:rPr>
          <w:rFonts w:hint="eastAsia" w:hAnsi="宋体" w:eastAsia="宋体" w:cs="宋体"/>
          <w:color w:val="auto"/>
          <w:sz w:val="24"/>
          <w:szCs w:val="24"/>
          <w:highlight w:val="none"/>
        </w:rPr>
        <w:t>1）合同工程可能发生第56.2款所列情形的，监理工程师可向承包人发出变更意向书，并附必要的施工设计图纸及其说明等资料。承包人应在收到变更意向书后的7天内，向监理工程师书面提交包括拟实施变更工作的计划、措施、竣工时间、修改内容和所需金额等在内的实施方案。发包人应在收到实施方案后的7天内予以答复；同意承包人提交的实施方案的，监理工程师应在收到实施方案后的14天内发出变更指令。</w:t>
      </w:r>
    </w:p>
    <w:p w14:paraId="6CC3572E">
      <w:pPr>
        <w:pStyle w:val="22"/>
        <w:adjustRightInd w:val="0"/>
        <w:snapToGrid w:val="0"/>
        <w:spacing w:line="300" w:lineRule="auto"/>
        <w:ind w:left="1620"/>
        <w:rPr>
          <w:rFonts w:hint="eastAsia" w:hAnsi="宋体" w:eastAsia="宋体" w:cs="宋体"/>
          <w:color w:val="auto"/>
          <w:sz w:val="24"/>
          <w:szCs w:val="24"/>
          <w:highlight w:val="none"/>
        </w:rPr>
      </w:pPr>
      <w:r>
        <w:rPr>
          <w:rFonts w:hint="eastAsia" w:hAnsi="宋体" w:eastAsia="宋体" w:cs="宋体"/>
          <w:color w:val="auto"/>
          <w:sz w:val="24"/>
          <w:szCs w:val="24"/>
          <w:highlight w:val="none"/>
        </w:rPr>
        <w:t>2）合同工程发生第56.2款所列情形的，监理工程师应至少提前14天以书面形式向承包人发出变更指令，并提供变更的施工设计图纸及其说明等资料。</w:t>
      </w:r>
    </w:p>
    <w:p w14:paraId="0097C5D0">
      <w:pPr>
        <w:pStyle w:val="22"/>
        <w:adjustRightInd w:val="0"/>
        <w:snapToGrid w:val="0"/>
        <w:spacing w:line="300" w:lineRule="auto"/>
        <w:ind w:left="1620"/>
        <w:rPr>
          <w:rFonts w:hint="eastAsia" w:hAnsi="宋体" w:eastAsia="宋体" w:cs="宋体"/>
          <w:color w:val="auto"/>
          <w:sz w:val="24"/>
          <w:szCs w:val="24"/>
          <w:highlight w:val="none"/>
        </w:rPr>
      </w:pPr>
      <w:r>
        <w:rPr>
          <w:rFonts w:hint="eastAsia" w:hAnsi="宋体" w:eastAsia="宋体" w:cs="宋体"/>
          <w:color w:val="auto"/>
          <w:sz w:val="24"/>
          <w:szCs w:val="24"/>
          <w:highlight w:val="none"/>
        </w:rPr>
        <w:t>3）承包人收到发包人为实施合同工程所提供的施工设计图纸和文件，经检查认为存在第56.2款所列情形的，可向监理工程师提出书面建议。监理工程师收到承包人书面建议后，应提出确认意见并报发包人审批；确认存在变更的，监理工程师应在收到承包人书面建议后的14天内发出变更指令。不同意作为变更的，应由监理工程师书面答复承包人。</w:t>
      </w:r>
    </w:p>
    <w:p w14:paraId="62D6409A">
      <w:pPr>
        <w:pStyle w:val="22"/>
        <w:adjustRightInd w:val="0"/>
        <w:snapToGrid w:val="0"/>
        <w:spacing w:line="300" w:lineRule="auto"/>
        <w:ind w:left="1620"/>
        <w:rPr>
          <w:rFonts w:hint="eastAsia" w:hAnsi="宋体" w:eastAsia="宋体" w:cs="宋体"/>
          <w:color w:val="auto"/>
          <w:sz w:val="24"/>
          <w:szCs w:val="24"/>
          <w:highlight w:val="none"/>
        </w:rPr>
      </w:pPr>
      <w:r>
        <w:rPr>
          <w:rFonts w:hint="eastAsia" w:hAnsi="宋体" w:eastAsia="宋体" w:cs="宋体"/>
          <w:color w:val="auto"/>
          <w:sz w:val="24"/>
          <w:szCs w:val="24"/>
          <w:highlight w:val="none"/>
        </w:rPr>
        <w:t>4）若承包人收到监理工程师的变更意向书后认为难以实施此项变更的，应立即通知监理工程师，说明原因并附详细依据。监理工程师与合同双方当事人协商后确定撤销、改变或不改变原变更意向书。</w:t>
      </w:r>
    </w:p>
    <w:p w14:paraId="677E4B86">
      <w:pPr>
        <w:pStyle w:val="22"/>
        <w:adjustRightInd w:val="0"/>
        <w:snapToGrid w:val="0"/>
        <w:spacing w:line="300" w:lineRule="auto"/>
        <w:ind w:left="1620"/>
        <w:rPr>
          <w:rFonts w:hint="eastAsia" w:hAnsi="宋体" w:eastAsia="宋体" w:cs="宋体"/>
          <w:color w:val="auto"/>
          <w:sz w:val="24"/>
          <w:szCs w:val="24"/>
          <w:highlight w:val="none"/>
        </w:rPr>
      </w:pPr>
      <w:r>
        <w:rPr>
          <w:rFonts w:hint="eastAsia" w:hAnsi="宋体" w:eastAsia="宋体" w:cs="宋体"/>
          <w:color w:val="auto"/>
          <w:sz w:val="24"/>
          <w:szCs w:val="24"/>
          <w:highlight w:val="none"/>
        </w:rPr>
        <w:t>(2）承包人应在收到监理工程师发出变更指令或变更意向书后的14天内，向发包人提交工程变更报告，并抄送监理工程师、造价工程师。报告内容应包括变更原因、根据第72条约定详细开列变更工作的价格组成和依据，并附变更的施工设计图纸及其相关说明。</w:t>
      </w:r>
    </w:p>
    <w:p w14:paraId="270E56AC">
      <w:pPr>
        <w:pStyle w:val="22"/>
        <w:adjustRightInd w:val="0"/>
        <w:snapToGrid w:val="0"/>
        <w:spacing w:line="300" w:lineRule="auto"/>
        <w:ind w:left="1620"/>
        <w:rPr>
          <w:rFonts w:hint="eastAsia" w:hAnsi="宋体" w:eastAsia="宋体" w:cs="宋体"/>
          <w:color w:val="auto"/>
          <w:sz w:val="24"/>
          <w:szCs w:val="24"/>
          <w:highlight w:val="none"/>
        </w:rPr>
      </w:pPr>
      <w:r>
        <w:rPr>
          <w:rFonts w:hint="eastAsia" w:hAnsi="宋体" w:eastAsia="宋体" w:cs="宋体"/>
          <w:color w:val="auto"/>
          <w:sz w:val="24"/>
          <w:szCs w:val="24"/>
          <w:highlight w:val="none"/>
        </w:rPr>
        <w:t>变更工作影响工期的，承包人应提出调整工期的要求。发包人认为有必要时，可要求承包人提交提前或者延长工期的施工进度计划或相应施工措施等资料。</w:t>
      </w:r>
    </w:p>
    <w:p w14:paraId="11467213">
      <w:pPr>
        <w:pStyle w:val="22"/>
        <w:adjustRightInd w:val="0"/>
        <w:snapToGrid w:val="0"/>
        <w:spacing w:line="300" w:lineRule="auto"/>
        <w:ind w:left="1620"/>
        <w:rPr>
          <w:rFonts w:hint="eastAsia" w:hAnsi="宋体" w:eastAsia="宋体" w:cs="宋体"/>
          <w:color w:val="auto"/>
          <w:sz w:val="24"/>
          <w:szCs w:val="24"/>
          <w:highlight w:val="none"/>
        </w:rPr>
      </w:pPr>
      <w:r>
        <w:rPr>
          <w:rFonts w:hint="eastAsia" w:hAnsi="宋体" w:eastAsia="宋体" w:cs="宋体"/>
          <w:color w:val="auto"/>
          <w:sz w:val="24"/>
          <w:szCs w:val="24"/>
          <w:highlight w:val="none"/>
        </w:rPr>
        <w:t>(3)发包人在收到承包人工程变更报告后，应通知监理工程师、造价工程师及时对报告内容予以核实，并在收到报告后的14天内予以确定或提出修改意见。发包人在收到承包人工程变更报告后的14天内未确定也未提出修改意见的，视为承包人提交的工程变更报告已被认可。</w:t>
      </w:r>
    </w:p>
    <w:p w14:paraId="0D7A9FC8">
      <w:pPr>
        <w:pStyle w:val="22"/>
        <w:adjustRightInd w:val="0"/>
        <w:snapToGrid w:val="0"/>
        <w:spacing w:line="300" w:lineRule="auto"/>
        <w:ind w:left="1575" w:leftChars="750"/>
        <w:rPr>
          <w:rFonts w:hint="eastAsia" w:hAnsi="宋体" w:eastAsia="宋体" w:cs="宋体"/>
          <w:b/>
          <w:bCs/>
          <w:color w:val="auto"/>
          <w:sz w:val="24"/>
          <w:szCs w:val="24"/>
          <w:highlight w:val="none"/>
        </w:rPr>
      </w:pPr>
      <w:r>
        <w:rPr>
          <w:rFonts w:hint="eastAsia" w:hAnsi="宋体" w:eastAsia="宋体" w:cs="宋体"/>
          <w:color w:val="auto"/>
          <w:sz w:val="24"/>
          <w:szCs w:val="24"/>
          <w:highlight w:val="none"/>
        </w:rPr>
        <w:t>(4)承包人应在发包人确定工程变更报告后的7天内，按照监理工程师发出的变更指令及时组织实施变更工作。否则，由此引起的损失和（或）延误的工期由承包人承担。</w:t>
      </w:r>
    </w:p>
    <w:p w14:paraId="411ECC39">
      <w:pPr>
        <w:pStyle w:val="22"/>
        <w:adjustRightInd w:val="0"/>
        <w:snapToGrid w:val="0"/>
        <w:spacing w:line="300" w:lineRule="auto"/>
        <w:rPr>
          <w:rFonts w:hint="eastAsia"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56.4  </w:t>
      </w:r>
      <w:r>
        <w:rPr>
          <w:rFonts w:hint="eastAsia" w:hAnsi="宋体" w:eastAsia="宋体" w:cs="宋体"/>
          <w:b/>
          <w:bCs/>
          <w:color w:val="auto"/>
          <w:sz w:val="24"/>
          <w:szCs w:val="24"/>
          <w:highlight w:val="none"/>
          <w:u w:val="dotted"/>
        </w:rPr>
        <w:t xml:space="preserve">                                                                               </w:t>
      </w:r>
    </w:p>
    <w:p w14:paraId="28828FF3">
      <w:pPr>
        <w:pStyle w:val="22"/>
        <w:adjustRightInd w:val="0"/>
        <w:snapToGrid w:val="0"/>
        <w:spacing w:line="300" w:lineRule="auto"/>
        <w:rPr>
          <w:rFonts w:hint="eastAsia" w:hAnsi="宋体" w:eastAsia="宋体" w:cs="宋体"/>
          <w:b/>
          <w:bCs/>
          <w:color w:val="auto"/>
          <w:sz w:val="24"/>
          <w:szCs w:val="24"/>
          <w:highlight w:val="none"/>
        </w:rPr>
      </w:pPr>
    </w:p>
    <w:p w14:paraId="041106F7">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898880"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1260" name="0001bf"/>
                <wp:cNvGraphicFramePr/>
                <a:graphic xmlns:a="http://schemas.openxmlformats.org/drawingml/2006/main">
                  <a:graphicData uri="http://schemas.microsoft.com/office/word/2010/wordprocessingShape">
                    <wps:wsp>
                      <wps:cNvSpPr/>
                      <wps:spPr>
                        <a:xfrm>
                          <a:off x="0" y="0"/>
                          <a:ext cx="914400" cy="412115"/>
                        </a:xfrm>
                        <a:prstGeom prst="rect">
                          <a:avLst/>
                        </a:prstGeom>
                        <a:ln>
                          <a:noFill/>
                        </a:ln>
                      </wps:spPr>
                      <wps:txbx>
                        <w:txbxContent>
                          <w:p w14:paraId="4A4D1A84">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承包人提出工程变更建议</w:t>
                            </w:r>
                          </w:p>
                        </w:txbxContent>
                      </wps:txbx>
                      <wps:bodyPr wrap="square"/>
                    </wps:wsp>
                  </a:graphicData>
                </a:graphic>
              </wp:anchor>
            </w:drawing>
          </mc:Choice>
          <mc:Fallback>
            <w:pict>
              <v:rect id="0001bf" o:spid="_x0000_s1026" o:spt="1" style="position:absolute;left:0pt;margin-left:-9pt;margin-top:0.6pt;height:32.45pt;width:72pt;z-index:251898880;mso-width-relative:page;mso-height-relative:page;" filled="f" stroked="f" coordsize="21600,21600" o:gfxdata="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&#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EGBzzrXAAAACAEAAA8AAAAAAAAAAQAgAAAAIgAAAGRy&#10;cy9kb3ducmV2LnhtbFBLAQIUABQAAAAIAIdO4kAAyUQGlAEAADgDAAAOAAAAAAAAAAEAIAAAACYB&#10;AABkcnMvZTJvRG9jLnhtbFBLBQYAAAAABgAGAFkBAAAsBQAAAAA=&#10;">
                <v:fill on="f" focussize="0,0"/>
                <v:stroke on="f"/>
                <v:imagedata o:title=""/>
                <o:lock v:ext="edit" aspectratio="f"/>
                <v:textbox>
                  <w:txbxContent>
                    <w:p w14:paraId="4A4D1A84">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承包人提出工程变更建议</w:t>
                      </w:r>
                    </w:p>
                  </w:txbxContent>
                </v:textbox>
              </v:rect>
            </w:pict>
          </mc:Fallback>
        </mc:AlternateContent>
      </w:r>
      <w:r>
        <w:rPr>
          <w:rFonts w:hint="eastAsia" w:hAnsi="宋体" w:eastAsia="宋体" w:cs="宋体"/>
          <w:color w:val="auto"/>
          <w:sz w:val="24"/>
          <w:szCs w:val="24"/>
          <w:highlight w:val="none"/>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56.3款规定向承包人发出变更指令。</w:t>
      </w:r>
    </w:p>
    <w:p w14:paraId="5B63AA03">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发包人采纳承包人的建议，给发包人带来降低合同价款、缩短工期或提交工程经济效益等利益的，发包人应按照国家有关规定并在专用条款中约定的计算方法予以奖励。</w:t>
      </w:r>
    </w:p>
    <w:p w14:paraId="1CC406FD">
      <w:pPr>
        <w:pStyle w:val="22"/>
        <w:adjustRightInd w:val="0"/>
        <w:snapToGrid w:val="0"/>
        <w:spacing w:line="300" w:lineRule="auto"/>
        <w:rPr>
          <w:rFonts w:hint="eastAsia"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56.5  </w:t>
      </w:r>
      <w:r>
        <w:rPr>
          <w:rFonts w:hint="eastAsia" w:hAnsi="宋体" w:eastAsia="宋体" w:cs="宋体"/>
          <w:b/>
          <w:bCs/>
          <w:color w:val="auto"/>
          <w:sz w:val="24"/>
          <w:szCs w:val="24"/>
          <w:highlight w:val="none"/>
          <w:u w:val="dotted"/>
        </w:rPr>
        <w:t xml:space="preserve">                                                                                </w:t>
      </w:r>
    </w:p>
    <w:p w14:paraId="6F9DCF8F">
      <w:pPr>
        <w:pStyle w:val="22"/>
        <w:adjustRightInd w:val="0"/>
        <w:snapToGrid w:val="0"/>
        <w:spacing w:line="300" w:lineRule="auto"/>
        <w:rPr>
          <w:rFonts w:hint="eastAsia" w:hAnsi="宋体" w:eastAsia="宋体" w:cs="宋体"/>
          <w:b/>
          <w:bCs/>
          <w:color w:val="auto"/>
          <w:sz w:val="24"/>
          <w:szCs w:val="24"/>
          <w:highlight w:val="none"/>
        </w:rPr>
      </w:pPr>
    </w:p>
    <w:p w14:paraId="20B1B55A">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899904"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1261" name="0001c0"/>
                <wp:cNvGraphicFramePr/>
                <a:graphic xmlns:a="http://schemas.openxmlformats.org/drawingml/2006/main">
                  <a:graphicData uri="http://schemas.microsoft.com/office/word/2010/wordprocessingShape">
                    <wps:wsp>
                      <wps:cNvSpPr/>
                      <wps:spPr>
                        <a:xfrm>
                          <a:off x="0" y="0"/>
                          <a:ext cx="914400" cy="588010"/>
                        </a:xfrm>
                        <a:prstGeom prst="rect">
                          <a:avLst/>
                        </a:prstGeom>
                        <a:ln>
                          <a:noFill/>
                        </a:ln>
                      </wps:spPr>
                      <wps:txbx>
                        <w:txbxContent>
                          <w:p w14:paraId="49555627">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wps:txbx>
                      <wps:bodyPr wrap="square"/>
                    </wps:wsp>
                  </a:graphicData>
                </a:graphic>
              </wp:anchor>
            </w:drawing>
          </mc:Choice>
          <mc:Fallback>
            <w:pict>
              <v:rect id="0001c0" o:spid="_x0000_s1026" o:spt="1" style="position:absolute;left:0pt;margin-left:-9pt;margin-top:1.2pt;height:46.3pt;width:72pt;z-index:251899904;mso-width-relative:page;mso-height-relative:page;" filled="f" stroked="f" coordsize="21600,21600" o:gfxdata="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&#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GELMJ3YAAAACAEAAA8AAAAAAAAAAQAgAAAAIgAAAGRy&#10;cy9kb3ducmV2LnhtbFBLAQIUABQAAAAIAIdO4kBEFELFkwEAADgDAAAOAAAAAAAAAAEAIAAAACcB&#10;AABkcnMvZTJvRG9jLnhtbFBLBQYAAAAABgAGAFkBAAAsBQAAAAA=&#10;">
                <v:fill on="f" focussize="0,0"/>
                <v:stroke on="f"/>
                <v:imagedata o:title=""/>
                <o:lock v:ext="edit" aspectratio="f"/>
                <v:textbox>
                  <w:txbxContent>
                    <w:p w14:paraId="49555627">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v:textbox>
              </v:rect>
            </w:pict>
          </mc:Fallback>
        </mc:AlternateContent>
      </w:r>
      <w:r>
        <w:rPr>
          <w:rFonts w:hint="eastAsia" w:hAnsi="宋体" w:eastAsia="宋体" w:cs="宋体"/>
          <w:color w:val="auto"/>
          <w:sz w:val="24"/>
          <w:szCs w:val="24"/>
          <w:highlight w:val="none"/>
        </w:rPr>
        <w:t>工程变更不应使合同作废或无效。工程变更应按照第72条规定确定变更的工程款；影响工期的，工期应相应调整。但由于下列原因引起的变更，承包人无权要求任何额外或附加的费用，工期不予顺延：</w:t>
      </w:r>
    </w:p>
    <w:p w14:paraId="5BEAFD4B">
      <w:pPr>
        <w:pStyle w:val="22"/>
        <w:numPr>
          <w:ilvl w:val="0"/>
          <w:numId w:val="23"/>
        </w:numPr>
        <w:adjustRightInd w:val="0"/>
        <w:snapToGrid w:val="0"/>
        <w:spacing w:line="300" w:lineRule="auto"/>
        <w:ind w:left="1620" w:firstLine="0"/>
        <w:rPr>
          <w:rFonts w:hint="eastAsia" w:hAnsi="宋体" w:eastAsia="宋体" w:cs="宋体"/>
          <w:color w:val="auto"/>
          <w:sz w:val="24"/>
          <w:szCs w:val="24"/>
          <w:highlight w:val="none"/>
        </w:rPr>
      </w:pPr>
      <w:r>
        <w:rPr>
          <w:rFonts w:hint="eastAsia" w:hAnsi="宋体" w:eastAsia="宋体" w:cs="宋体"/>
          <w:color w:val="auto"/>
          <w:sz w:val="24"/>
          <w:szCs w:val="24"/>
          <w:highlight w:val="none"/>
        </w:rPr>
        <w:t>为了便于组织施工而采取的技术措施变更或临时工程变更；</w:t>
      </w:r>
    </w:p>
    <w:p w14:paraId="718DBFB8">
      <w:pPr>
        <w:pStyle w:val="22"/>
        <w:adjustRightInd w:val="0"/>
        <w:snapToGrid w:val="0"/>
        <w:spacing w:line="300" w:lineRule="auto"/>
        <w:ind w:firstLine="1560" w:firstLineChars="650"/>
        <w:rPr>
          <w:rFonts w:hint="eastAsia" w:hAnsi="宋体" w:eastAsia="宋体" w:cs="宋体"/>
          <w:color w:val="auto"/>
          <w:sz w:val="24"/>
          <w:szCs w:val="24"/>
          <w:highlight w:val="none"/>
        </w:rPr>
      </w:pPr>
      <w:r>
        <w:rPr>
          <w:rFonts w:hint="eastAsia" w:hAnsi="宋体" w:eastAsia="宋体" w:cs="宋体"/>
          <w:color w:val="auto"/>
          <w:sz w:val="24"/>
          <w:szCs w:val="24"/>
          <w:highlight w:val="none"/>
        </w:rPr>
        <w:t>（2）为了施工安全、避免干扰等原因而采取的技术措施变更或</w:t>
      </w:r>
    </w:p>
    <w:p w14:paraId="3855C156">
      <w:pPr>
        <w:pStyle w:val="22"/>
        <w:adjustRightInd w:val="0"/>
        <w:snapToGrid w:val="0"/>
        <w:spacing w:line="300" w:lineRule="auto"/>
        <w:ind w:firstLine="1560" w:firstLineChars="650"/>
        <w:rPr>
          <w:rFonts w:hint="eastAsia" w:hAnsi="宋体" w:eastAsia="宋体" w:cs="宋体"/>
          <w:color w:val="auto"/>
          <w:sz w:val="24"/>
          <w:szCs w:val="24"/>
          <w:highlight w:val="none"/>
        </w:rPr>
      </w:pPr>
      <w:r>
        <w:rPr>
          <w:rFonts w:hint="eastAsia" w:hAnsi="宋体" w:eastAsia="宋体" w:cs="宋体"/>
          <w:color w:val="auto"/>
          <w:sz w:val="24"/>
          <w:szCs w:val="24"/>
          <w:highlight w:val="none"/>
        </w:rPr>
        <w:t>临时工程变更；</w:t>
      </w:r>
    </w:p>
    <w:p w14:paraId="398D57C2">
      <w:pPr>
        <w:pStyle w:val="22"/>
        <w:numPr>
          <w:ilvl w:val="0"/>
          <w:numId w:val="23"/>
        </w:numPr>
        <w:adjustRightInd w:val="0"/>
        <w:snapToGrid w:val="0"/>
        <w:spacing w:line="300" w:lineRule="auto"/>
        <w:ind w:left="1620" w:firstLine="0"/>
        <w:rPr>
          <w:rFonts w:hint="eastAsia" w:hAnsi="宋体" w:eastAsia="宋体" w:cs="宋体"/>
          <w:color w:val="auto"/>
          <w:sz w:val="24"/>
          <w:szCs w:val="24"/>
          <w:highlight w:val="none"/>
        </w:rPr>
      </w:pPr>
      <w:r>
        <w:rPr>
          <w:rFonts w:hint="eastAsia" w:hAnsi="宋体" w:eastAsia="宋体" w:cs="宋体"/>
          <w:color w:val="auto"/>
          <w:sz w:val="24"/>
          <w:szCs w:val="24"/>
          <w:highlight w:val="none"/>
        </w:rPr>
        <w:t>因承包人违约、过错或承包人引起的其他变更。</w:t>
      </w:r>
    </w:p>
    <w:p w14:paraId="2C17CC7B">
      <w:pPr>
        <w:pStyle w:val="22"/>
        <w:adjustRightInd w:val="0"/>
        <w:snapToGrid w:val="0"/>
        <w:spacing w:line="300" w:lineRule="auto"/>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216272BE">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137" w:name="_Toc469384040"/>
      <w:bookmarkStart w:id="138" w:name="_Toc46860861"/>
      <w:r>
        <w:rPr>
          <w:rFonts w:hint="eastAsia" w:hAnsi="宋体" w:eastAsia="宋体" w:cs="宋体"/>
          <w:b/>
          <w:bCs/>
          <w:color w:val="auto"/>
          <w:sz w:val="24"/>
          <w:szCs w:val="24"/>
          <w:highlight w:val="none"/>
        </w:rPr>
        <w:t>57  竣工验收条件</w:t>
      </w:r>
      <w:bookmarkEnd w:id="137"/>
      <w:bookmarkEnd w:id="138"/>
    </w:p>
    <w:p w14:paraId="5CDC8FBA">
      <w:pPr>
        <w:pStyle w:val="6"/>
        <w:adjustRightInd w:val="0"/>
        <w:snapToGrid w:val="0"/>
        <w:spacing w:line="30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57.1</w:t>
      </w:r>
    </w:p>
    <w:p w14:paraId="4F7F83E1">
      <w:pPr>
        <w:spacing w:line="300" w:lineRule="auto"/>
        <w:ind w:left="1618" w:hanging="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900928"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1262" name="0001c1"/>
                <wp:cNvGraphicFramePr/>
                <a:graphic xmlns:a="http://schemas.openxmlformats.org/drawingml/2006/main">
                  <a:graphicData uri="http://schemas.microsoft.com/office/word/2010/wordprocessingShape">
                    <wps:wsp>
                      <wps:cNvSpPr/>
                      <wps:spPr>
                        <a:xfrm>
                          <a:off x="0" y="0"/>
                          <a:ext cx="914400" cy="422909"/>
                        </a:xfrm>
                        <a:prstGeom prst="rect">
                          <a:avLst/>
                        </a:prstGeom>
                        <a:ln>
                          <a:noFill/>
                        </a:ln>
                      </wps:spPr>
                      <wps:txbx>
                        <w:txbxContent>
                          <w:p w14:paraId="4F8A7687">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w:t>
                            </w:r>
                          </w:p>
                        </w:txbxContent>
                      </wps:txbx>
                      <wps:bodyPr wrap="square"/>
                    </wps:wsp>
                  </a:graphicData>
                </a:graphic>
              </wp:anchor>
            </w:drawing>
          </mc:Choice>
          <mc:Fallback>
            <w:pict>
              <v:rect id="0001c1" o:spid="_x0000_s1026" o:spt="1" style="position:absolute;left:0pt;margin-left:-9pt;margin-top:1pt;height:33.3pt;width:72pt;z-index:251900928;mso-width-relative:page;mso-height-relative:page;" filled="f" stroked="f" coordsize="21600,21600" o:gfxdata="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&#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m0fjC2AAAAAgBAAAPAAAAAAAAAAEAIAAAACIAAABk&#10;cnMvZG93bnJldi54bWxQSwECFAAUAAAACACHTuJAPKhD2pQBAAA4AwAADgAAAAAAAAABACAAAAAn&#10;AQAAZHJzL2Uyb0RvYy54bWxQSwUGAAAAAAYABgBZAQAALQUAAAAA&#10;">
                <v:fill on="f" focussize="0,0"/>
                <v:stroke on="f"/>
                <v:imagedata o:title=""/>
                <o:lock v:ext="edit" aspectratio="f"/>
                <v:textbox>
                  <w:txbxContent>
                    <w:p w14:paraId="4F8A7687">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w:t>
                      </w:r>
                    </w:p>
                  </w:txbxContent>
                </v:textbox>
              </v:rect>
            </w:pict>
          </mc:Fallback>
        </mc:AlternateContent>
      </w:r>
      <w:r>
        <w:rPr>
          <w:rFonts w:hint="eastAsia" w:ascii="宋体" w:hAnsi="宋体" w:eastAsia="宋体" w:cs="宋体"/>
          <w:color w:val="auto"/>
          <w:sz w:val="24"/>
          <w:highlight w:val="none"/>
        </w:rPr>
        <w:t>承包人实施、完成合同工程的全部工作内容，经自检评定并符合下列条件的，则认为合同工程已具备竣工验收条件。</w:t>
      </w:r>
    </w:p>
    <w:p w14:paraId="61B6ACF5">
      <w:pPr>
        <w:spacing w:line="300" w:lineRule="auto"/>
        <w:ind w:left="1618" w:hanging="1"/>
        <w:rPr>
          <w:rFonts w:hint="eastAsia" w:ascii="宋体" w:hAnsi="宋体" w:eastAsia="宋体" w:cs="宋体"/>
          <w:color w:val="auto"/>
          <w:sz w:val="24"/>
          <w:highlight w:val="none"/>
        </w:rPr>
      </w:pPr>
      <w:r>
        <w:rPr>
          <w:rFonts w:hint="eastAsia" w:ascii="宋体" w:hAnsi="宋体" w:eastAsia="宋体" w:cs="宋体"/>
          <w:color w:val="auto"/>
          <w:sz w:val="24"/>
          <w:highlight w:val="none"/>
        </w:rPr>
        <w:t>(1）除监理工程师同意列入缺陷责任期内完成的尾工（甩项）工程和缺陷修补工作外，包括合同约定的试验、检验和验收等工作在内的合同范围内全部工作均已完成，并符合施工设计图纸和合同约定的要求；</w:t>
      </w:r>
    </w:p>
    <w:p w14:paraId="7C758BBA">
      <w:pPr>
        <w:spacing w:line="300" w:lineRule="auto"/>
        <w:ind w:left="1680" w:leftChars="800"/>
        <w:rPr>
          <w:rFonts w:hint="eastAsia" w:ascii="宋体" w:hAnsi="宋体" w:eastAsia="宋体" w:cs="宋体"/>
          <w:color w:val="auto"/>
          <w:sz w:val="24"/>
          <w:highlight w:val="none"/>
        </w:rPr>
      </w:pPr>
      <w:r>
        <w:rPr>
          <w:rFonts w:hint="eastAsia" w:ascii="宋体" w:hAnsi="宋体" w:eastAsia="宋体" w:cs="宋体"/>
          <w:color w:val="auto"/>
          <w:sz w:val="24"/>
          <w:highlight w:val="none"/>
        </w:rPr>
        <w:t>(2）已按照合同约定的内容和份数备齐了符合国家或行业、省要求的竣工资料（质量控制资料、竣工结算文件等）；</w:t>
      </w:r>
    </w:p>
    <w:p w14:paraId="7AE08880">
      <w:pPr>
        <w:spacing w:line="300" w:lineRule="auto"/>
        <w:ind w:left="1618" w:hanging="1"/>
        <w:rPr>
          <w:rFonts w:hint="eastAsia" w:ascii="宋体" w:hAnsi="宋体" w:eastAsia="宋体" w:cs="宋体"/>
          <w:color w:val="auto"/>
          <w:sz w:val="24"/>
          <w:highlight w:val="none"/>
        </w:rPr>
      </w:pPr>
      <w:r>
        <w:rPr>
          <w:rFonts w:hint="eastAsia" w:ascii="宋体" w:hAnsi="宋体" w:eastAsia="宋体" w:cs="宋体"/>
          <w:color w:val="auto"/>
          <w:sz w:val="24"/>
          <w:highlight w:val="none"/>
        </w:rPr>
        <w:t>(3）已按照监理工程师的指令编制了在缺陷责任期内完成的尾工（甩项）工程和缺陷修补工作清单，以及相应的实施计划；</w:t>
      </w:r>
    </w:p>
    <w:p w14:paraId="51A0075D">
      <w:pPr>
        <w:spacing w:line="300" w:lineRule="auto"/>
        <w:ind w:firstLine="1620" w:firstLineChars="675"/>
        <w:rPr>
          <w:rFonts w:hint="eastAsia" w:ascii="宋体" w:hAnsi="宋体" w:eastAsia="宋体" w:cs="宋体"/>
          <w:color w:val="auto"/>
          <w:sz w:val="24"/>
          <w:highlight w:val="none"/>
        </w:rPr>
      </w:pPr>
      <w:r>
        <w:rPr>
          <w:rFonts w:hint="eastAsia" w:ascii="宋体" w:hAnsi="宋体" w:eastAsia="宋体" w:cs="宋体"/>
          <w:color w:val="auto"/>
          <w:sz w:val="24"/>
          <w:highlight w:val="none"/>
        </w:rPr>
        <w:t>(4）监理工程师要求在竣工验收前应完成的其他工作：</w:t>
      </w:r>
    </w:p>
    <w:p w14:paraId="38618281">
      <w:pPr>
        <w:spacing w:line="300" w:lineRule="auto"/>
        <w:ind w:firstLine="1620" w:firstLineChars="675"/>
        <w:rPr>
          <w:rFonts w:hint="eastAsia" w:ascii="宋体" w:hAnsi="宋体" w:eastAsia="宋体" w:cs="宋体"/>
          <w:color w:val="auto"/>
          <w:sz w:val="24"/>
          <w:highlight w:val="none"/>
        </w:rPr>
      </w:pPr>
      <w:r>
        <w:rPr>
          <w:rFonts w:hint="eastAsia" w:ascii="宋体" w:hAnsi="宋体" w:eastAsia="宋体" w:cs="宋体"/>
          <w:color w:val="auto"/>
          <w:sz w:val="24"/>
          <w:highlight w:val="none"/>
        </w:rPr>
        <w:t>(5）监理工程师要求提交的竣工验收资料清单。</w:t>
      </w:r>
    </w:p>
    <w:p w14:paraId="3033BB34">
      <w:pPr>
        <w:pStyle w:val="6"/>
        <w:adjustRightInd w:val="0"/>
        <w:snapToGrid w:val="0"/>
        <w:spacing w:line="300" w:lineRule="auto"/>
        <w:ind w:firstLine="482"/>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57.2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57F5DE20">
      <w:pPr>
        <w:pStyle w:val="6"/>
        <w:adjustRightInd w:val="0"/>
        <w:snapToGrid w:val="0"/>
        <w:spacing w:line="300" w:lineRule="auto"/>
        <w:ind w:left="1619" w:leftChars="77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w:t>
      </w:r>
      <w:r>
        <w:rPr>
          <w:rFonts w:hint="eastAsia" w:ascii="宋体" w:hAnsi="宋体" w:eastAsia="宋体" w:cs="宋体"/>
          <w:color w:val="auto"/>
          <w:sz w:val="24"/>
          <w:highlight w:val="none"/>
        </w:rPr>
        <mc:AlternateContent>
          <mc:Choice Requires="wps">
            <w:drawing>
              <wp:anchor distT="0" distB="0" distL="0" distR="0" simplePos="0" relativeHeight="251901952"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1263" name="0001c2"/>
                <wp:cNvGraphicFramePr/>
                <a:graphic xmlns:a="http://schemas.openxmlformats.org/drawingml/2006/main">
                  <a:graphicData uri="http://schemas.microsoft.com/office/word/2010/wordprocessingShape">
                    <wps:wsp>
                      <wps:cNvSpPr/>
                      <wps:spPr>
                        <a:xfrm>
                          <a:off x="0" y="0"/>
                          <a:ext cx="914400" cy="422909"/>
                        </a:xfrm>
                        <a:prstGeom prst="rect">
                          <a:avLst/>
                        </a:prstGeom>
                        <a:ln>
                          <a:noFill/>
                        </a:ln>
                      </wps:spPr>
                      <wps:txbx>
                        <w:txbxContent>
                          <w:p w14:paraId="17F732CD">
                            <w:pPr>
                              <w:spacing w:line="240" w:lineRule="exact"/>
                              <w:rPr>
                                <w:rFonts w:hint="eastAsia" w:ascii="宋体"/>
                                <w:sz w:val="18"/>
                                <w:szCs w:val="18"/>
                              </w:rPr>
                            </w:pPr>
                            <w:r>
                              <w:rPr>
                                <w:rFonts w:hint="eastAsia" w:ascii="楷体_GB2312" w:hAnsi="宋体" w:eastAsia="楷体_GB2312" w:cs="楷体_GB2312"/>
                                <w:b/>
                                <w:bCs/>
                                <w:color w:val="000000"/>
                                <w:sz w:val="18"/>
                                <w:szCs w:val="18"/>
                              </w:rPr>
                              <w:t>提交竣工验收申请报告</w:t>
                            </w:r>
                          </w:p>
                        </w:txbxContent>
                      </wps:txbx>
                      <wps:bodyPr wrap="square"/>
                    </wps:wsp>
                  </a:graphicData>
                </a:graphic>
              </wp:anchor>
            </w:drawing>
          </mc:Choice>
          <mc:Fallback>
            <w:pict>
              <v:rect id="0001c2" o:spid="_x0000_s1026" o:spt="1" style="position:absolute;left:0pt;margin-left:-9pt;margin-top:1pt;height:33.3pt;width:72pt;z-index:251901952;mso-width-relative:page;mso-height-relative:page;" filled="f" stroked="f" coordsize="21600,21600" o:gfxdata="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ZtH4wtgAAAAIAQAADwAAAAAAAAABACAAAAAiAAAA&#10;ZHJzL2Rvd25yZXYueG1sUEsBAhQAFAAAAAgAh07iQHU/DkWVAQAAOAMAAA4AAAAAAAAAAQAgAAAA&#10;JwEAAGRycy9lMm9Eb2MueG1sUEsFBgAAAAAGAAYAWQEAAC4FAAAAAA==&#10;">
                <v:fill on="f" focussize="0,0"/>
                <v:stroke on="f"/>
                <v:imagedata o:title=""/>
                <o:lock v:ext="edit" aspectratio="f"/>
                <v:textbox>
                  <w:txbxContent>
                    <w:p w14:paraId="17F732CD">
                      <w:pPr>
                        <w:spacing w:line="240" w:lineRule="exact"/>
                        <w:rPr>
                          <w:rFonts w:hint="eastAsia" w:ascii="宋体"/>
                          <w:sz w:val="18"/>
                          <w:szCs w:val="18"/>
                        </w:rPr>
                      </w:pPr>
                      <w:r>
                        <w:rPr>
                          <w:rFonts w:hint="eastAsia" w:ascii="楷体_GB2312" w:hAnsi="宋体" w:eastAsia="楷体_GB2312" w:cs="楷体_GB2312"/>
                          <w:b/>
                          <w:bCs/>
                          <w:color w:val="000000"/>
                          <w:sz w:val="18"/>
                          <w:szCs w:val="18"/>
                        </w:rPr>
                        <w:t>提交竣工验收申请报告</w:t>
                      </w:r>
                    </w:p>
                  </w:txbxContent>
                </v:textbox>
              </v:rect>
            </w:pict>
          </mc:Fallback>
        </mc:AlternateContent>
      </w:r>
      <w:r>
        <w:rPr>
          <w:rFonts w:hint="eastAsia" w:ascii="宋体" w:hAnsi="宋体" w:eastAsia="宋体" w:cs="宋体"/>
          <w:color w:val="auto"/>
          <w:sz w:val="24"/>
          <w:highlight w:val="none"/>
        </w:rPr>
        <w:t>认为合同工程具备竣工验收条件的，应按照国家或行业、省规定的工程竣工验收技术资料格式和要求，及时向发包人提交竣工验收申请报告和符合要求的完整竣工资料，合同双方当事人应按照第58条规定进行验收。</w:t>
      </w:r>
    </w:p>
    <w:p w14:paraId="4EC0E415">
      <w:pPr>
        <w:pStyle w:val="6"/>
        <w:adjustRightInd w:val="0"/>
        <w:snapToGrid w:val="0"/>
        <w:spacing w:line="30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57.3  </w:t>
      </w:r>
      <w:r>
        <w:rPr>
          <w:rFonts w:hint="eastAsia" w:ascii="宋体" w:hAnsi="宋体" w:eastAsia="宋体" w:cs="宋体"/>
          <w:b/>
          <w:bCs/>
          <w:color w:val="auto"/>
          <w:sz w:val="24"/>
          <w:highlight w:val="none"/>
          <w:u w:val="dotted"/>
        </w:rPr>
        <w:t xml:space="preserve">                                                                                                        </w:t>
      </w:r>
    </w:p>
    <w:p w14:paraId="34D80016">
      <w:pPr>
        <w:pStyle w:val="6"/>
        <w:adjustRightInd w:val="0"/>
        <w:snapToGrid w:val="0"/>
        <w:spacing w:line="300" w:lineRule="auto"/>
        <w:ind w:left="1619" w:leftChars="77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902976"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1264" name="0001c3"/>
                <wp:cNvGraphicFramePr/>
                <a:graphic xmlns:a="http://schemas.openxmlformats.org/drawingml/2006/main">
                  <a:graphicData uri="http://schemas.microsoft.com/office/word/2010/wordprocessingShape">
                    <wps:wsp>
                      <wps:cNvSpPr/>
                      <wps:spPr>
                        <a:xfrm>
                          <a:off x="0" y="0"/>
                          <a:ext cx="873760" cy="407034"/>
                        </a:xfrm>
                        <a:prstGeom prst="rect">
                          <a:avLst/>
                        </a:prstGeom>
                        <a:ln>
                          <a:noFill/>
                        </a:ln>
                      </wps:spPr>
                      <wps:txbx>
                        <w:txbxContent>
                          <w:p w14:paraId="04AA32FB">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竣工验收条件的限制</w:t>
                            </w:r>
                          </w:p>
                        </w:txbxContent>
                      </wps:txbx>
                      <wps:bodyPr wrap="square"/>
                    </wps:wsp>
                  </a:graphicData>
                </a:graphic>
              </wp:anchor>
            </w:drawing>
          </mc:Choice>
          <mc:Fallback>
            <w:pict>
              <v:rect id="0001c3" o:spid="_x0000_s1026" o:spt="1" style="position:absolute;left:0pt;margin-left:-9pt;margin-top:3.05pt;height:32.05pt;width:68.8pt;z-index:251902976;mso-width-relative:page;mso-height-relative:page;" filled="f" stroked="f" coordsize="21600,21600" o:gfxdata="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JImRcLZAAAACAEAAA8AAAAAAAAAAQAgAAAAIgAA&#10;AGRycy9kb3ducmV2LnhtbFBLAQIUABQAAAAIAIdO4kA4KMtdlQEAADgDAAAOAAAAAAAAAAEAIAAA&#10;ACgBAABkcnMvZTJvRG9jLnhtbFBLBQYAAAAABgAGAFkBAAAvBQAAAAA=&#10;">
                <v:fill on="f" focussize="0,0"/>
                <v:stroke on="f"/>
                <v:imagedata o:title=""/>
                <o:lock v:ext="edit" aspectratio="f"/>
                <v:textbox>
                  <w:txbxContent>
                    <w:p w14:paraId="04AA32FB">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竣工验收条件的限制</w:t>
                      </w:r>
                    </w:p>
                  </w:txbxContent>
                </v:textbox>
              </v:rect>
            </w:pict>
          </mc:Fallback>
        </mc:AlternateContent>
      </w:r>
      <w:r>
        <w:rPr>
          <w:rFonts w:hint="eastAsia" w:ascii="宋体" w:hAnsi="宋体" w:eastAsia="宋体" w:cs="宋体"/>
          <w:color w:val="auto"/>
          <w:sz w:val="24"/>
          <w:highlight w:val="none"/>
        </w:rPr>
        <w:t>如果承包人不按照规定提交竣工资料或提交的资料不符合要求，则认为合同工程尚未具备竣工验收条件。</w:t>
      </w:r>
    </w:p>
    <w:p w14:paraId="24AA4084">
      <w:pPr>
        <w:adjustRightInd w:val="0"/>
        <w:snapToGrid w:val="0"/>
        <w:spacing w:line="300" w:lineRule="auto"/>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351C7507">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139" w:name="_Toc46860862"/>
      <w:bookmarkStart w:id="140" w:name="_Toc469384041"/>
      <w:r>
        <w:rPr>
          <w:rFonts w:hint="eastAsia" w:hAnsi="宋体" w:eastAsia="宋体" w:cs="宋体"/>
          <w:b/>
          <w:bCs/>
          <w:color w:val="auto"/>
          <w:sz w:val="24"/>
          <w:szCs w:val="24"/>
          <w:highlight w:val="none"/>
        </w:rPr>
        <w:t>58  竣工验收</w:t>
      </w:r>
      <w:bookmarkEnd w:id="139"/>
      <w:bookmarkEnd w:id="140"/>
    </w:p>
    <w:p w14:paraId="7C12C325">
      <w:pPr>
        <w:tabs>
          <w:tab w:val="left" w:pos="1620"/>
        </w:tabs>
        <w:adjustRightInd w:val="0"/>
        <w:snapToGrid w:val="0"/>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mc:AlternateContent>
          <mc:Choice Requires="wps">
            <w:drawing>
              <wp:anchor distT="0" distB="0" distL="0" distR="0" simplePos="0" relativeHeight="251904000"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265" name="0001c4"/>
                <wp:cNvGraphicFramePr/>
                <a:graphic xmlns:a="http://schemas.openxmlformats.org/drawingml/2006/main">
                  <a:graphicData uri="http://schemas.microsoft.com/office/word/2010/wordprocessingShape">
                    <wps:wsp>
                      <wps:cNvSpPr/>
                      <wps:spPr>
                        <a:xfrm>
                          <a:off x="0" y="0"/>
                          <a:ext cx="873760" cy="407670"/>
                        </a:xfrm>
                        <a:prstGeom prst="rect">
                          <a:avLst/>
                        </a:prstGeom>
                        <a:ln>
                          <a:noFill/>
                        </a:ln>
                      </wps:spPr>
                      <wps:txbx>
                        <w:txbxContent>
                          <w:p w14:paraId="28A49545">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竣工验收标准</w:t>
                            </w:r>
                          </w:p>
                        </w:txbxContent>
                      </wps:txbx>
                      <wps:bodyPr wrap="square"/>
                    </wps:wsp>
                  </a:graphicData>
                </a:graphic>
              </wp:anchor>
            </w:drawing>
          </mc:Choice>
          <mc:Fallback>
            <w:pict>
              <v:rect id="0001c4" o:spid="_x0000_s1026" o:spt="1" style="position:absolute;left:0pt;margin-left:-9pt;margin-top:20.3pt;height:32.1pt;width:68.8pt;z-index:251904000;mso-width-relative:page;mso-height-relative:page;" filled="f" stroked="f" coordsize="21600,21600" o:gfxdata="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C4luOdoAAAAKAQAADwAAAAAAAAABACAAAAAi&#10;AAAAZHJzL2Rvd25yZXYueG1sUEsBAhQAFAAAAAgAh07iQFaizA6WAQAAOAMAAA4AAAAAAAAAAQAg&#10;AAAAKQEAAGRycy9lMm9Eb2MueG1sUEsFBgAAAAAGAAYAWQEAADEFAAAAAA==&#10;">
                <v:fill on="f" focussize="0,0"/>
                <v:stroke on="f"/>
                <v:imagedata o:title=""/>
                <o:lock v:ext="edit" aspectratio="f"/>
                <v:textbox>
                  <w:txbxContent>
                    <w:p w14:paraId="28A49545">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竣工验收标准</w:t>
                      </w:r>
                    </w:p>
                  </w:txbxContent>
                </v:textbox>
              </v:rect>
            </w:pict>
          </mc:Fallback>
        </mc:AlternateContent>
      </w:r>
      <w:r>
        <w:rPr>
          <w:rFonts w:hint="eastAsia" w:ascii="宋体" w:hAnsi="宋体" w:eastAsia="宋体" w:cs="宋体"/>
          <w:b/>
          <w:bCs/>
          <w:color w:val="auto"/>
          <w:sz w:val="24"/>
          <w:highlight w:val="none"/>
        </w:rPr>
        <w:t>58.1</w:t>
      </w:r>
    </w:p>
    <w:p w14:paraId="0041B72D">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合同双方当事人应在专用条款中约定合同工程竣工验收标准，但约定的竣工验收标准应符合国家或行业、省的有关规定。</w:t>
      </w:r>
    </w:p>
    <w:p w14:paraId="74D2ACB5">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合同工程需要进行国家验收的，竣工验收是国家验收的一部分。</w:t>
      </w:r>
    </w:p>
    <w:p w14:paraId="2D0F2080">
      <w:pPr>
        <w:tabs>
          <w:tab w:val="left" w:pos="1620"/>
        </w:tabs>
        <w:adjustRightInd w:val="0"/>
        <w:snapToGrid w:val="0"/>
        <w:spacing w:line="30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905024"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266" name="0001c5"/>
                <wp:cNvGraphicFramePr/>
                <a:graphic xmlns:a="http://schemas.openxmlformats.org/drawingml/2006/main">
                  <a:graphicData uri="http://schemas.microsoft.com/office/word/2010/wordprocessingShape">
                    <wps:wsp>
                      <wps:cNvSpPr/>
                      <wps:spPr>
                        <a:xfrm>
                          <a:off x="0" y="0"/>
                          <a:ext cx="873760" cy="407670"/>
                        </a:xfrm>
                        <a:prstGeom prst="rect">
                          <a:avLst/>
                        </a:prstGeom>
                        <a:ln>
                          <a:noFill/>
                        </a:ln>
                      </wps:spPr>
                      <wps:txbx>
                        <w:txbxContent>
                          <w:p w14:paraId="28CC0421">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核查竣工验收条件</w:t>
                            </w:r>
                          </w:p>
                        </w:txbxContent>
                      </wps:txbx>
                      <wps:bodyPr wrap="square"/>
                    </wps:wsp>
                  </a:graphicData>
                </a:graphic>
              </wp:anchor>
            </w:drawing>
          </mc:Choice>
          <mc:Fallback>
            <w:pict>
              <v:rect id="0001c5" o:spid="_x0000_s1026" o:spt="1" style="position:absolute;left:0pt;margin-left:-9pt;margin-top:20.3pt;height:32.1pt;width:68.8pt;z-index:251905024;mso-width-relative:page;mso-height-relative:page;" filled="f" stroked="f" coordsize="21600,21600" o:gfxdata="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C4luOdoAAAAKAQAADwAAAAAAAAABACAAAAAi&#10;AAAAZHJzL2Rvd25yZXYueG1sUEsBAhQAFAAAAAgAh07iQHmO+0SWAQAAOAMAAA4AAAAAAAAAAQAg&#10;AAAAKQEAAGRycy9lMm9Eb2MueG1sUEsFBgAAAAAGAAYAWQEAADEFAAAAAA==&#10;">
                <v:fill on="f" focussize="0,0"/>
                <v:stroke on="f"/>
                <v:imagedata o:title=""/>
                <o:lock v:ext="edit" aspectratio="f"/>
                <v:textbox>
                  <w:txbxContent>
                    <w:p w14:paraId="28CC0421">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核查竣工验收条件</w:t>
                      </w:r>
                    </w:p>
                  </w:txbxContent>
                </v:textbox>
              </v:rect>
            </w:pict>
          </mc:Fallback>
        </mc:AlternateContent>
      </w:r>
      <w:r>
        <w:rPr>
          <w:rFonts w:hint="eastAsia" w:ascii="宋体" w:hAnsi="宋体" w:eastAsia="宋体" w:cs="宋体"/>
          <w:b/>
          <w:bCs/>
          <w:color w:val="auto"/>
          <w:sz w:val="24"/>
          <w:highlight w:val="none"/>
        </w:rPr>
        <w:t>58.2</w:t>
      </w:r>
      <w:r>
        <w:rPr>
          <w:rFonts w:hint="eastAsia" w:ascii="宋体" w:hAnsi="宋体" w:eastAsia="宋体" w:cs="宋体"/>
          <w:color w:val="auto"/>
          <w:sz w:val="24"/>
          <w:highlight w:val="none"/>
          <w:u w:val="dotted"/>
        </w:rPr>
        <w:t xml:space="preserve">                                                                             </w:t>
      </w:r>
    </w:p>
    <w:p w14:paraId="25A5972A">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发包人收到承包人按照第57.2 款规定提交的竣工验收申请报告后，应及时通知监理工程师核查合同工程是否具备竣工验收条件。</w:t>
      </w:r>
    </w:p>
    <w:p w14:paraId="247BF8EB">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(1）经核查未具备竣工验收条件的，监理工程师应在收到竣工验收申请报告后的14天内通知承包人，指出在颁发接收证书前承包人应进一步完成的工作内容。承包人完成监理工程师通知的全部工作内容后，应再次提交竣工验收申请报告，直至监理工程师同意为止。</w:t>
      </w:r>
    </w:p>
    <w:p w14:paraId="05333281">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(2）经核查已具备竣工验收条件的，监理工程师应在收到竣工验收申请报告后的14天内书面提请发包人组织合同工程验收。</w:t>
      </w:r>
    </w:p>
    <w:p w14:paraId="1C0AEFAB">
      <w:pPr>
        <w:tabs>
          <w:tab w:val="left" w:pos="1620"/>
        </w:tabs>
        <w:adjustRightInd w:val="0"/>
        <w:snapToGrid w:val="0"/>
        <w:spacing w:line="300"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90604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267" name="0001c6"/>
                <wp:cNvGraphicFramePr/>
                <a:graphic xmlns:a="http://schemas.openxmlformats.org/drawingml/2006/main">
                  <a:graphicData uri="http://schemas.microsoft.com/office/word/2010/wordprocessingShape">
                    <wps:wsp>
                      <wps:cNvSpPr/>
                      <wps:spPr>
                        <a:xfrm>
                          <a:off x="0" y="0"/>
                          <a:ext cx="873760" cy="407670"/>
                        </a:xfrm>
                        <a:prstGeom prst="rect">
                          <a:avLst/>
                        </a:prstGeom>
                        <a:ln>
                          <a:noFill/>
                        </a:ln>
                      </wps:spPr>
                      <wps:txbx>
                        <w:txbxContent>
                          <w:p w14:paraId="23F5F407">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完成验收和确认</w:t>
                            </w:r>
                          </w:p>
                        </w:txbxContent>
                      </wps:txbx>
                      <wps:bodyPr wrap="square"/>
                    </wps:wsp>
                  </a:graphicData>
                </a:graphic>
              </wp:anchor>
            </w:drawing>
          </mc:Choice>
          <mc:Fallback>
            <w:pict>
              <v:rect id="0001c6" o:spid="_x0000_s1026" o:spt="1" style="position:absolute;left:0pt;margin-left:-9pt;margin-top:20.3pt;height:32.1pt;width:68.8pt;z-index:251906048;mso-width-relative:page;mso-height-relative:page;" filled="f" stroked="f" coordsize="21600,21600" o:gfxdata="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LiW452gAAAAoBAAAPAAAAAAAAAAEAIAAAACIA&#10;AABkcnMvZG93bnJldi54bWxQSwECFAAUAAAACACHTuJAMBm225UBAAA4AwAADgAAAAAAAAABACAA&#10;AAApAQAAZHJzL2Uyb0RvYy54bWxQSwUGAAAAAAYABgBZAQAAMAUAAAAA&#10;">
                <v:fill on="f" focussize="0,0"/>
                <v:stroke on="f"/>
                <v:imagedata o:title=""/>
                <o:lock v:ext="edit" aspectratio="f"/>
                <v:textbox>
                  <w:txbxContent>
                    <w:p w14:paraId="23F5F407">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完成验收和确认</w:t>
                      </w:r>
                    </w:p>
                  </w:txbxContent>
                </v:textbox>
              </v:rect>
            </w:pict>
          </mc:Fallback>
        </mc:AlternateContent>
      </w:r>
      <w:r>
        <w:rPr>
          <w:rFonts w:hint="eastAsia" w:ascii="宋体" w:hAnsi="宋体" w:eastAsia="宋体" w:cs="宋体"/>
          <w:b/>
          <w:bCs/>
          <w:color w:val="auto"/>
          <w:sz w:val="24"/>
          <w:highlight w:val="none"/>
        </w:rPr>
        <w:t xml:space="preserve">58.3 </w:t>
      </w:r>
      <w:r>
        <w:rPr>
          <w:rFonts w:hint="eastAsia" w:ascii="宋体" w:hAnsi="宋体" w:eastAsia="宋体" w:cs="宋体"/>
          <w:b/>
          <w:bCs/>
          <w:color w:val="auto"/>
          <w:sz w:val="24"/>
          <w:highlight w:val="none"/>
          <w:u w:val="dotted"/>
        </w:rPr>
        <w:t xml:space="preserve">                                                                             </w:t>
      </w:r>
    </w:p>
    <w:p w14:paraId="6CB79459">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经监理工程师按照第58.2 款规定核查合同工程已具备竣工验收条件的，发包人应在收到监理工程师书面提请后的28天内，根据合同约定的竣工验收标准和施工设计图纸等文件，按照第19.5款规定组织参加验收各方完成合同工程验收，并在竣工验收后14天内予以确认或提出修改意见。</w:t>
      </w:r>
    </w:p>
    <w:p w14:paraId="5CF9A522">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竣工验收完成后，承包人应及时向发包人提交竣工验收记录。竣工验收合格的，发包人及参加验收各方应及时在竣工验收记录上签字，并由监理工程师会同参加验收各方形成合同工程竣工验收报告。</w:t>
      </w:r>
    </w:p>
    <w:p w14:paraId="70B5DF6E">
      <w:pPr>
        <w:adjustRightInd w:val="0"/>
        <w:snapToGrid w:val="0"/>
        <w:spacing w:line="300" w:lineRule="auto"/>
        <w:ind w:left="1626" w:leftChars="1" w:hanging="1624" w:hangingChars="674"/>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58.4</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529FA96F">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907072"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1268" name="0001c7"/>
                <wp:cNvGraphicFramePr/>
                <a:graphic xmlns:a="http://schemas.openxmlformats.org/drawingml/2006/main">
                  <a:graphicData uri="http://schemas.microsoft.com/office/word/2010/wordprocessingShape">
                    <wps:wsp>
                      <wps:cNvSpPr/>
                      <wps:spPr>
                        <a:xfrm>
                          <a:off x="0" y="0"/>
                          <a:ext cx="873760" cy="451484"/>
                        </a:xfrm>
                        <a:prstGeom prst="rect">
                          <a:avLst/>
                        </a:prstGeom>
                        <a:ln>
                          <a:noFill/>
                        </a:ln>
                      </wps:spPr>
                      <wps:txbx>
                        <w:txbxContent>
                          <w:p w14:paraId="3D079C75">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组织验收的限制</w:t>
                            </w:r>
                          </w:p>
                        </w:txbxContent>
                      </wps:txbx>
                      <wps:bodyPr wrap="square"/>
                    </wps:wsp>
                  </a:graphicData>
                </a:graphic>
              </wp:anchor>
            </w:drawing>
          </mc:Choice>
          <mc:Fallback>
            <w:pict>
              <v:rect id="0001c7" o:spid="_x0000_s1026" o:spt="1" style="position:absolute;left:0pt;margin-left:-9pt;margin-top:1.55pt;height:35.55pt;width:68.8pt;z-index:251907072;mso-width-relative:page;mso-height-relative:page;" filled="f" stroked="f" coordsize="21600,21600" o:gfxdata="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rjAti2QAAAAgBAAAPAAAAAAAAAAEAIAAAACIA&#10;AABkcnMvZG93bnJldi54bWxQSwECFAAUAAAACACHTuJA03D015YBAAA4AwAADgAAAAAAAAABACAA&#10;AAAoAQAAZHJzL2Uyb0RvYy54bWxQSwUGAAAAAAYABgBZAQAAMAUAAAAA&#10;">
                <v:fill on="f" focussize="0,0"/>
                <v:stroke on="f"/>
                <v:imagedata o:title=""/>
                <o:lock v:ext="edit" aspectratio="f"/>
                <v:textbox>
                  <w:txbxContent>
                    <w:p w14:paraId="3D079C75">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组织验收的限制</w:t>
                      </w:r>
                    </w:p>
                  </w:txbxContent>
                </v:textbox>
              </v:rect>
            </w:pict>
          </mc:Fallback>
        </mc:AlternateContent>
      </w:r>
      <w:r>
        <w:rPr>
          <w:rFonts w:hint="eastAsia" w:ascii="宋体" w:hAnsi="宋体" w:eastAsia="宋体" w:cs="宋体"/>
          <w:color w:val="auto"/>
          <w:sz w:val="24"/>
          <w:highlight w:val="none"/>
        </w:rPr>
        <w:t>发包人未按照第58.3款规定完成合同工程验收，或验收后14天内未予确认也未提出修改意见，视为承包人提交的竣工验收申请报告已被认可。</w:t>
      </w:r>
    </w:p>
    <w:p w14:paraId="025FD8CE">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竣工验收申请报告被认可，则表明已完成合同工程，视为竣工验收合格，但由于不可抗力事件致使发包人不能完成验收的除外。</w:t>
      </w:r>
    </w:p>
    <w:p w14:paraId="70AC9876">
      <w:pPr>
        <w:tabs>
          <w:tab w:val="left" w:pos="1620"/>
        </w:tabs>
        <w:adjustRightInd w:val="0"/>
        <w:snapToGrid w:val="0"/>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58.5 </w:t>
      </w:r>
      <w:r>
        <w:rPr>
          <w:rFonts w:hint="eastAsia" w:ascii="宋体" w:hAnsi="宋体" w:eastAsia="宋体" w:cs="宋体"/>
          <w:b/>
          <w:bCs/>
          <w:color w:val="auto"/>
          <w:sz w:val="24"/>
          <w:highlight w:val="none"/>
          <w:u w:val="dotted"/>
        </w:rPr>
        <w:t xml:space="preserve">                                                                                                        </w:t>
      </w:r>
    </w:p>
    <w:p w14:paraId="1ACB81C9">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908096"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1269" name="0001c8"/>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08D524AD">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不组织验收的责任</w:t>
                            </w:r>
                          </w:p>
                        </w:txbxContent>
                      </wps:txbx>
                      <wps:bodyPr wrap="square"/>
                    </wps:wsp>
                  </a:graphicData>
                </a:graphic>
              </wp:anchor>
            </w:drawing>
          </mc:Choice>
          <mc:Fallback>
            <w:pict>
              <v:rect id="0001c8" o:spid="_x0000_s1026" o:spt="1" style="position:absolute;left:0pt;margin-left:-9pt;margin-top:1.55pt;height:31.2pt;width:72pt;z-index:251908096;mso-width-relative:page;mso-height-relative:page;" filled="f" stroked="f" coordsize="21600,21600" o:gfxdata="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iSf8LYAAAACAEAAA8AAAAAAAAAAQAgAAAAIgAA&#10;AGRycy9kb3ducmV2LnhtbFBLAQIUABQAAAAIAIdO4kD4m+WslgEAADgDAAAOAAAAAAAAAAEAIAAA&#10;ACcBAABkcnMvZTJvRG9jLnhtbFBLBQYAAAAABgAGAFkBAAAvBQAAAAA=&#10;">
                <v:fill on="f" focussize="0,0"/>
                <v:stroke on="f"/>
                <v:imagedata o:title=""/>
                <o:lock v:ext="edit" aspectratio="f"/>
                <v:textbox>
                  <w:txbxContent>
                    <w:p w14:paraId="08D524AD">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不组织验收的责任</w:t>
                      </w:r>
                    </w:p>
                  </w:txbxContent>
                </v:textbox>
              </v:rect>
            </w:pict>
          </mc:Fallback>
        </mc:AlternateContent>
      </w:r>
      <w:r>
        <w:rPr>
          <w:rFonts w:hint="eastAsia" w:ascii="宋体" w:hAnsi="宋体" w:eastAsia="宋体" w:cs="宋体"/>
          <w:color w:val="auto"/>
          <w:sz w:val="24"/>
          <w:highlight w:val="none"/>
        </w:rPr>
        <w:t>发包人未按照第58.3款规定完成合同工程验收，从收到监理工程师书面提请后的第29天起承担合同工程照管责任和其他一切意外责任。</w:t>
      </w:r>
    </w:p>
    <w:p w14:paraId="5D1EE450">
      <w:pPr>
        <w:tabs>
          <w:tab w:val="left" w:pos="1620"/>
        </w:tabs>
        <w:adjustRightInd w:val="0"/>
        <w:snapToGrid w:val="0"/>
        <w:spacing w:line="30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58.6</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646728F3">
      <w:pPr>
        <w:spacing w:line="300" w:lineRule="auto"/>
        <w:ind w:left="1620" w:leftChars="771" w:hanging="1"/>
        <w:rPr>
          <w:rFonts w:hint="eastAsia" w:ascii="宋体" w:hAnsi="宋体" w:eastAsia="宋体" w:cs="宋体"/>
          <w:color w:val="auto"/>
          <w:sz w:val="24"/>
          <w:highlight w:val="none"/>
        </w:rPr>
      </w:pPr>
      <w:r>
        <w:rPr>
          <w:rFonts w:hint="eastAsia" w:ascii="宋体" w:hAnsi="宋体" w:eastAsia="宋体" w:cs="宋体"/>
          <w:color w:val="auto"/>
          <w:sz w:val="24"/>
          <w:highlight w:val="none"/>
        </w:rPr>
        <w:t>竣工</w:t>
      </w:r>
      <w:r>
        <w:rPr>
          <w:rFonts w:hint="eastAsia" w:ascii="宋体" w:hAnsi="宋体" w:eastAsia="宋体" w:cs="宋体"/>
          <w:color w:val="auto"/>
          <w:sz w:val="24"/>
          <w:highlight w:val="none"/>
        </w:rPr>
        <mc:AlternateContent>
          <mc:Choice Requires="wps">
            <w:drawing>
              <wp:anchor distT="0" distB="0" distL="0" distR="0" simplePos="0" relativeHeight="251909120"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1270" name="0001c9"/>
                <wp:cNvGraphicFramePr/>
                <a:graphic xmlns:a="http://schemas.openxmlformats.org/drawingml/2006/main">
                  <a:graphicData uri="http://schemas.microsoft.com/office/word/2010/wordprocessingShape">
                    <wps:wsp>
                      <wps:cNvSpPr/>
                      <wps:spPr>
                        <a:xfrm>
                          <a:off x="0" y="0"/>
                          <a:ext cx="914400" cy="395605"/>
                        </a:xfrm>
                        <a:prstGeom prst="rect">
                          <a:avLst/>
                        </a:prstGeom>
                        <a:ln>
                          <a:noFill/>
                        </a:ln>
                      </wps:spPr>
                      <wps:txbx>
                        <w:txbxContent>
                          <w:p w14:paraId="4A822711">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接收工程</w:t>
                            </w:r>
                          </w:p>
                        </w:txbxContent>
                      </wps:txbx>
                      <wps:bodyPr wrap="square"/>
                    </wps:wsp>
                  </a:graphicData>
                </a:graphic>
              </wp:anchor>
            </w:drawing>
          </mc:Choice>
          <mc:Fallback>
            <w:pict>
              <v:rect id="0001c9" o:spid="_x0000_s1026" o:spt="1" style="position:absolute;left:0pt;margin-left:-9pt;margin-top:0.35pt;height:31.15pt;width:72pt;z-index:251909120;mso-width-relative:page;mso-height-relative:page;" filled="f" stroked="f" coordsize="21600,21600" o:gfxdata="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DMTdb1wAAAAcBAAAPAAAAAAAAAAEAIAAAACIAAABk&#10;cnMvZG93bnJldi54bWxQSwECFAAUAAAACACHTuJAhbHMHZUBAAA4AwAADgAAAAAAAAABACAAAAAm&#10;AQAAZHJzL2Uyb0RvYy54bWxQSwUGAAAAAAYABgBZAQAALQUAAAAA&#10;">
                <v:fill on="f" focussize="0,0"/>
                <v:stroke on="f"/>
                <v:imagedata o:title=""/>
                <o:lock v:ext="edit" aspectratio="f"/>
                <v:textbox>
                  <w:txbxContent>
                    <w:p w14:paraId="4A822711">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接收工程</w:t>
                      </w:r>
                    </w:p>
                  </w:txbxContent>
                </v:textbox>
              </v:rect>
            </w:pict>
          </mc:Fallback>
        </mc:AlternateContent>
      </w:r>
      <w:r>
        <w:rPr>
          <w:rFonts w:hint="eastAsia" w:ascii="宋体" w:hAnsi="宋体" w:eastAsia="宋体" w:cs="宋体"/>
          <w:color w:val="auto"/>
          <w:sz w:val="24"/>
          <w:highlight w:val="none"/>
        </w:rPr>
        <w:t>验收合格的，发包人应接收工程，并在收到承包人提交的竣工验收申请报告后的56天内向承包人颁发工程接收证书。</w:t>
      </w:r>
    </w:p>
    <w:p w14:paraId="65A77613">
      <w:pPr>
        <w:spacing w:line="300" w:lineRule="auto"/>
        <w:ind w:left="1620" w:leftChars="771" w:hanging="1"/>
        <w:rPr>
          <w:rFonts w:hint="eastAsia" w:ascii="宋体" w:hAnsi="宋体" w:eastAsia="宋体" w:cs="宋体"/>
          <w:color w:val="auto"/>
          <w:sz w:val="24"/>
          <w:highlight w:val="none"/>
        </w:rPr>
      </w:pPr>
      <w:r>
        <w:rPr>
          <w:rFonts w:hint="eastAsia" w:ascii="宋体" w:hAnsi="宋体" w:eastAsia="宋体" w:cs="宋体"/>
          <w:color w:val="auto"/>
          <w:sz w:val="24"/>
          <w:highlight w:val="none"/>
        </w:rPr>
        <w:t>竣工验收后，发包人同意接收工程但提出限期整修和完善要求的，发包人应缓发工程接收证书。承包人整修和完善工作完成后，监理工程师核查达到要求的，发包人应向承包人颁发工程接收证书。</w:t>
      </w:r>
    </w:p>
    <w:p w14:paraId="764AC486">
      <w:pPr>
        <w:spacing w:line="300" w:lineRule="auto"/>
        <w:ind w:left="1619" w:leftChars="771" w:firstLine="1"/>
        <w:rPr>
          <w:rFonts w:hint="eastAsia" w:ascii="宋体" w:hAnsi="宋体" w:eastAsia="宋体" w:cs="宋体"/>
          <w:color w:val="auto"/>
          <w:sz w:val="24"/>
          <w:highlight w:val="none"/>
        </w:rPr>
      </w:pPr>
      <w:r>
        <w:rPr>
          <w:rFonts w:hint="eastAsia" w:ascii="宋体" w:hAnsi="宋体" w:eastAsia="宋体" w:cs="宋体"/>
          <w:color w:val="auto"/>
          <w:sz w:val="24"/>
          <w:highlight w:val="none"/>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14:paraId="2B874063">
      <w:pPr>
        <w:tabs>
          <w:tab w:val="left" w:pos="1620"/>
        </w:tabs>
        <w:adjustRightInd w:val="0"/>
        <w:snapToGrid w:val="0"/>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58.7 </w:t>
      </w:r>
      <w:r>
        <w:rPr>
          <w:rFonts w:hint="eastAsia" w:ascii="宋体" w:hAnsi="宋体" w:eastAsia="宋体" w:cs="宋体"/>
          <w:b/>
          <w:bCs/>
          <w:color w:val="auto"/>
          <w:sz w:val="24"/>
          <w:highlight w:val="none"/>
          <w:u w:val="dotted"/>
        </w:rPr>
        <w:t xml:space="preserve">                                                                                                        </w:t>
      </w:r>
    </w:p>
    <w:p w14:paraId="76B07EBE">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910144"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1271" name="0001ca"/>
                <wp:cNvGraphicFramePr/>
                <a:graphic xmlns:a="http://schemas.openxmlformats.org/drawingml/2006/main">
                  <a:graphicData uri="http://schemas.microsoft.com/office/word/2010/wordprocessingShape">
                    <wps:wsp>
                      <wps:cNvSpPr/>
                      <wps:spPr>
                        <a:xfrm>
                          <a:off x="0" y="0"/>
                          <a:ext cx="914400" cy="395605"/>
                        </a:xfrm>
                        <a:prstGeom prst="rect">
                          <a:avLst/>
                        </a:prstGeom>
                        <a:ln>
                          <a:noFill/>
                        </a:ln>
                      </wps:spPr>
                      <wps:txbx>
                        <w:txbxContent>
                          <w:p w14:paraId="03123D37">
                            <w:pPr>
                              <w:spacing w:line="240" w:lineRule="exact"/>
                              <w:rPr>
                                <w:rFonts w:hint="eastAsia" w:ascii="宋体"/>
                                <w:sz w:val="18"/>
                                <w:szCs w:val="18"/>
                              </w:rPr>
                            </w:pPr>
                            <w:r>
                              <w:rPr>
                                <w:rFonts w:hint="eastAsia" w:ascii="楷体_GB2312" w:hAnsi="宋体" w:eastAsia="楷体_GB2312" w:cs="楷体_GB2312"/>
                                <w:b/>
                                <w:bCs/>
                                <w:color w:val="000000"/>
                                <w:sz w:val="18"/>
                                <w:szCs w:val="18"/>
                              </w:rPr>
                              <w:t>竣工日期的写明</w:t>
                            </w:r>
                          </w:p>
                        </w:txbxContent>
                      </wps:txbx>
                      <wps:bodyPr wrap="square"/>
                    </wps:wsp>
                  </a:graphicData>
                </a:graphic>
              </wp:anchor>
            </w:drawing>
          </mc:Choice>
          <mc:Fallback>
            <w:pict>
              <v:rect id="0001ca" o:spid="_x0000_s1026" o:spt="1" style="position:absolute;left:0pt;margin-left:-9pt;margin-top:0.35pt;height:31.15pt;width:72pt;z-index:251910144;mso-width-relative:page;mso-height-relative:page;" filled="f" stroked="f" coordsize="21600,21600" o:gfxdata="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DMTdb1wAAAAcBAAAPAAAAAAAAAAEAIAAAACIAAABk&#10;cnMvZG93bnJldi54bWxQSwECFAAUAAAACACHTuJAJ9cBEZUBAAA4AwAADgAAAAAAAAABACAAAAAm&#10;AQAAZHJzL2Uyb0RvYy54bWxQSwUGAAAAAAYABgBZAQAALQUAAAAA&#10;">
                <v:fill on="f" focussize="0,0"/>
                <v:stroke on="f"/>
                <v:imagedata o:title=""/>
                <o:lock v:ext="edit" aspectratio="f"/>
                <v:textbox>
                  <w:txbxContent>
                    <w:p w14:paraId="03123D37">
                      <w:pPr>
                        <w:spacing w:line="240" w:lineRule="exact"/>
                        <w:rPr>
                          <w:rFonts w:hint="eastAsia" w:ascii="宋体"/>
                          <w:sz w:val="18"/>
                          <w:szCs w:val="18"/>
                        </w:rPr>
                      </w:pPr>
                      <w:r>
                        <w:rPr>
                          <w:rFonts w:hint="eastAsia" w:ascii="楷体_GB2312" w:hAnsi="宋体" w:eastAsia="楷体_GB2312" w:cs="楷体_GB2312"/>
                          <w:b/>
                          <w:bCs/>
                          <w:color w:val="000000"/>
                          <w:sz w:val="18"/>
                          <w:szCs w:val="18"/>
                        </w:rPr>
                        <w:t>竣工日期的写明</w:t>
                      </w:r>
                    </w:p>
                  </w:txbxContent>
                </v:textbox>
              </v:rect>
            </w:pict>
          </mc:Fallback>
        </mc:AlternateContent>
      </w:r>
      <w:r>
        <w:rPr>
          <w:rFonts w:hint="eastAsia" w:ascii="宋体" w:hAnsi="宋体" w:eastAsia="宋体" w:cs="宋体"/>
          <w:color w:val="auto"/>
          <w:sz w:val="24"/>
          <w:highlight w:val="none"/>
        </w:rPr>
        <w:t>竣工验收合格的合同工程，发包人应按照第38.2款规定在工程接收证书上写明合同工程的实际竣工日期。</w:t>
      </w:r>
    </w:p>
    <w:p w14:paraId="3139E0D8">
      <w:pPr>
        <w:tabs>
          <w:tab w:val="left" w:pos="1620"/>
        </w:tabs>
        <w:adjustRightInd w:val="0"/>
        <w:snapToGrid w:val="0"/>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58.8  </w:t>
      </w:r>
      <w:r>
        <w:rPr>
          <w:rFonts w:hint="eastAsia" w:ascii="宋体" w:hAnsi="宋体" w:eastAsia="宋体" w:cs="宋体"/>
          <w:b/>
          <w:bCs/>
          <w:color w:val="auto"/>
          <w:sz w:val="24"/>
          <w:highlight w:val="none"/>
          <w:u w:val="dotted"/>
        </w:rPr>
        <w:t xml:space="preserve">                                                                                                        </w:t>
      </w:r>
    </w:p>
    <w:p w14:paraId="0BA63673">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911168"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1272" name="0001cb"/>
                <wp:cNvGraphicFramePr/>
                <a:graphic xmlns:a="http://schemas.openxmlformats.org/drawingml/2006/main">
                  <a:graphicData uri="http://schemas.microsoft.com/office/word/2010/wordprocessingShape">
                    <wps:wsp>
                      <wps:cNvSpPr/>
                      <wps:spPr>
                        <a:xfrm>
                          <a:off x="0" y="0"/>
                          <a:ext cx="914400" cy="1252855"/>
                        </a:xfrm>
                        <a:prstGeom prst="rect">
                          <a:avLst/>
                        </a:prstGeom>
                        <a:ln>
                          <a:noFill/>
                        </a:ln>
                      </wps:spPr>
                      <wps:txbx>
                        <w:txbxContent>
                          <w:p w14:paraId="23D3B7EA">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单位工程或工程部位验收</w:t>
                            </w:r>
                          </w:p>
                        </w:txbxContent>
                      </wps:txbx>
                      <wps:bodyPr wrap="square"/>
                    </wps:wsp>
                  </a:graphicData>
                </a:graphic>
              </wp:anchor>
            </w:drawing>
          </mc:Choice>
          <mc:Fallback>
            <w:pict>
              <v:rect id="0001cb" o:spid="_x0000_s1026" o:spt="1" style="position:absolute;left:0pt;margin-left:-9pt;margin-top:0.35pt;height:98.65pt;width:72pt;z-index:251911168;mso-width-relative:page;mso-height-relative:page;" filled="f" stroked="f" coordsize="21600,21600" o:gfxdata="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QLZdI9cAAAAIAQAADwAAAAAAAAABACAAAAAiAAAA&#10;ZHJzL2Rvd25yZXYueG1sUEsBAhQAFAAAAAgAh07iQDvt4qSWAQAAOQMAAA4AAAAAAAAAAQAgAAAA&#10;JgEAAGRycy9lMm9Eb2MueG1sUEsFBgAAAAAGAAYAWQEAAC4FAAAAAA==&#10;">
                <v:fill on="f" focussize="0,0"/>
                <v:stroke on="f"/>
                <v:imagedata o:title=""/>
                <o:lock v:ext="edit" aspectratio="f"/>
                <v:textbox>
                  <w:txbxContent>
                    <w:p w14:paraId="23D3B7EA">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单位工程或工程部位验收</w:t>
                      </w:r>
                    </w:p>
                  </w:txbxContent>
                </v:textbox>
              </v:rect>
            </w:pict>
          </mc:Fallback>
        </mc:AlternateContent>
      </w:r>
      <w:r>
        <w:rPr>
          <w:rFonts w:hint="eastAsia" w:ascii="宋体" w:hAnsi="宋体" w:eastAsia="宋体" w:cs="宋体"/>
          <w:color w:val="auto"/>
          <w:sz w:val="24"/>
          <w:highlight w:val="none"/>
        </w:rPr>
        <w:t>发包人要求某一单位工程或任一工程部位提前办理竣工验收的，应与承包人签订单位工程或工程部位竣工验收协议，作为本合同的附件。</w:t>
      </w:r>
    </w:p>
    <w:p w14:paraId="1B2AC84F">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1）发包人根据合同进度计划安排，在全部工程竣工前需要使用已经竣工的单位工程或工程部位时，或承包人提出经发包人同意时，可进行单位工程或工程部位验收。验收的程序可参照第57条和本条上述相关条款规定进行。验收合格后，发包人应向承包人颁发单位工程或工程部位接收证书，并负责照管。单位工程或工程部位的验收成果和结论，作为全部工程竣工验收申请报告的附件。</w:t>
      </w:r>
    </w:p>
    <w:p w14:paraId="231DBC25">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（2）发包人在全部工程竣工前，使用已接收的单位工程或工程部位导致承包人费用增加的，发包人应承担由此增加的费用和（或）延误的工期，并向承包人支付合理利润。</w:t>
      </w:r>
    </w:p>
    <w:p w14:paraId="1393CB09">
      <w:pPr>
        <w:adjustRightInd w:val="0"/>
        <w:snapToGrid w:val="0"/>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58.9  </w:t>
      </w:r>
      <w:r>
        <w:rPr>
          <w:rFonts w:hint="eastAsia" w:ascii="宋体" w:hAnsi="宋体" w:eastAsia="宋体" w:cs="宋体"/>
          <w:b/>
          <w:bCs/>
          <w:color w:val="auto"/>
          <w:sz w:val="24"/>
          <w:highlight w:val="none"/>
          <w:u w:val="dotted"/>
        </w:rPr>
        <w:t xml:space="preserve">                                                                                                        </w:t>
      </w:r>
    </w:p>
    <w:p w14:paraId="7A6451A9">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912192"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273" name="0001cc"/>
                <wp:cNvGraphicFramePr/>
                <a:graphic xmlns:a="http://schemas.openxmlformats.org/drawingml/2006/main">
                  <a:graphicData uri="http://schemas.microsoft.com/office/word/2010/wordprocessingShape">
                    <wps:wsp>
                      <wps:cNvSpPr/>
                      <wps:spPr>
                        <a:xfrm>
                          <a:off x="0" y="0"/>
                          <a:ext cx="914400" cy="590550"/>
                        </a:xfrm>
                        <a:prstGeom prst="rect">
                          <a:avLst/>
                        </a:prstGeom>
                        <a:ln>
                          <a:noFill/>
                        </a:ln>
                      </wps:spPr>
                      <wps:txbx>
                        <w:txbxContent>
                          <w:p w14:paraId="237564E8">
                            <w:pPr>
                              <w:spacing w:line="240" w:lineRule="exact"/>
                              <w:rPr>
                                <w:rFonts w:hint="eastAsia" w:ascii="楷体_GB2312" w:hAnsi="宋体" w:eastAsia="楷体_GB2312"/>
                                <w:sz w:val="18"/>
                                <w:szCs w:val="18"/>
                              </w:rPr>
                            </w:pPr>
                            <w:r>
                              <w:rPr>
                                <w:rFonts w:hint="eastAsia" w:ascii="楷体_GB2312" w:hAnsi="宋体" w:eastAsia="楷体_GB2312" w:cs="楷体_GB2312"/>
                                <w:b/>
                                <w:bCs/>
                                <w:color w:val="000000"/>
                                <w:sz w:val="18"/>
                                <w:szCs w:val="18"/>
                              </w:rPr>
                              <w:t>施工期运行</w:t>
                            </w:r>
                          </w:p>
                        </w:txbxContent>
                      </wps:txbx>
                      <wps:bodyPr wrap="square"/>
                    </wps:wsp>
                  </a:graphicData>
                </a:graphic>
              </wp:anchor>
            </w:drawing>
          </mc:Choice>
          <mc:Fallback>
            <w:pict>
              <v:rect id="0001cc" o:spid="_x0000_s1026" o:spt="1" style="position:absolute;left:0pt;margin-left:-9pt;margin-top:0.3pt;height:46.5pt;width:72pt;z-index:251912192;mso-width-relative:page;mso-height-relative:page;" filled="f" stroked="f" coordsize="21600,21600" o:gfxdata="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a2GOH9cAAAAHAQAADwAAAAAAAAABACAAAAAiAAAA&#10;ZHJzL2Rvd25yZXYueG1sUEsBAhQAFAAAAAgAh07iQHwd8fiWAQAAOAMAAA4AAAAAAAAAAQAgAAAA&#10;JgEAAGRycy9lMm9Eb2MueG1sUEsFBgAAAAAGAAYAWQEAAC4FAAAAAA==&#10;">
                <v:fill on="f" focussize="0,0"/>
                <v:stroke on="f"/>
                <v:imagedata o:title=""/>
                <o:lock v:ext="edit" aspectratio="f"/>
                <v:textbox>
                  <w:txbxContent>
                    <w:p w14:paraId="237564E8">
                      <w:pPr>
                        <w:spacing w:line="240" w:lineRule="exact"/>
                        <w:rPr>
                          <w:rFonts w:hint="eastAsia" w:ascii="楷体_GB2312" w:hAnsi="宋体" w:eastAsia="楷体_GB2312"/>
                          <w:sz w:val="18"/>
                          <w:szCs w:val="18"/>
                        </w:rPr>
                      </w:pPr>
                      <w:r>
                        <w:rPr>
                          <w:rFonts w:hint="eastAsia" w:ascii="楷体_GB2312" w:hAnsi="宋体" w:eastAsia="楷体_GB2312" w:cs="楷体_GB2312"/>
                          <w:b/>
                          <w:bCs/>
                          <w:color w:val="000000"/>
                          <w:sz w:val="18"/>
                          <w:szCs w:val="18"/>
                        </w:rPr>
                        <w:t>施工期运行</w:t>
                      </w:r>
                    </w:p>
                  </w:txbxContent>
                </v:textbox>
              </v:rect>
            </w:pict>
          </mc:Fallback>
        </mc:AlternateContent>
      </w:r>
      <w:r>
        <w:rPr>
          <w:rFonts w:hint="eastAsia" w:ascii="宋体" w:hAnsi="宋体" w:eastAsia="宋体" w:cs="宋体"/>
          <w:color w:val="auto"/>
          <w:sz w:val="24"/>
          <w:highlight w:val="none"/>
        </w:rPr>
        <w:t>合同工程尚未全部竣工（其中某项或某几项单位工程或工程部位已竣工），根据合同约定需要在施工期运行的，应由发包人按照第58.8款规定验收合格，并确保安全后，才能投入施工期运行。</w:t>
      </w:r>
    </w:p>
    <w:p w14:paraId="3D5ACE19">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在施工期运行中，发现单位工程或工程部位存在缺陷或损坏的，由承包人按照第59.3款规定进行修复。</w:t>
      </w:r>
    </w:p>
    <w:p w14:paraId="78CB4C04">
      <w:pPr>
        <w:adjustRightInd w:val="0"/>
        <w:snapToGrid w:val="0"/>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58.10  </w:t>
      </w:r>
      <w:r>
        <w:rPr>
          <w:rFonts w:hint="eastAsia" w:ascii="宋体" w:hAnsi="宋体" w:eastAsia="宋体" w:cs="宋体"/>
          <w:b/>
          <w:bCs/>
          <w:color w:val="auto"/>
          <w:sz w:val="24"/>
          <w:highlight w:val="none"/>
          <w:u w:val="dotted"/>
        </w:rPr>
        <w:t xml:space="preserve">                                                                                                        </w:t>
      </w:r>
    </w:p>
    <w:p w14:paraId="6BAB21F9">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913216"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274" name="0001cd"/>
                <wp:cNvGraphicFramePr/>
                <a:graphic xmlns:a="http://schemas.openxmlformats.org/drawingml/2006/main">
                  <a:graphicData uri="http://schemas.microsoft.com/office/word/2010/wordprocessingShape">
                    <wps:wsp>
                      <wps:cNvSpPr/>
                      <wps:spPr>
                        <a:xfrm>
                          <a:off x="0" y="0"/>
                          <a:ext cx="914400" cy="590550"/>
                        </a:xfrm>
                        <a:prstGeom prst="rect">
                          <a:avLst/>
                        </a:prstGeom>
                        <a:ln>
                          <a:noFill/>
                        </a:ln>
                      </wps:spPr>
                      <wps:txbx>
                        <w:txbxContent>
                          <w:p w14:paraId="25B3542D">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竣工清场</w:t>
                            </w:r>
                          </w:p>
                        </w:txbxContent>
                      </wps:txbx>
                      <wps:bodyPr wrap="square"/>
                    </wps:wsp>
                  </a:graphicData>
                </a:graphic>
              </wp:anchor>
            </w:drawing>
          </mc:Choice>
          <mc:Fallback>
            <w:pict>
              <v:rect id="0001cd" o:spid="_x0000_s1026" o:spt="1" style="position:absolute;left:0pt;margin-left:-9pt;margin-top:0.3pt;height:46.5pt;width:72pt;z-index:251913216;mso-width-relative:page;mso-height-relative:page;" filled="f" stroked="f" coordsize="21600,21600" o:gfxdata="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a2GOH9cAAAAHAQAADwAAAAAAAAABACAAAAAiAAAA&#10;ZHJzL2Rvd25yZXYueG1sUEsBAhQAFAAAAAgAh07iQCSLsjaWAQAAOAMAAA4AAAAAAAAAAQAgAAAA&#10;JgEAAGRycy9lMm9Eb2MueG1sUEsFBgAAAAAGAAYAWQEAAC4FAAAAAA==&#10;">
                <v:fill on="f" focussize="0,0"/>
                <v:stroke on="f"/>
                <v:imagedata o:title=""/>
                <o:lock v:ext="edit" aspectratio="f"/>
                <v:textbox>
                  <w:txbxContent>
                    <w:p w14:paraId="25B3542D">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竣工清场</w:t>
                      </w:r>
                    </w:p>
                  </w:txbxContent>
                </v:textbox>
              </v:rect>
            </w:pict>
          </mc:Fallback>
        </mc:AlternateContent>
      </w:r>
      <w:r>
        <w:rPr>
          <w:rFonts w:hint="eastAsia" w:ascii="宋体" w:hAnsi="宋体" w:eastAsia="宋体" w:cs="宋体"/>
          <w:color w:val="auto"/>
          <w:sz w:val="24"/>
          <w:highlight w:val="none"/>
        </w:rPr>
        <w:t>专用条款没有约定的，工程接收证书颁发后，承包人应按照下列要求对施工场地进行清理，直至监理工程师检验合格为止。竣工清场费用由承包人承担。</w:t>
      </w:r>
    </w:p>
    <w:p w14:paraId="46C266C8">
      <w:pPr>
        <w:spacing w:line="300" w:lineRule="auto"/>
        <w:ind w:firstLine="1620" w:firstLineChars="675"/>
        <w:rPr>
          <w:rFonts w:hint="eastAsia" w:ascii="宋体" w:hAnsi="宋体" w:eastAsia="宋体" w:cs="宋体"/>
          <w:color w:val="auto"/>
          <w:sz w:val="24"/>
          <w:highlight w:val="none"/>
        </w:rPr>
      </w:pPr>
      <w:r>
        <w:rPr>
          <w:rFonts w:hint="eastAsia" w:ascii="宋体" w:hAnsi="宋体" w:eastAsia="宋体" w:cs="宋体"/>
          <w:color w:val="auto"/>
          <w:sz w:val="24"/>
          <w:highlight w:val="none"/>
        </w:rPr>
        <w:t>（1）施工场地内残留的垃圾已全部清除出场；</w:t>
      </w:r>
    </w:p>
    <w:p w14:paraId="69A1904F">
      <w:pPr>
        <w:spacing w:line="300" w:lineRule="auto"/>
        <w:ind w:left="1628" w:leftChars="775"/>
        <w:rPr>
          <w:rFonts w:hint="eastAsia" w:ascii="宋体" w:hAnsi="宋体" w:eastAsia="宋体" w:cs="宋体"/>
          <w:color w:val="auto"/>
          <w:sz w:val="24"/>
          <w:highlight w:val="none"/>
        </w:rPr>
      </w:pPr>
      <w:r>
        <w:rPr>
          <w:rFonts w:hint="eastAsia" w:ascii="宋体" w:hAnsi="宋体" w:eastAsia="宋体" w:cs="宋体"/>
          <w:color w:val="auto"/>
          <w:sz w:val="24"/>
          <w:highlight w:val="none"/>
        </w:rPr>
        <w:t>（2）临时设施已拆除，场地已按照合同要求进行清理、平整或 复原；</w:t>
      </w:r>
    </w:p>
    <w:p w14:paraId="71B6EE68">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（3）按照合同约定应撤离的承包人设备和剩余的材料，包括废弃的施工设备和材料，已按照计划撤离施工场地；</w:t>
      </w:r>
    </w:p>
    <w:p w14:paraId="2A3BE423">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（4）建筑物周边及其附近道路、河道的施工堆积物，已按照监理工程师指令全部清理；</w:t>
      </w:r>
    </w:p>
    <w:p w14:paraId="60E6752C">
      <w:pPr>
        <w:spacing w:line="300" w:lineRule="auto"/>
        <w:ind w:firstLine="1620" w:firstLineChars="675"/>
        <w:rPr>
          <w:rFonts w:hint="eastAsia" w:ascii="宋体" w:hAnsi="宋体" w:eastAsia="宋体" w:cs="宋体"/>
          <w:color w:val="auto"/>
          <w:sz w:val="24"/>
          <w:highlight w:val="none"/>
        </w:rPr>
      </w:pPr>
      <w:r>
        <w:rPr>
          <w:rFonts w:hint="eastAsia" w:ascii="宋体" w:hAnsi="宋体" w:eastAsia="宋体" w:cs="宋体"/>
          <w:color w:val="auto"/>
          <w:sz w:val="24"/>
          <w:highlight w:val="none"/>
        </w:rPr>
        <w:t>（5）监理工程师指令的其他场地清理工作已全部完成。</w:t>
      </w:r>
    </w:p>
    <w:p w14:paraId="045E4E38">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如承包人未按照监理工程师的要求恢复临时占地，或者场地清理未达到合同约定的，发包人可自行或委托第三方恢复或清理，所发生的费用从应支付或将支付给承包人的款项中扣除。</w:t>
      </w:r>
    </w:p>
    <w:p w14:paraId="70E618DD">
      <w:pPr>
        <w:adjustRightInd w:val="0"/>
        <w:snapToGrid w:val="0"/>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58.11 </w:t>
      </w:r>
      <w:r>
        <w:rPr>
          <w:rFonts w:hint="eastAsia" w:ascii="宋体" w:hAnsi="宋体" w:eastAsia="宋体" w:cs="宋体"/>
          <w:b/>
          <w:bCs/>
          <w:color w:val="auto"/>
          <w:sz w:val="24"/>
          <w:highlight w:val="none"/>
          <w:u w:val="dotted"/>
        </w:rPr>
        <w:t xml:space="preserve">                                                                                                        </w:t>
      </w:r>
    </w:p>
    <w:p w14:paraId="23845B0E">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914240"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275" name="0001ce"/>
                <wp:cNvGraphicFramePr/>
                <a:graphic xmlns:a="http://schemas.openxmlformats.org/drawingml/2006/main">
                  <a:graphicData uri="http://schemas.microsoft.com/office/word/2010/wordprocessingShape">
                    <wps:wsp>
                      <wps:cNvSpPr/>
                      <wps:spPr>
                        <a:xfrm>
                          <a:off x="0" y="0"/>
                          <a:ext cx="914400" cy="590550"/>
                        </a:xfrm>
                        <a:prstGeom prst="rect">
                          <a:avLst/>
                        </a:prstGeom>
                        <a:ln>
                          <a:noFill/>
                        </a:ln>
                      </wps:spPr>
                      <wps:txbx>
                        <w:txbxContent>
                          <w:p w14:paraId="48989733">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施工队伍的撤离</w:t>
                            </w:r>
                          </w:p>
                        </w:txbxContent>
                      </wps:txbx>
                      <wps:bodyPr wrap="square"/>
                    </wps:wsp>
                  </a:graphicData>
                </a:graphic>
              </wp:anchor>
            </w:drawing>
          </mc:Choice>
          <mc:Fallback>
            <w:pict>
              <v:rect id="0001ce" o:spid="_x0000_s1026" o:spt="1" style="position:absolute;left:0pt;margin-left:-9pt;margin-top:0.3pt;height:46.5pt;width:72pt;z-index:251914240;mso-width-relative:page;mso-height-relative:page;" filled="f" stroked="f" coordsize="21600,21600" o:gfxdata="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&#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rYY4f1wAAAAcBAAAPAAAAAAAAAAEAIAAAACIAAABk&#10;cnMvZG93bnJldi54bWxQSwECFAAUAAAACACHTuJAl9YPXJUBAAA4AwAADgAAAAAAAAABACAAAAAm&#10;AQAAZHJzL2Uyb0RvYy54bWxQSwUGAAAAAAYABgBZAQAALQUAAAAA&#10;">
                <v:fill on="f" focussize="0,0"/>
                <v:stroke on="f"/>
                <v:imagedata o:title=""/>
                <o:lock v:ext="edit" aspectratio="f"/>
                <v:textbox>
                  <w:txbxContent>
                    <w:p w14:paraId="48989733">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施工队伍的撤离</w:t>
                      </w:r>
                    </w:p>
                  </w:txbxContent>
                </v:textbox>
              </v:rect>
            </w:pict>
          </mc:Fallback>
        </mc:AlternateContent>
      </w:r>
      <w:r>
        <w:rPr>
          <w:rFonts w:hint="eastAsia" w:ascii="宋体" w:hAnsi="宋体" w:eastAsia="宋体" w:cs="宋体"/>
          <w:color w:val="auto"/>
          <w:sz w:val="24"/>
          <w:highlight w:val="none"/>
        </w:rPr>
        <w:t>工程接收证书颁发后的56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14:paraId="50F4D645">
      <w:pPr>
        <w:tabs>
          <w:tab w:val="left" w:pos="1620"/>
        </w:tabs>
        <w:adjustRightInd w:val="0"/>
        <w:snapToGrid w:val="0"/>
        <w:spacing w:line="30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915264"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1276" name="0001cf"/>
                <wp:cNvGraphicFramePr/>
                <a:graphic xmlns:a="http://schemas.openxmlformats.org/drawingml/2006/main">
                  <a:graphicData uri="http://schemas.microsoft.com/office/word/2010/wordprocessingShape">
                    <wps:wsp>
                      <wps:cNvSpPr/>
                      <wps:spPr>
                        <a:xfrm>
                          <a:off x="0" y="0"/>
                          <a:ext cx="914400" cy="591185"/>
                        </a:xfrm>
                        <a:prstGeom prst="rect">
                          <a:avLst/>
                        </a:prstGeom>
                        <a:ln>
                          <a:noFill/>
                        </a:ln>
                      </wps:spPr>
                      <wps:txbx>
                        <w:txbxContent>
                          <w:p w14:paraId="7569B158">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wps:txbx>
                      <wps:bodyPr wrap="square"/>
                    </wps:wsp>
                  </a:graphicData>
                </a:graphic>
              </wp:anchor>
            </w:drawing>
          </mc:Choice>
          <mc:Fallback>
            <w:pict>
              <v:rect id="0001cf" o:spid="_x0000_s1026" o:spt="1" style="position:absolute;left:0pt;margin-left:-5.25pt;margin-top:23.55pt;height:46.55pt;width:72pt;z-index:251915264;mso-width-relative:page;mso-height-relative:page;" filled="f" stroked="f" coordsize="21600,21600" o:gfxdata="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BYMOiDaAAAACgEAAA8AAAAAAAAAAQAgAAAAIgAA&#10;AGRycy9kb3ducmV2LnhtbFBLAQIUABQAAAAIAIdO4kCE7ogplAEAADgDAAAOAAAAAAAAAAEAIAAA&#10;ACkBAABkcnMvZTJvRG9jLnhtbFBLBQYAAAAABgAGAFkBAAAvBQAAAAA=&#10;">
                <v:fill on="f" focussize="0,0"/>
                <v:stroke on="f"/>
                <v:imagedata o:title=""/>
                <o:lock v:ext="edit" aspectratio="f"/>
                <v:textbox>
                  <w:txbxContent>
                    <w:p w14:paraId="7569B158">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v:textbox>
              </v:rect>
            </w:pict>
          </mc:Fallback>
        </mc:AlternateContent>
      </w:r>
      <w:r>
        <w:rPr>
          <w:rFonts w:hint="eastAsia" w:ascii="宋体" w:hAnsi="宋体" w:eastAsia="宋体" w:cs="宋体"/>
          <w:b/>
          <w:bCs/>
          <w:color w:val="auto"/>
          <w:sz w:val="24"/>
          <w:highlight w:val="none"/>
        </w:rPr>
        <w:t>58.12</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0B09AED2">
      <w:pPr>
        <w:pStyle w:val="35"/>
        <w:adjustRightInd w:val="0"/>
        <w:snapToGrid w:val="0"/>
        <w:spacing w:line="300" w:lineRule="auto"/>
        <w:ind w:left="1619" w:leftChars="771"/>
        <w:rPr>
          <w:rFonts w:hint="eastAsia" w:ascii="宋体" w:eastAsia="宋体" w:cs="宋体"/>
          <w:color w:val="auto"/>
          <w:highlight w:val="none"/>
        </w:rPr>
      </w:pPr>
      <w:r>
        <w:rPr>
          <w:rFonts w:hint="eastAsia" w:ascii="宋体" w:eastAsia="宋体" w:cs="宋体"/>
          <w:color w:val="auto"/>
          <w:highlight w:val="none"/>
        </w:rPr>
        <w:t>合同工程未经竣工验收或竣工验收不合格的，发包人不得使用。发包人强行使用的，由此发生的质量问题及其他问题，由发包人承担责任。</w:t>
      </w:r>
    </w:p>
    <w:p w14:paraId="5B08FCD1">
      <w:pPr>
        <w:tabs>
          <w:tab w:val="left" w:pos="1620"/>
        </w:tabs>
        <w:adjustRightInd w:val="0"/>
        <w:snapToGrid w:val="0"/>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58.13</w:t>
      </w:r>
      <w:r>
        <w:rPr>
          <w:rFonts w:hint="eastAsia" w:ascii="宋体" w:hAnsi="宋体" w:eastAsia="宋体" w:cs="宋体"/>
          <w:b/>
          <w:bCs/>
          <w:color w:val="auto"/>
          <w:sz w:val="24"/>
          <w:highlight w:val="none"/>
          <w:u w:val="dotted"/>
        </w:rPr>
        <w:t xml:space="preserve">                                                                                                       </w:t>
      </w:r>
    </w:p>
    <w:p w14:paraId="2D2BE82D">
      <w:pPr>
        <w:pStyle w:val="35"/>
        <w:adjustRightInd w:val="0"/>
        <w:snapToGrid w:val="0"/>
        <w:spacing w:line="300" w:lineRule="auto"/>
        <w:ind w:left="1619" w:leftChars="771"/>
        <w:rPr>
          <w:rFonts w:hint="eastAsia" w:ascii="宋体" w:eastAsia="宋体" w:cs="宋体"/>
          <w:color w:val="auto"/>
          <w:highlight w:val="none"/>
        </w:rPr>
      </w:pPr>
      <w:r>
        <w:rPr>
          <w:rFonts w:hint="eastAsia" w:ascii="宋体" w:eastAsia="宋体" w:cs="宋体"/>
          <w:color w:val="auto"/>
          <w:highlight w:val="none"/>
        </w:rPr>
        <mc:AlternateContent>
          <mc:Choice Requires="wps">
            <w:drawing>
              <wp:anchor distT="0" distB="0" distL="0" distR="0" simplePos="0" relativeHeight="251916288" behindDoc="0" locked="0" layoutInCell="1" allowOverlap="1">
                <wp:simplePos x="0" y="0"/>
                <wp:positionH relativeFrom="column">
                  <wp:posOffset>-114300</wp:posOffset>
                </wp:positionH>
                <wp:positionV relativeFrom="paragraph">
                  <wp:posOffset>12700</wp:posOffset>
                </wp:positionV>
                <wp:extent cx="914400" cy="406400"/>
                <wp:effectExtent l="0" t="0" r="0" b="0"/>
                <wp:wrapNone/>
                <wp:docPr id="1277" name="0001d0"/>
                <wp:cNvGraphicFramePr/>
                <a:graphic xmlns:a="http://schemas.openxmlformats.org/drawingml/2006/main">
                  <a:graphicData uri="http://schemas.microsoft.com/office/word/2010/wordprocessingShape">
                    <wps:wsp>
                      <wps:cNvSpPr/>
                      <wps:spPr>
                        <a:xfrm>
                          <a:off x="0" y="0"/>
                          <a:ext cx="914400" cy="406400"/>
                        </a:xfrm>
                        <a:prstGeom prst="rect">
                          <a:avLst/>
                        </a:prstGeom>
                        <a:ln>
                          <a:noFill/>
                        </a:ln>
                      </wps:spPr>
                      <wps:txbx>
                        <w:txbxContent>
                          <w:p w14:paraId="37CF288C">
                            <w:pPr>
                              <w:spacing w:line="240" w:lineRule="exact"/>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工程竣工质量争议的责任</w:t>
                            </w:r>
                          </w:p>
                        </w:txbxContent>
                      </wps:txbx>
                      <wps:bodyPr wrap="square"/>
                    </wps:wsp>
                  </a:graphicData>
                </a:graphic>
              </wp:anchor>
            </w:drawing>
          </mc:Choice>
          <mc:Fallback>
            <w:pict>
              <v:rect id="0001d0" o:spid="_x0000_s1026" o:spt="1" style="position:absolute;left:0pt;margin-left:-9pt;margin-top:1pt;height:32pt;width:72pt;z-index:251916288;mso-width-relative:page;mso-height-relative:page;" filled="f" stroked="f" coordsize="21600,21600" o:gfxdata="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EpHcRtcAAAAIAQAADwAAAAAAAAABACAAAAAiAAAAZHJz&#10;L2Rvd25yZXYueG1sUEsBAhQAFAAAAAgAh07iQJ7g9haTAQAAOAMAAA4AAAAAAAAAAQAgAAAAJgEA&#10;AGRycy9lMm9Eb2MueG1sUEsFBgAAAAAGAAYAWQEAACsFAAAAAA==&#10;">
                <v:fill on="f" focussize="0,0"/>
                <v:stroke on="f"/>
                <v:imagedata o:title=""/>
                <o:lock v:ext="edit" aspectratio="f"/>
                <v:textbox>
                  <w:txbxContent>
                    <w:p w14:paraId="37CF288C">
                      <w:pPr>
                        <w:spacing w:line="240" w:lineRule="exact"/>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工程竣工质量争议的责任</w:t>
                      </w:r>
                    </w:p>
                  </w:txbxContent>
                </v:textbox>
              </v:rect>
            </w:pict>
          </mc:Fallback>
        </mc:AlternateContent>
      </w:r>
      <w:r>
        <w:rPr>
          <w:rFonts w:hint="eastAsia" w:ascii="宋体" w:eastAsia="宋体" w:cs="宋体"/>
          <w:color w:val="auto"/>
          <w:highlight w:val="none"/>
        </w:rPr>
        <w:t>合同工程竣工验收时发生工程质量争议，经第86.4款规定调解或认定工程质量符合合同要求的，由发包人承担由此增加的费用和（或）延误的工期。</w:t>
      </w:r>
    </w:p>
    <w:p w14:paraId="71C6A9FE">
      <w:pPr>
        <w:adjustRightInd w:val="0"/>
        <w:snapToGrid w:val="0"/>
        <w:spacing w:line="300" w:lineRule="auto"/>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46850402">
      <w:pPr>
        <w:pStyle w:val="22"/>
        <w:tabs>
          <w:tab w:val="left" w:pos="540"/>
        </w:tabs>
        <w:adjustRightInd w:val="0"/>
        <w:snapToGrid w:val="0"/>
        <w:spacing w:before="360" w:beforeLines="150" w:line="300" w:lineRule="auto"/>
        <w:outlineLvl w:val="2"/>
        <w:rPr>
          <w:rFonts w:hint="eastAsia" w:hAnsi="宋体" w:eastAsia="宋体" w:cs="宋体"/>
          <w:b/>
          <w:bCs/>
          <w:color w:val="auto"/>
          <w:sz w:val="24"/>
          <w:szCs w:val="24"/>
          <w:highlight w:val="none"/>
        </w:rPr>
      </w:pPr>
      <w:bookmarkStart w:id="141" w:name="_Toc469384042"/>
      <w:bookmarkStart w:id="142" w:name="_Toc46860863"/>
      <w:r>
        <w:rPr>
          <w:rFonts w:hint="eastAsia" w:hAnsi="宋体" w:eastAsia="宋体" w:cs="宋体"/>
          <w:b/>
          <w:bCs/>
          <w:color w:val="auto"/>
          <w:sz w:val="24"/>
          <w:szCs w:val="24"/>
          <w:highlight w:val="none"/>
        </w:rPr>
        <w:t>59  缺陷责任与质量保修</w:t>
      </w:r>
      <w:bookmarkEnd w:id="141"/>
      <w:bookmarkEnd w:id="142"/>
    </w:p>
    <w:p w14:paraId="4C02D90F">
      <w:pPr>
        <w:adjustRightInd w:val="0"/>
        <w:snapToGrid w:val="0"/>
        <w:spacing w:line="300"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91731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278" name="0001d1"/>
                <wp:cNvGraphicFramePr/>
                <a:graphic xmlns:a="http://schemas.openxmlformats.org/drawingml/2006/main">
                  <a:graphicData uri="http://schemas.microsoft.com/office/word/2010/wordprocessingShape">
                    <wps:wsp>
                      <wps:cNvSpPr/>
                      <wps:spPr>
                        <a:xfrm>
                          <a:off x="0" y="0"/>
                          <a:ext cx="967739" cy="429895"/>
                        </a:xfrm>
                        <a:prstGeom prst="rect">
                          <a:avLst/>
                        </a:prstGeom>
                        <a:ln>
                          <a:noFill/>
                        </a:ln>
                      </wps:spPr>
                      <wps:txbx>
                        <w:txbxContent>
                          <w:p w14:paraId="1ED68431">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14:paraId="2918E697">
                            <w:pPr>
                              <w:spacing w:line="240" w:lineRule="exact"/>
                              <w:rPr>
                                <w:rFonts w:hint="eastAsia" w:ascii="宋体"/>
                                <w:sz w:val="18"/>
                                <w:szCs w:val="18"/>
                              </w:rPr>
                            </w:pPr>
                            <w:r>
                              <w:rPr>
                                <w:rFonts w:hint="eastAsia" w:ascii="楷体_GB2312" w:hAnsi="宋体" w:eastAsia="楷体_GB2312" w:cs="楷体_GB2312"/>
                                <w:b/>
                                <w:bCs/>
                                <w:color w:val="000000"/>
                                <w:sz w:val="18"/>
                                <w:szCs w:val="18"/>
                              </w:rPr>
                              <w:t>计算</w:t>
                            </w:r>
                          </w:p>
                        </w:txbxContent>
                      </wps:txbx>
                      <wps:bodyPr wrap="square"/>
                    </wps:wsp>
                  </a:graphicData>
                </a:graphic>
              </wp:anchor>
            </w:drawing>
          </mc:Choice>
          <mc:Fallback>
            <w:pict>
              <v:rect id="0001d1" o:spid="_x0000_s1026" o:spt="1" style="position:absolute;left:0pt;margin-left:-9pt;margin-top:22.6pt;height:33.85pt;width:76.2pt;z-index:251917312;mso-width-relative:page;mso-height-relative:page;" filled="f" stroked="f" coordsize="21600,21600" o:gfxdata="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MDAazbAAAACgEAAA8AAAAAAAAAAQAgAAAA&#10;IgAAAGRycy9kb3ducmV2LnhtbFBLAQIUABQAAAAIAIdO4kAt8RlIlgEAADgDAAAOAAAAAAAAAAEA&#10;IAAAACoBAABkcnMvZTJvRG9jLnhtbFBLBQYAAAAABgAGAFkBAAAyBQAAAAA=&#10;">
                <v:fill on="f" focussize="0,0"/>
                <v:stroke on="f"/>
                <v:imagedata o:title=""/>
                <o:lock v:ext="edit" aspectratio="f"/>
                <v:textbox>
                  <w:txbxContent>
                    <w:p w14:paraId="1ED68431">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14:paraId="2918E697">
                      <w:pPr>
                        <w:spacing w:line="240" w:lineRule="exact"/>
                        <w:rPr>
                          <w:rFonts w:hint="eastAsia" w:ascii="宋体"/>
                          <w:sz w:val="18"/>
                          <w:szCs w:val="18"/>
                        </w:rPr>
                      </w:pPr>
                      <w:r>
                        <w:rPr>
                          <w:rFonts w:hint="eastAsia" w:ascii="楷体_GB2312" w:hAnsi="宋体" w:eastAsia="楷体_GB2312" w:cs="楷体_GB2312"/>
                          <w:b/>
                          <w:bCs/>
                          <w:color w:val="000000"/>
                          <w:sz w:val="18"/>
                          <w:szCs w:val="18"/>
                        </w:rPr>
                        <w:t>计算</w:t>
                      </w:r>
                    </w:p>
                  </w:txbxContent>
                </v:textbox>
              </v:rect>
            </w:pict>
          </mc:Fallback>
        </mc:AlternateContent>
      </w:r>
      <w:r>
        <w:rPr>
          <w:rFonts w:hint="eastAsia" w:ascii="宋体" w:hAnsi="宋体" w:eastAsia="宋体" w:cs="宋体"/>
          <w:b/>
          <w:bCs/>
          <w:color w:val="auto"/>
          <w:sz w:val="24"/>
          <w:highlight w:val="none"/>
        </w:rPr>
        <w:t xml:space="preserve">59.1  </w:t>
      </w:r>
    </w:p>
    <w:p w14:paraId="4DA816E4">
      <w:pPr>
        <w:spacing w:line="300" w:lineRule="auto"/>
        <w:ind w:firstLine="1574" w:firstLineChars="656"/>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合同双方当事人应在专用条款中约定缺陷责任期。</w:t>
      </w:r>
    </w:p>
    <w:p w14:paraId="0E262E92">
      <w:pPr>
        <w:adjustRightInd w:val="0"/>
        <w:snapToGrid w:val="0"/>
        <w:spacing w:line="300" w:lineRule="auto"/>
        <w:ind w:left="1575" w:leftChars="75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缺陷责任期自实际竣工之日起计算。在全部工程竣工验收前，已经发包人提前验收的单位工程，其缺陷责任期的起算日期相应提前。</w:t>
      </w:r>
    </w:p>
    <w:p w14:paraId="5E305AE9">
      <w:pPr>
        <w:adjustRightInd w:val="0"/>
        <w:snapToGrid w:val="0"/>
        <w:spacing w:line="300"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91833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279" name="0001d2"/>
                <wp:cNvGraphicFramePr/>
                <a:graphic xmlns:a="http://schemas.openxmlformats.org/drawingml/2006/main">
                  <a:graphicData uri="http://schemas.microsoft.com/office/word/2010/wordprocessingShape">
                    <wps:wsp>
                      <wps:cNvSpPr/>
                      <wps:spPr>
                        <a:xfrm>
                          <a:off x="0" y="0"/>
                          <a:ext cx="967739" cy="429895"/>
                        </a:xfrm>
                        <a:prstGeom prst="rect">
                          <a:avLst/>
                        </a:prstGeom>
                        <a:ln>
                          <a:noFill/>
                        </a:ln>
                      </wps:spPr>
                      <wps:txbx>
                        <w:txbxContent>
                          <w:p w14:paraId="09116F1E">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14:paraId="2A1209A1">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延长</w:t>
                            </w:r>
                          </w:p>
                        </w:txbxContent>
                      </wps:txbx>
                      <wps:bodyPr wrap="square"/>
                    </wps:wsp>
                  </a:graphicData>
                </a:graphic>
              </wp:anchor>
            </w:drawing>
          </mc:Choice>
          <mc:Fallback>
            <w:pict>
              <v:rect id="0001d2" o:spid="_x0000_s1026" o:spt="1" style="position:absolute;left:0pt;margin-left:-9pt;margin-top:22.6pt;height:33.85pt;width:76.2pt;z-index:251918336;mso-width-relative:page;mso-height-relative:page;" filled="f" stroked="f" coordsize="21600,21600" o:gfxdata="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MDAazbAAAACgEAAA8AAAAAAAAAAQAgAAAA&#10;IgAAAGRycy9kb3ducmV2LnhtbFBLAQIUABQAAAAIAIdO4kBkZlTXlgEAADgDAAAOAAAAAAAAAAEA&#10;IAAAACoBAABkcnMvZTJvRG9jLnhtbFBLBQYAAAAABgAGAFkBAAAyBQAAAAA=&#10;">
                <v:fill on="f" focussize="0,0"/>
                <v:stroke on="f"/>
                <v:imagedata o:title=""/>
                <o:lock v:ext="edit" aspectratio="f"/>
                <v:textbox>
                  <w:txbxContent>
                    <w:p w14:paraId="09116F1E">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14:paraId="2A1209A1">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延长</w:t>
                      </w:r>
                    </w:p>
                  </w:txbxContent>
                </v:textbox>
              </v:rect>
            </w:pict>
          </mc:Fallback>
        </mc:AlternateContent>
      </w:r>
      <w:r>
        <w:rPr>
          <w:rFonts w:hint="eastAsia" w:ascii="宋体" w:hAnsi="宋体" w:eastAsia="宋体" w:cs="宋体"/>
          <w:b/>
          <w:bCs/>
          <w:color w:val="auto"/>
          <w:sz w:val="24"/>
          <w:highlight w:val="none"/>
        </w:rPr>
        <w:t xml:space="preserve">59.2  </w:t>
      </w:r>
      <w:r>
        <w:rPr>
          <w:rFonts w:hint="eastAsia" w:ascii="宋体" w:hAnsi="宋体" w:eastAsia="宋体" w:cs="宋体"/>
          <w:b/>
          <w:bCs/>
          <w:color w:val="auto"/>
          <w:sz w:val="24"/>
          <w:highlight w:val="none"/>
          <w:u w:val="dotted"/>
        </w:rPr>
        <w:t xml:space="preserve">                                                                              </w:t>
      </w:r>
    </w:p>
    <w:p w14:paraId="549A875B">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由于承包人原因造成某项缺陷或损坏使某项工程或工程设备不能按照原定目标使用而需要再次检查、检验和修复的，发包人有权要求承包人相应延长缺陷责任期，但缺陷责任期最长不超过2年。</w:t>
      </w:r>
    </w:p>
    <w:p w14:paraId="06AA6FAD">
      <w:pPr>
        <w:adjustRightInd w:val="0"/>
        <w:snapToGrid w:val="0"/>
        <w:spacing w:line="300"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91936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280" name="0001d3"/>
                <wp:cNvGraphicFramePr/>
                <a:graphic xmlns:a="http://schemas.openxmlformats.org/drawingml/2006/main">
                  <a:graphicData uri="http://schemas.microsoft.com/office/word/2010/wordprocessingShape">
                    <wps:wsp>
                      <wps:cNvSpPr/>
                      <wps:spPr>
                        <a:xfrm>
                          <a:off x="0" y="0"/>
                          <a:ext cx="967739" cy="429895"/>
                        </a:xfrm>
                        <a:prstGeom prst="rect">
                          <a:avLst/>
                        </a:prstGeom>
                        <a:ln>
                          <a:noFill/>
                        </a:ln>
                      </wps:spPr>
                      <wps:txbx>
                        <w:txbxContent>
                          <w:p w14:paraId="725A1EBF">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w:t>
                            </w:r>
                          </w:p>
                        </w:txbxContent>
                      </wps:txbx>
                      <wps:bodyPr wrap="square"/>
                    </wps:wsp>
                  </a:graphicData>
                </a:graphic>
              </wp:anchor>
            </w:drawing>
          </mc:Choice>
          <mc:Fallback>
            <w:pict>
              <v:rect id="0001d3" o:spid="_x0000_s1026" o:spt="1" style="position:absolute;left:0pt;margin-left:-9pt;margin-top:22.6pt;height:33.85pt;width:76.2pt;z-index:251919360;mso-width-relative:page;mso-height-relative:page;" filled="f" stroked="f" coordsize="21600,21600" o:gfxdata="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MDAazbAAAACgEAAA8AAAAAAAAAAQAgAAAA&#10;IgAAAGRycy9kb3ducmV2LnhtbFBLAQIUABQAAAAIAIdO4kCx9lHClgEAADgDAAAOAAAAAAAAAAEA&#10;IAAAACoBAABkcnMvZTJvRG9jLnhtbFBLBQYAAAAABgAGAFkBAAAyBQAAAAA=&#10;">
                <v:fill on="f" focussize="0,0"/>
                <v:stroke on="f"/>
                <v:imagedata o:title=""/>
                <o:lock v:ext="edit" aspectratio="f"/>
                <v:textbox>
                  <w:txbxContent>
                    <w:p w14:paraId="725A1EBF">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w:t>
                      </w:r>
                    </w:p>
                  </w:txbxContent>
                </v:textbox>
              </v:rect>
            </w:pict>
          </mc:Fallback>
        </mc:AlternateContent>
      </w:r>
      <w:r>
        <w:rPr>
          <w:rFonts w:hint="eastAsia" w:ascii="宋体" w:hAnsi="宋体" w:eastAsia="宋体" w:cs="宋体"/>
          <w:b/>
          <w:bCs/>
          <w:color w:val="auto"/>
          <w:sz w:val="24"/>
          <w:highlight w:val="none"/>
        </w:rPr>
        <w:t xml:space="preserve">59.3  </w:t>
      </w:r>
      <w:r>
        <w:rPr>
          <w:rFonts w:hint="eastAsia" w:ascii="宋体" w:hAnsi="宋体" w:eastAsia="宋体" w:cs="宋体"/>
          <w:b/>
          <w:bCs/>
          <w:color w:val="auto"/>
          <w:sz w:val="24"/>
          <w:highlight w:val="none"/>
          <w:u w:val="dotted"/>
        </w:rPr>
        <w:t xml:space="preserve">                                                                              </w:t>
      </w:r>
    </w:p>
    <w:p w14:paraId="7D33BE68">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合同工程存在某项缺陷或损坏的，合同双方当事人应按照下列规定承担缺陷责任以及由此产生的费用。</w:t>
      </w:r>
    </w:p>
    <w:p w14:paraId="3803AA6C">
      <w:pPr>
        <w:pStyle w:val="35"/>
        <w:adjustRightInd w:val="0"/>
        <w:snapToGrid w:val="0"/>
        <w:spacing w:line="300" w:lineRule="auto"/>
        <w:ind w:left="1828" w:leftChars="756" w:hanging="240" w:hangingChars="100"/>
        <w:rPr>
          <w:rFonts w:hint="eastAsia" w:ascii="宋体" w:eastAsia="宋体" w:cs="宋体"/>
          <w:color w:val="auto"/>
          <w:highlight w:val="none"/>
        </w:rPr>
      </w:pPr>
      <w:r>
        <w:rPr>
          <w:rFonts w:hint="eastAsia" w:ascii="宋体" w:eastAsia="宋体" w:cs="宋体"/>
          <w:color w:val="auto"/>
          <w:highlight w:val="none"/>
        </w:rPr>
        <w:t>（1）承包人应在缺陷责任期内对已交付使用的工程承担缺陷责任。</w:t>
      </w:r>
    </w:p>
    <w:p w14:paraId="2A6015A9">
      <w:pPr>
        <w:spacing w:line="300" w:lineRule="auto"/>
        <w:ind w:left="1575" w:leftChars="750"/>
        <w:rPr>
          <w:rFonts w:hint="eastAsia" w:ascii="宋体" w:hAnsi="宋体" w:eastAsia="宋体" w:cs="宋体"/>
          <w:color w:val="auto"/>
          <w:sz w:val="24"/>
          <w:highlight w:val="none"/>
        </w:rPr>
      </w:pPr>
      <w:r>
        <w:rPr>
          <w:rFonts w:hint="eastAsia" w:ascii="宋体" w:hAnsi="宋体" w:eastAsia="宋体" w:cs="宋体"/>
          <w:color w:val="auto"/>
          <w:sz w:val="24"/>
          <w:highlight w:val="none"/>
        </w:rPr>
        <w:t>（2）缺陷责任期内，发包人对已接收使用的工程负责日常维护工作。发包人在使用过程中，发现已接收的工程存在新的缺陷或已修复的缺陷部位或部件又遭损坏的，应及时通知承包人修复，承包人应在收到通知后的7天内派人修复，直至检验合格为止。承包人未能在规定时间内修复的，发包人可自行或委托第三方修复，所需费用和利润按照本款第（3）点规定办理。</w:t>
      </w:r>
    </w:p>
    <w:p w14:paraId="61FEF822">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3）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14:paraId="4DC62C82">
      <w:pPr>
        <w:adjustRightInd w:val="0"/>
        <w:snapToGrid w:val="0"/>
        <w:spacing w:line="300"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92038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281" name="0001d4"/>
                <wp:cNvGraphicFramePr/>
                <a:graphic xmlns:a="http://schemas.openxmlformats.org/drawingml/2006/main">
                  <a:graphicData uri="http://schemas.microsoft.com/office/word/2010/wordprocessingShape">
                    <wps:wsp>
                      <wps:cNvSpPr/>
                      <wps:spPr>
                        <a:xfrm>
                          <a:off x="0" y="0"/>
                          <a:ext cx="967739" cy="429895"/>
                        </a:xfrm>
                        <a:prstGeom prst="rect">
                          <a:avLst/>
                        </a:prstGeom>
                        <a:ln>
                          <a:noFill/>
                        </a:ln>
                      </wps:spPr>
                      <wps:txbx>
                        <w:txbxContent>
                          <w:p w14:paraId="31CDB1B7">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重新检（试）验</w:t>
                            </w:r>
                          </w:p>
                        </w:txbxContent>
                      </wps:txbx>
                      <wps:bodyPr wrap="square"/>
                    </wps:wsp>
                  </a:graphicData>
                </a:graphic>
              </wp:anchor>
            </w:drawing>
          </mc:Choice>
          <mc:Fallback>
            <w:pict>
              <v:rect id="0001d4" o:spid="_x0000_s1026" o:spt="1" style="position:absolute;left:0pt;margin-left:-9pt;margin-top:22.6pt;height:33.85pt;width:76.2pt;z-index:251920384;mso-width-relative:page;mso-height-relative:page;" filled="f" stroked="f" coordsize="21600,21600" o:gfxdata="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zAwGs2wAAAAoBAAAPAAAAAAAAAAEAIAAA&#10;ACIAAABkcnMvZG93bnJldi54bWxQSwECFAAUAAAACACHTuJATfKMbZcBAAA4AwAADgAAAAAAAAAB&#10;ACAAAAAqAQAAZHJzL2Uyb0RvYy54bWxQSwUGAAAAAAYABgBZAQAAMwUAAAAA&#10;">
                <v:fill on="f" focussize="0,0"/>
                <v:stroke on="f"/>
                <v:imagedata o:title=""/>
                <o:lock v:ext="edit" aspectratio="f"/>
                <v:textbox>
                  <w:txbxContent>
                    <w:p w14:paraId="31CDB1B7">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重新检（试）验</w:t>
                      </w:r>
                    </w:p>
                  </w:txbxContent>
                </v:textbox>
              </v:rect>
            </w:pict>
          </mc:Fallback>
        </mc:AlternateContent>
      </w:r>
      <w:r>
        <w:rPr>
          <w:rFonts w:hint="eastAsia" w:ascii="宋体" w:hAnsi="宋体" w:eastAsia="宋体" w:cs="宋体"/>
          <w:b/>
          <w:bCs/>
          <w:color w:val="auto"/>
          <w:sz w:val="24"/>
          <w:highlight w:val="none"/>
        </w:rPr>
        <w:t xml:space="preserve">59.4  </w:t>
      </w:r>
      <w:r>
        <w:rPr>
          <w:rFonts w:hint="eastAsia" w:ascii="宋体" w:hAnsi="宋体" w:eastAsia="宋体" w:cs="宋体"/>
          <w:b/>
          <w:bCs/>
          <w:color w:val="auto"/>
          <w:sz w:val="24"/>
          <w:highlight w:val="none"/>
          <w:u w:val="dotted"/>
        </w:rPr>
        <w:t xml:space="preserve">                                                                            </w:t>
      </w:r>
    </w:p>
    <w:p w14:paraId="3B7D0ABF">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任何一项缺陷或损坏修复后，经检查证明其影响了工程或工程设备的使用性能，承包人应按照第54条规定重新检（试）验，重新检（试）验的费用由责任方承担。</w:t>
      </w:r>
    </w:p>
    <w:p w14:paraId="0016208E">
      <w:pPr>
        <w:adjustRightInd w:val="0"/>
        <w:snapToGrid w:val="0"/>
        <w:spacing w:line="300"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9214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282" name="0001d5"/>
                <wp:cNvGraphicFramePr/>
                <a:graphic xmlns:a="http://schemas.openxmlformats.org/drawingml/2006/main">
                  <a:graphicData uri="http://schemas.microsoft.com/office/word/2010/wordprocessingShape">
                    <wps:wsp>
                      <wps:cNvSpPr/>
                      <wps:spPr>
                        <a:xfrm>
                          <a:off x="0" y="0"/>
                          <a:ext cx="967739" cy="429895"/>
                        </a:xfrm>
                        <a:prstGeom prst="rect">
                          <a:avLst/>
                        </a:prstGeom>
                        <a:ln>
                          <a:noFill/>
                        </a:ln>
                      </wps:spPr>
                      <wps:txbx>
                        <w:txbxContent>
                          <w:p w14:paraId="62E8E160">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承包人的进入权</w:t>
                            </w:r>
                          </w:p>
                        </w:txbxContent>
                      </wps:txbx>
                      <wps:bodyPr wrap="square"/>
                    </wps:wsp>
                  </a:graphicData>
                </a:graphic>
              </wp:anchor>
            </w:drawing>
          </mc:Choice>
          <mc:Fallback>
            <w:pict>
              <v:rect id="0001d5" o:spid="_x0000_s1026" o:spt="1" style="position:absolute;left:0pt;margin-left:-9pt;margin-top:22.6pt;height:33.85pt;width:76.2pt;z-index:251921408;mso-width-relative:page;mso-height-relative:page;" filled="f" stroked="f" coordsize="21600,21600" o:gfxdata="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zAwGs2wAAAAoBAAAPAAAAAAAAAAEAIAAA&#10;ACIAAABkcnMvZG93bnJldi54bWxQSwECFAAUAAAACACHTuJAYt67J5cBAAA4AwAADgAAAAAAAAAB&#10;ACAAAAAqAQAAZHJzL2Uyb0RvYy54bWxQSwUGAAAAAAYABgBZAQAAMwUAAAAA&#10;">
                <v:fill on="f" focussize="0,0"/>
                <v:stroke on="f"/>
                <v:imagedata o:title=""/>
                <o:lock v:ext="edit" aspectratio="f"/>
                <v:textbox>
                  <w:txbxContent>
                    <w:p w14:paraId="62E8E160">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承包人的进入权</w:t>
                      </w:r>
                    </w:p>
                  </w:txbxContent>
                </v:textbox>
              </v:rect>
            </w:pict>
          </mc:Fallback>
        </mc:AlternateContent>
      </w:r>
      <w:r>
        <w:rPr>
          <w:rFonts w:hint="eastAsia" w:ascii="宋体" w:hAnsi="宋体" w:eastAsia="宋体" w:cs="宋体"/>
          <w:b/>
          <w:bCs/>
          <w:color w:val="auto"/>
          <w:sz w:val="24"/>
          <w:highlight w:val="none"/>
        </w:rPr>
        <w:t xml:space="preserve">59.5  </w:t>
      </w:r>
      <w:r>
        <w:rPr>
          <w:rFonts w:hint="eastAsia" w:ascii="宋体" w:hAnsi="宋体" w:eastAsia="宋体" w:cs="宋体"/>
          <w:b/>
          <w:bCs/>
          <w:color w:val="auto"/>
          <w:sz w:val="24"/>
          <w:highlight w:val="none"/>
          <w:u w:val="dotted"/>
        </w:rPr>
        <w:t xml:space="preserve">                                                                            </w:t>
      </w:r>
    </w:p>
    <w:p w14:paraId="2BADAFD8">
      <w:pPr>
        <w:spacing w:line="300" w:lineRule="auto"/>
        <w:ind w:left="1619" w:leftChars="771"/>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缺陷责任期内承包人为缺陷修复工作需要，有权进入工程现场，但应遵守发包人的保安和保密等规定。</w:t>
      </w:r>
    </w:p>
    <w:p w14:paraId="6866D39C">
      <w:pPr>
        <w:adjustRightInd w:val="0"/>
        <w:snapToGrid w:val="0"/>
        <w:spacing w:line="300"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92243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283" name="0001d6"/>
                <wp:cNvGraphicFramePr/>
                <a:graphic xmlns:a="http://schemas.openxmlformats.org/drawingml/2006/main">
                  <a:graphicData uri="http://schemas.microsoft.com/office/word/2010/wordprocessingShape">
                    <wps:wsp>
                      <wps:cNvSpPr/>
                      <wps:spPr>
                        <a:xfrm>
                          <a:off x="0" y="0"/>
                          <a:ext cx="967739" cy="429895"/>
                        </a:xfrm>
                        <a:prstGeom prst="rect">
                          <a:avLst/>
                        </a:prstGeom>
                        <a:ln>
                          <a:noFill/>
                        </a:ln>
                      </wps:spPr>
                      <wps:txbx>
                        <w:txbxContent>
                          <w:p w14:paraId="7B3DAAD3">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颁发缺陷责任期终止证书</w:t>
                            </w:r>
                          </w:p>
                        </w:txbxContent>
                      </wps:txbx>
                      <wps:bodyPr wrap="square"/>
                    </wps:wsp>
                  </a:graphicData>
                </a:graphic>
              </wp:anchor>
            </w:drawing>
          </mc:Choice>
          <mc:Fallback>
            <w:pict>
              <v:rect id="0001d6" o:spid="_x0000_s1026" o:spt="1" style="position:absolute;left:0pt;margin-left:-9pt;margin-top:22.6pt;height:33.85pt;width:76.2pt;z-index:251922432;mso-width-relative:page;mso-height-relative:page;" filled="f" stroked="f" coordsize="21600,21600" o:gfxdata="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zAwGs2wAAAAoBAAAPAAAAAAAAAAEAIAAA&#10;ACIAAABkcnMvZG93bnJldi54bWxQSwECFAAUAAAACACHTuJAK0n2uJcBAAA4AwAADgAAAAAAAAAB&#10;ACAAAAAqAQAAZHJzL2Uyb0RvYy54bWxQSwUGAAAAAAYABgBZAQAAMwUAAAAA&#10;">
                <v:fill on="f" focussize="0,0"/>
                <v:stroke on="f"/>
                <v:imagedata o:title=""/>
                <o:lock v:ext="edit" aspectratio="f"/>
                <v:textbox>
                  <w:txbxContent>
                    <w:p w14:paraId="7B3DAAD3">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颁发缺陷责任期终止证书</w:t>
                      </w:r>
                    </w:p>
                  </w:txbxContent>
                </v:textbox>
              </v:rect>
            </w:pict>
          </mc:Fallback>
        </mc:AlternateContent>
      </w:r>
      <w:r>
        <w:rPr>
          <w:rFonts w:hint="eastAsia" w:ascii="宋体" w:hAnsi="宋体" w:eastAsia="宋体" w:cs="宋体"/>
          <w:b/>
          <w:bCs/>
          <w:color w:val="auto"/>
          <w:sz w:val="24"/>
          <w:highlight w:val="none"/>
        </w:rPr>
        <w:t xml:space="preserve">59.6  </w:t>
      </w:r>
      <w:r>
        <w:rPr>
          <w:rFonts w:hint="eastAsia" w:ascii="宋体" w:hAnsi="宋体" w:eastAsia="宋体" w:cs="宋体"/>
          <w:b/>
          <w:bCs/>
          <w:color w:val="auto"/>
          <w:sz w:val="24"/>
          <w:highlight w:val="none"/>
          <w:u w:val="dotted"/>
        </w:rPr>
        <w:t xml:space="preserve">                                                                            </w:t>
      </w:r>
    </w:p>
    <w:p w14:paraId="702895B6">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在专用条款约定的缺陷责任期（包括第59.2款延长的期限）终止后的14天内，发包人应向承包人颁发缺陷责任期终止证书。</w:t>
      </w:r>
    </w:p>
    <w:p w14:paraId="5C6E98FE">
      <w:pPr>
        <w:pStyle w:val="6"/>
        <w:rPr>
          <w:rFonts w:hint="eastAsia" w:ascii="宋体" w:hAnsi="宋体" w:eastAsia="宋体" w:cs="宋体"/>
          <w:color w:val="auto"/>
          <w:highlight w:val="none"/>
        </w:rPr>
      </w:pPr>
    </w:p>
    <w:p w14:paraId="250E8E9E">
      <w:pPr>
        <w:pStyle w:val="6"/>
        <w:rPr>
          <w:rFonts w:hint="eastAsia" w:ascii="宋体" w:hAnsi="宋体" w:eastAsia="宋体" w:cs="宋体"/>
          <w:color w:val="auto"/>
          <w:highlight w:val="none"/>
        </w:rPr>
      </w:pPr>
    </w:p>
    <w:p w14:paraId="028A2621">
      <w:pPr>
        <w:adjustRightInd w:val="0"/>
        <w:snapToGrid w:val="0"/>
        <w:spacing w:line="300"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92345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284" name="0001d7"/>
                <wp:cNvGraphicFramePr/>
                <a:graphic xmlns:a="http://schemas.openxmlformats.org/drawingml/2006/main">
                  <a:graphicData uri="http://schemas.microsoft.com/office/word/2010/wordprocessingShape">
                    <wps:wsp>
                      <wps:cNvSpPr/>
                      <wps:spPr>
                        <a:xfrm>
                          <a:off x="0" y="0"/>
                          <a:ext cx="967739" cy="429895"/>
                        </a:xfrm>
                        <a:prstGeom prst="rect">
                          <a:avLst/>
                        </a:prstGeom>
                        <a:ln>
                          <a:noFill/>
                        </a:ln>
                      </wps:spPr>
                      <wps:txbx>
                        <w:txbxContent>
                          <w:p w14:paraId="3E30C040">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签订工程质量保修书</w:t>
                            </w:r>
                          </w:p>
                        </w:txbxContent>
                      </wps:txbx>
                      <wps:bodyPr wrap="square"/>
                    </wps:wsp>
                  </a:graphicData>
                </a:graphic>
              </wp:anchor>
            </w:drawing>
          </mc:Choice>
          <mc:Fallback>
            <w:pict>
              <v:rect id="0001d7" o:spid="_x0000_s1026" o:spt="1" style="position:absolute;left:0pt;margin-left:-9pt;margin-top:22.6pt;height:33.85pt;width:76.2pt;z-index:251923456;mso-width-relative:page;mso-height-relative:page;" filled="f" stroked="f" coordsize="21600,21600" o:gfxdata="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zAwGs2wAAAAoBAAAPAAAAAAAAAAEAIAAA&#10;ACIAAABkcnMvZG93bnJldi54bWxQSwECFAAUAAAACACHTuJAPIbVs5cBAAA4AwAADgAAAAAAAAAB&#10;ACAAAAAqAQAAZHJzL2Uyb0RvYy54bWxQSwUGAAAAAAYABgBZAQAAMwUAAAAA&#10;">
                <v:fill on="f" focussize="0,0"/>
                <v:stroke on="f"/>
                <v:imagedata o:title=""/>
                <o:lock v:ext="edit" aspectratio="f"/>
                <v:textbox>
                  <w:txbxContent>
                    <w:p w14:paraId="3E30C040">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签订工程质量保修书</w:t>
                      </w:r>
                    </w:p>
                  </w:txbxContent>
                </v:textbox>
              </v:rect>
            </w:pict>
          </mc:Fallback>
        </mc:AlternateContent>
      </w:r>
      <w:r>
        <w:rPr>
          <w:rFonts w:hint="eastAsia" w:ascii="宋体" w:hAnsi="宋体" w:eastAsia="宋体" w:cs="宋体"/>
          <w:b/>
          <w:bCs/>
          <w:color w:val="auto"/>
          <w:sz w:val="24"/>
          <w:highlight w:val="none"/>
        </w:rPr>
        <w:t xml:space="preserve">59.7  </w:t>
      </w:r>
      <w:r>
        <w:rPr>
          <w:rFonts w:hint="eastAsia" w:ascii="宋体" w:hAnsi="宋体" w:eastAsia="宋体" w:cs="宋体"/>
          <w:b/>
          <w:bCs/>
          <w:color w:val="auto"/>
          <w:sz w:val="24"/>
          <w:highlight w:val="none"/>
          <w:u w:val="dotted"/>
        </w:rPr>
        <w:t xml:space="preserve">                                                                            </w:t>
      </w:r>
    </w:p>
    <w:p w14:paraId="45E4BB46">
      <w:pPr>
        <w:pStyle w:val="35"/>
        <w:adjustRightInd w:val="0"/>
        <w:snapToGrid w:val="0"/>
        <w:spacing w:line="300" w:lineRule="auto"/>
        <w:ind w:left="1619" w:leftChars="771"/>
        <w:rPr>
          <w:rFonts w:hint="eastAsia" w:ascii="宋体" w:eastAsia="宋体" w:cs="宋体"/>
          <w:color w:val="auto"/>
          <w:highlight w:val="none"/>
        </w:rPr>
      </w:pPr>
      <w:r>
        <w:rPr>
          <w:rFonts w:hint="eastAsia" w:ascii="宋体" w:eastAsia="宋体" w:cs="宋体"/>
          <w:color w:val="auto"/>
          <w:highlight w:val="none"/>
        </w:rPr>
        <w:t>合同双方当事人应根据法律的有关规定，在承包人向发包人提交竣工验收申请报告前，共同签署合同工程质量保修书，作为本合同的附件。工程质量保修书应具体明确质量保修范围、期限、责任和费用等事项。</w:t>
      </w:r>
    </w:p>
    <w:p w14:paraId="2FB5F29D">
      <w:pPr>
        <w:adjustRightInd w:val="0"/>
        <w:snapToGrid w:val="0"/>
        <w:spacing w:line="30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92448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285" name="0001d8"/>
                <wp:cNvGraphicFramePr/>
                <a:graphic xmlns:a="http://schemas.openxmlformats.org/drawingml/2006/main">
                  <a:graphicData uri="http://schemas.microsoft.com/office/word/2010/wordprocessingShape">
                    <wps:wsp>
                      <wps:cNvSpPr/>
                      <wps:spPr>
                        <a:xfrm>
                          <a:off x="0" y="0"/>
                          <a:ext cx="967739" cy="429895"/>
                        </a:xfrm>
                        <a:prstGeom prst="rect">
                          <a:avLst/>
                        </a:prstGeom>
                        <a:ln>
                          <a:noFill/>
                        </a:ln>
                      </wps:spPr>
                      <wps:txbx>
                        <w:txbxContent>
                          <w:p w14:paraId="4795DB34">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质量保修期计算</w:t>
                            </w:r>
                          </w:p>
                        </w:txbxContent>
                      </wps:txbx>
                      <wps:bodyPr wrap="square"/>
                    </wps:wsp>
                  </a:graphicData>
                </a:graphic>
              </wp:anchor>
            </w:drawing>
          </mc:Choice>
          <mc:Fallback>
            <w:pict>
              <v:rect id="0001d8" o:spid="_x0000_s1026" o:spt="1" style="position:absolute;left:0pt;margin-left:-9pt;margin-top:22.6pt;height:33.85pt;width:76.2pt;z-index:251924480;mso-width-relative:page;mso-height-relative:page;" filled="f" stroked="f" coordsize="21600,21600" o:gfxdata="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zAwGs2wAAAAoBAAAPAAAAAAAAAAEAIAAA&#10;ACIAAABkcnMvZG93bnJldi54bWxQSwECFAAUAAAACACHTuJAqqUpfZcBAAA4AwAADgAAAAAAAAAB&#10;ACAAAAAqAQAAZHJzL2Uyb0RvYy54bWxQSwUGAAAAAAYABgBZAQAAMwUAAAAA&#10;">
                <v:fill on="f" focussize="0,0"/>
                <v:stroke on="f"/>
                <v:imagedata o:title=""/>
                <o:lock v:ext="edit" aspectratio="f"/>
                <v:textbox>
                  <w:txbxContent>
                    <w:p w14:paraId="4795DB34">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质量保修期计算</w:t>
                      </w:r>
                    </w:p>
                  </w:txbxContent>
                </v:textbox>
              </v:rect>
            </w:pict>
          </mc:Fallback>
        </mc:AlternateContent>
      </w:r>
      <w:r>
        <w:rPr>
          <w:rFonts w:hint="eastAsia" w:ascii="宋体" w:hAnsi="宋体" w:eastAsia="宋体" w:cs="宋体"/>
          <w:b/>
          <w:bCs/>
          <w:color w:val="auto"/>
          <w:sz w:val="24"/>
          <w:highlight w:val="none"/>
        </w:rPr>
        <w:t xml:space="preserve">59.8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63D03626">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合同双方当事人应在专用条款和合同工程质量保修书中约定质量保修期。</w:t>
      </w:r>
    </w:p>
    <w:p w14:paraId="57F455C7">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质量保修期自实际竣工之日起计算。在全部工程竣工验收前，已经发包人提前验收的单位工程，其质量保修期的起算日期相应提前。</w:t>
      </w:r>
    </w:p>
    <w:p w14:paraId="05E1F53B">
      <w:pPr>
        <w:tabs>
          <w:tab w:val="left" w:pos="360"/>
          <w:tab w:val="left" w:pos="900"/>
        </w:tabs>
        <w:adjustRightInd w:val="0"/>
        <w:snapToGrid w:val="0"/>
        <w:spacing w:line="300" w:lineRule="auto"/>
        <w:rPr>
          <w:rFonts w:hint="eastAsia"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59.9  </w:t>
      </w:r>
      <w:r>
        <w:rPr>
          <w:rFonts w:hint="eastAsia" w:ascii="宋体" w:hAnsi="宋体" w:eastAsia="宋体" w:cs="宋体"/>
          <w:b/>
          <w:bCs/>
          <w:color w:val="auto"/>
          <w:sz w:val="24"/>
          <w:highlight w:val="none"/>
          <w:u w:val="dotted"/>
        </w:rPr>
        <w:t xml:space="preserve">                                                                                                        </w:t>
      </w:r>
    </w:p>
    <w:p w14:paraId="3BD3BDD5">
      <w:pPr>
        <w:adjustRightInd w:val="0"/>
        <w:snapToGrid w:val="0"/>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925504"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1286" name="0001d9"/>
                <wp:cNvGraphicFramePr/>
                <a:graphic xmlns:a="http://schemas.openxmlformats.org/drawingml/2006/main">
                  <a:graphicData uri="http://schemas.microsoft.com/office/word/2010/wordprocessingShape">
                    <wps:wsp>
                      <wps:cNvSpPr/>
                      <wps:spPr>
                        <a:xfrm>
                          <a:off x="0" y="0"/>
                          <a:ext cx="988060" cy="365760"/>
                        </a:xfrm>
                        <a:prstGeom prst="rect">
                          <a:avLst/>
                        </a:prstGeom>
                        <a:ln>
                          <a:noFill/>
                        </a:ln>
                      </wps:spPr>
                      <wps:txbx>
                        <w:txbxContent>
                          <w:p w14:paraId="1C212F2B">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工程质量保修</w:t>
                            </w:r>
                          </w:p>
                        </w:txbxContent>
                      </wps:txbx>
                      <wps:bodyPr wrap="square"/>
                    </wps:wsp>
                  </a:graphicData>
                </a:graphic>
              </wp:anchor>
            </w:drawing>
          </mc:Choice>
          <mc:Fallback>
            <w:pict>
              <v:rect id="0001d9" o:spid="_x0000_s1026" o:spt="1" style="position:absolute;left:0pt;margin-left:-5.8pt;margin-top:1.2pt;height:28.8pt;width:77.8pt;z-index:251925504;mso-width-relative:page;mso-height-relative:page;" filled="f" stroked="f" coordsize="21600,21600" o:gfxdata="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m7OkgdgAAAAIAQAADwAAAAAAAAABACAAAAAiAAAA&#10;ZHJzL2Rvd25yZXYueG1sUEsBAhQAFAAAAAgAh07iQIQqNB+VAQAAOAMAAA4AAAAAAAAAAQAgAAAA&#10;JwEAAGRycy9lMm9Eb2MueG1sUEsFBgAAAAAGAAYAWQEAAC4FAAAAAA==&#10;">
                <v:fill on="f" focussize="0,0"/>
                <v:stroke on="f"/>
                <v:imagedata o:title=""/>
                <o:lock v:ext="edit" aspectratio="f"/>
                <v:textbox>
                  <w:txbxContent>
                    <w:p w14:paraId="1C212F2B">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工程质量保修</w:t>
                      </w:r>
                    </w:p>
                  </w:txbxContent>
                </v:textbox>
              </v:rect>
            </w:pict>
          </mc:Fallback>
        </mc:AlternateContent>
      </w:r>
      <w:r>
        <w:rPr>
          <w:rFonts w:hint="eastAsia" w:ascii="宋体" w:hAnsi="宋体" w:eastAsia="宋体" w:cs="宋体"/>
          <w:color w:val="auto"/>
          <w:sz w:val="24"/>
          <w:highlight w:val="none"/>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14:paraId="080705B2">
      <w:pPr>
        <w:adjustRightInd w:val="0"/>
        <w:snapToGrid w:val="0"/>
        <w:spacing w:line="30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mc:AlternateContent>
          <mc:Choice Requires="wps">
            <w:drawing>
              <wp:anchor distT="0" distB="0" distL="0" distR="0" simplePos="0" relativeHeight="251926528" behindDoc="0" locked="0" layoutInCell="1" allowOverlap="1">
                <wp:simplePos x="0" y="0"/>
                <wp:positionH relativeFrom="column">
                  <wp:posOffset>-66675</wp:posOffset>
                </wp:positionH>
                <wp:positionV relativeFrom="paragraph">
                  <wp:posOffset>257810</wp:posOffset>
                </wp:positionV>
                <wp:extent cx="959485" cy="452120"/>
                <wp:effectExtent l="0" t="0" r="0" b="0"/>
                <wp:wrapNone/>
                <wp:docPr id="1287" name="0001da"/>
                <wp:cNvGraphicFramePr/>
                <a:graphic xmlns:a="http://schemas.openxmlformats.org/drawingml/2006/main">
                  <a:graphicData uri="http://schemas.microsoft.com/office/word/2010/wordprocessingShape">
                    <wps:wsp>
                      <wps:cNvSpPr/>
                      <wps:spPr>
                        <a:xfrm>
                          <a:off x="0" y="0"/>
                          <a:ext cx="959485" cy="452120"/>
                        </a:xfrm>
                        <a:prstGeom prst="rect">
                          <a:avLst/>
                        </a:prstGeom>
                        <a:ln>
                          <a:noFill/>
                        </a:ln>
                      </wps:spPr>
                      <wps:txbx>
                        <w:txbxContent>
                          <w:p w14:paraId="560B8169">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修复质量缺陷以外的费用</w:t>
                            </w:r>
                          </w:p>
                        </w:txbxContent>
                      </wps:txbx>
                      <wps:bodyPr wrap="square"/>
                    </wps:wsp>
                  </a:graphicData>
                </a:graphic>
              </wp:anchor>
            </w:drawing>
          </mc:Choice>
          <mc:Fallback>
            <w:pict>
              <v:rect id="0001da" o:spid="_x0000_s1026" o:spt="1" style="position:absolute;left:0pt;margin-left:-5.25pt;margin-top:20.3pt;height:35.6pt;width:75.55pt;z-index:251926528;mso-width-relative:page;mso-height-relative:page;" filled="f" stroked="f" coordsize="21600,21600" o:gfxdata="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B+vWF2AAAAAoBAAAPAAAAAAAAAAEAIAAAACIA&#10;AABkcnMvZG93bnJldi54bWxQSwECFAAUAAAACACHTuJAylnhZJcBAAA4AwAADgAAAAAAAAABACAA&#10;AAAnAQAAZHJzL2Uyb0RvYy54bWxQSwUGAAAAAAYABgBZAQAAMAUAAAAA&#10;">
                <v:fill on="f" focussize="0,0"/>
                <v:stroke on="f"/>
                <v:imagedata o:title=""/>
                <o:lock v:ext="edit" aspectratio="f"/>
                <v:textbox>
                  <w:txbxContent>
                    <w:p w14:paraId="560B8169">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修复质量缺陷以外的费用</w:t>
                      </w:r>
                    </w:p>
                  </w:txbxContent>
                </v:textbox>
              </v:rect>
            </w:pict>
          </mc:Fallback>
        </mc:AlternateContent>
      </w:r>
      <w:r>
        <w:rPr>
          <w:rFonts w:hint="eastAsia" w:ascii="宋体" w:hAnsi="宋体" w:eastAsia="宋体" w:cs="宋体"/>
          <w:b/>
          <w:bCs/>
          <w:color w:val="auto"/>
          <w:sz w:val="24"/>
          <w:highlight w:val="none"/>
        </w:rPr>
        <w:t xml:space="preserve">59.10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6073F345">
      <w:pPr>
        <w:adjustRightInd w:val="0"/>
        <w:snapToGrid w:val="0"/>
        <w:spacing w:line="300" w:lineRule="auto"/>
        <w:ind w:firstLine="1574" w:firstLineChars="656"/>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承包人修复属于质量缺陷以外的费用，由责任方承担。</w:t>
      </w:r>
    </w:p>
    <w:p w14:paraId="55512EE7">
      <w:pPr>
        <w:adjustRightInd w:val="0"/>
        <w:snapToGrid w:val="0"/>
        <w:spacing w:line="300" w:lineRule="auto"/>
        <w:rPr>
          <w:rFonts w:hint="eastAsia" w:ascii="宋体" w:hAnsi="宋体" w:eastAsia="宋体" w:cs="宋体"/>
          <w:color w:val="auto"/>
          <w:sz w:val="24"/>
          <w:highlight w:val="none"/>
          <w:u w:val="single"/>
        </w:rPr>
      </w:pPr>
      <w:r>
        <w:rPr>
          <w:rFonts w:hint="eastAsia" w:ascii="宋体" w:hAnsi="宋体" w:eastAsia="宋体" w:cs="宋体"/>
          <w:b/>
          <w:bCs/>
          <w:color w:val="auto"/>
          <w:sz w:val="24"/>
          <w:highlight w:val="none"/>
          <w:u w:val="single"/>
        </w:rPr>
        <w:t xml:space="preserve">                                                                                 </w:t>
      </w:r>
      <w:r>
        <w:rPr>
          <w:rFonts w:hint="eastAsia" w:ascii="宋体" w:hAnsi="宋体" w:eastAsia="宋体" w:cs="宋体"/>
          <w:color w:val="auto"/>
          <w:sz w:val="24"/>
          <w:highlight w:val="none"/>
          <w:u w:val="single"/>
        </w:rPr>
        <w:t xml:space="preserve">     </w:t>
      </w:r>
    </w:p>
    <w:p w14:paraId="59DC2D0C">
      <w:pPr>
        <w:tabs>
          <w:tab w:val="left" w:pos="1620"/>
        </w:tabs>
        <w:adjustRightInd w:val="0"/>
        <w:snapToGrid w:val="0"/>
        <w:spacing w:line="300" w:lineRule="auto"/>
        <w:outlineLvl w:val="1"/>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xml:space="preserve">                                 </w:t>
      </w:r>
      <w:bookmarkStart w:id="143" w:name="_Toc469384043"/>
      <w:bookmarkStart w:id="144" w:name="_Toc46860864"/>
      <w:r>
        <w:rPr>
          <w:rFonts w:hint="eastAsia" w:ascii="宋体" w:hAnsi="宋体" w:eastAsia="宋体" w:cs="宋体"/>
          <w:b/>
          <w:bCs/>
          <w:color w:val="auto"/>
          <w:sz w:val="24"/>
          <w:highlight w:val="none"/>
        </w:rPr>
        <w:t>六、造  价</w:t>
      </w:r>
      <w:bookmarkEnd w:id="143"/>
      <w:bookmarkEnd w:id="144"/>
    </w:p>
    <w:p w14:paraId="708A8D7C">
      <w:pPr>
        <w:pStyle w:val="4"/>
        <w:tabs>
          <w:tab w:val="left" w:pos="420"/>
        </w:tabs>
        <w:spacing w:line="300" w:lineRule="auto"/>
        <w:rPr>
          <w:rFonts w:hint="eastAsia" w:ascii="宋体" w:hAnsi="宋体" w:eastAsia="宋体" w:cs="宋体"/>
          <w:color w:val="auto"/>
          <w:sz w:val="24"/>
          <w:szCs w:val="24"/>
          <w:highlight w:val="none"/>
        </w:rPr>
      </w:pPr>
      <w:bookmarkStart w:id="145" w:name="_Toc46860865"/>
      <w:bookmarkStart w:id="146" w:name="_Toc469384044"/>
      <w:r>
        <w:rPr>
          <w:rFonts w:hint="eastAsia" w:ascii="宋体" w:hAnsi="宋体" w:eastAsia="宋体" w:cs="宋体"/>
          <w:color w:val="auto"/>
          <w:sz w:val="24"/>
          <w:szCs w:val="24"/>
          <w:highlight w:val="none"/>
        </w:rPr>
        <w:t>60  资金计划和安排</w:t>
      </w:r>
      <w:bookmarkEnd w:id="145"/>
      <w:bookmarkEnd w:id="146"/>
    </w:p>
    <w:p w14:paraId="711034EE">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60.1</w:t>
      </w:r>
    </w:p>
    <w:p w14:paraId="6F39E02F">
      <w:pPr>
        <w:pStyle w:val="22"/>
        <w:adjustRightInd w:val="0"/>
        <w:snapToGrid w:val="0"/>
        <w:spacing w:line="300" w:lineRule="auto"/>
        <w:ind w:left="1579" w:leftChars="752"/>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27552"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1288" name="0001db"/>
                <wp:cNvGraphicFramePr/>
                <a:graphic xmlns:a="http://schemas.openxmlformats.org/drawingml/2006/main">
                  <a:graphicData uri="http://schemas.microsoft.com/office/word/2010/wordprocessingShape">
                    <wps:wsp>
                      <wps:cNvSpPr/>
                      <wps:spPr>
                        <a:xfrm>
                          <a:off x="0" y="0"/>
                          <a:ext cx="914400" cy="431800"/>
                        </a:xfrm>
                        <a:prstGeom prst="rect">
                          <a:avLst/>
                        </a:prstGeom>
                        <a:ln>
                          <a:noFill/>
                        </a:ln>
                      </wps:spPr>
                      <wps:txbx>
                        <w:txbxContent>
                          <w:p w14:paraId="7A15D5CF">
                            <w:pPr>
                              <w:pStyle w:val="17"/>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wps:txbx>
                      <wps:bodyPr wrap="square"/>
                    </wps:wsp>
                  </a:graphicData>
                </a:graphic>
              </wp:anchor>
            </w:drawing>
          </mc:Choice>
          <mc:Fallback>
            <w:pict>
              <v:rect id="0001db" o:spid="_x0000_s1026" o:spt="1" style="position:absolute;left:0pt;margin-left:-10.5pt;margin-top:5.4pt;height:34pt;width:72pt;z-index:251927552;mso-width-relative:page;mso-height-relative:page;" filled="f" stroked="f" coordsize="21600,21600" o:gfxdata="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35hZe2AAAAAkBAAAPAAAAAAAAAAEAIAAAACIAAABk&#10;cnMvZG93bnJldi54bWxQSwECFAAUAAAACACHTuJAT5TkSZQBAAA4AwAADgAAAAAAAAABACAAAAAn&#10;AQAAZHJzL2Uyb0RvYy54bWxQSwUGAAAAAAYABgBZAQAALQUAAAAA&#10;">
                <v:fill on="f" focussize="0,0"/>
                <v:stroke on="f"/>
                <v:imagedata o:title=""/>
                <o:lock v:ext="edit" aspectratio="f"/>
                <v:textbox>
                  <w:txbxContent>
                    <w:p w14:paraId="7A15D5CF">
                      <w:pPr>
                        <w:pStyle w:val="17"/>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v:textbox>
              </v:rect>
            </w:pict>
          </mc:Fallback>
        </mc:AlternateContent>
      </w:r>
      <w:r>
        <w:rPr>
          <w:rFonts w:hint="eastAsia" w:hAnsi="宋体" w:eastAsia="宋体" w:cs="宋体"/>
          <w:color w:val="auto"/>
          <w:sz w:val="24"/>
          <w:szCs w:val="24"/>
          <w:highlight w:val="none"/>
        </w:rPr>
        <w:t>工程进度计划被批准后，承包人应向发包人提交一份合同工程资金需求计划书；工程进度计划更新后，承包人应及时向发包人提交一份更新后的工程资金需求计划书。</w:t>
      </w:r>
    </w:p>
    <w:p w14:paraId="023F56C0">
      <w:pPr>
        <w:pStyle w:val="22"/>
        <w:adjustRightInd w:val="0"/>
        <w:snapToGrid w:val="0"/>
        <w:spacing w:line="300" w:lineRule="auto"/>
        <w:ind w:left="1619" w:leftChars="1" w:hanging="1617" w:hangingChars="671"/>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60.2  </w:t>
      </w:r>
      <w:r>
        <w:rPr>
          <w:rFonts w:hint="eastAsia" w:hAnsi="宋体" w:eastAsia="宋体" w:cs="宋体"/>
          <w:b/>
          <w:bCs/>
          <w:color w:val="auto"/>
          <w:sz w:val="24"/>
          <w:szCs w:val="24"/>
          <w:highlight w:val="none"/>
          <w:u w:val="dotted"/>
        </w:rPr>
        <w:t xml:space="preserve">                                                                                                        </w:t>
      </w:r>
    </w:p>
    <w:p w14:paraId="1DACC6E7">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28576"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1289" name="0001dc"/>
                <wp:cNvGraphicFramePr/>
                <a:graphic xmlns:a="http://schemas.openxmlformats.org/drawingml/2006/main">
                  <a:graphicData uri="http://schemas.microsoft.com/office/word/2010/wordprocessingShape">
                    <wps:wsp>
                      <wps:cNvSpPr/>
                      <wps:spPr>
                        <a:xfrm>
                          <a:off x="0" y="0"/>
                          <a:ext cx="914400" cy="464820"/>
                        </a:xfrm>
                        <a:prstGeom prst="rect">
                          <a:avLst/>
                        </a:prstGeom>
                        <a:ln>
                          <a:noFill/>
                        </a:ln>
                      </wps:spPr>
                      <wps:txbx>
                        <w:txbxContent>
                          <w:p w14:paraId="4B05633C">
                            <w:pPr>
                              <w:pStyle w:val="17"/>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建设单位提供资金安排证据</w:t>
                            </w:r>
                          </w:p>
                        </w:txbxContent>
                      </wps:txbx>
                      <wps:bodyPr wrap="square"/>
                    </wps:wsp>
                  </a:graphicData>
                </a:graphic>
              </wp:anchor>
            </w:drawing>
          </mc:Choice>
          <mc:Fallback>
            <w:pict>
              <v:rect id="0001dc" o:spid="_x0000_s1026" o:spt="1" style="position:absolute;left:0pt;margin-left:-9pt;margin-top:2.7pt;height:36.6pt;width:72pt;z-index:251928576;mso-width-relative:page;mso-height-relative:page;" filled="f" stroked="f" coordsize="21600,21600" o:gfxdata="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sGNAUdgAAAAIAQAADwAAAAAAAAABACAAAAAiAAAA&#10;ZHJzL2Rvd25yZXYueG1sUEsBAhQAFAAAAAgAh07iQCLnBw+VAQAAOAMAAA4AAAAAAAAAAQAgAAAA&#10;JwEAAGRycy9lMm9Eb2MueG1sUEsFBgAAAAAGAAYAWQEAAC4FAAAAAA==&#10;">
                <v:fill on="f" focussize="0,0"/>
                <v:stroke on="f"/>
                <v:imagedata o:title=""/>
                <o:lock v:ext="edit" aspectratio="f"/>
                <v:textbox>
                  <w:txbxContent>
                    <w:p w14:paraId="4B05633C">
                      <w:pPr>
                        <w:pStyle w:val="17"/>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建设单位提供资金安排证据</w:t>
                      </w:r>
                    </w:p>
                  </w:txbxContent>
                </v:textbox>
              </v:rect>
            </w:pict>
          </mc:Fallback>
        </mc:AlternateContent>
      </w:r>
      <w:r>
        <w:rPr>
          <w:rFonts w:hint="eastAsia" w:hAnsi="宋体" w:eastAsia="宋体" w:cs="宋体"/>
          <w:color w:val="auto"/>
          <w:sz w:val="24"/>
          <w:szCs w:val="24"/>
          <w:highlight w:val="none"/>
        </w:rPr>
        <w:t>发包人在收到承包人提交的工程资金需求计划书后28天内，应根据合同约定提供已做出资金安排的合理证据，表明自己有能力按照第78条规定支付合同价款。如果发包人对资金安排作出任何变更时，应及时将变更的详情通知承包人。</w:t>
      </w:r>
    </w:p>
    <w:p w14:paraId="2FE6F8FE">
      <w:pPr>
        <w:pStyle w:val="22"/>
        <w:tabs>
          <w:tab w:val="left" w:pos="1800"/>
        </w:tabs>
        <w:adjustRightInd w:val="0"/>
        <w:snapToGrid w:val="0"/>
        <w:spacing w:line="300" w:lineRule="auto"/>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0F517CED">
      <w:pPr>
        <w:pStyle w:val="22"/>
        <w:tabs>
          <w:tab w:val="left" w:pos="1800"/>
        </w:tabs>
        <w:adjustRightInd w:val="0"/>
        <w:snapToGrid w:val="0"/>
        <w:spacing w:line="300" w:lineRule="auto"/>
        <w:rPr>
          <w:rFonts w:hint="eastAsia" w:hAnsi="宋体" w:eastAsia="宋体" w:cs="宋体"/>
          <w:b/>
          <w:bCs/>
          <w:color w:val="auto"/>
          <w:sz w:val="24"/>
          <w:szCs w:val="24"/>
          <w:highlight w:val="none"/>
          <w:u w:val="single"/>
        </w:rPr>
      </w:pPr>
    </w:p>
    <w:p w14:paraId="07758681">
      <w:pPr>
        <w:pStyle w:val="22"/>
        <w:tabs>
          <w:tab w:val="left" w:pos="1800"/>
        </w:tabs>
        <w:adjustRightInd w:val="0"/>
        <w:snapToGrid w:val="0"/>
        <w:spacing w:line="300" w:lineRule="auto"/>
        <w:rPr>
          <w:rFonts w:hint="eastAsia" w:hAnsi="宋体" w:eastAsia="宋体" w:cs="宋体"/>
          <w:b/>
          <w:bCs/>
          <w:color w:val="auto"/>
          <w:sz w:val="24"/>
          <w:szCs w:val="24"/>
          <w:highlight w:val="none"/>
          <w:u w:val="single"/>
        </w:rPr>
      </w:pPr>
      <w:bookmarkStart w:id="147" w:name="_Toc469384045"/>
      <w:bookmarkStart w:id="148" w:name="_Toc46860866"/>
    </w:p>
    <w:p w14:paraId="3161430E">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★61  工程量</w:t>
      </w:r>
      <w:bookmarkEnd w:id="147"/>
      <w:bookmarkEnd w:id="148"/>
    </w:p>
    <w:p w14:paraId="127DEE02">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61.1</w:t>
      </w:r>
    </w:p>
    <w:p w14:paraId="2EAE92EC">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除专用条款另有约定外，</w:t>
      </w:r>
      <w:r>
        <w:rPr>
          <w:rFonts w:hint="eastAsia" w:hAnsi="宋体" w:eastAsia="宋体" w:cs="宋体"/>
          <w:color w:val="auto"/>
          <w:sz w:val="24"/>
          <w:szCs w:val="24"/>
          <w:highlight w:val="none"/>
        </w:rPr>
        <mc:AlternateContent>
          <mc:Choice Requires="wps">
            <w:drawing>
              <wp:anchor distT="0" distB="0" distL="0" distR="0" simplePos="0" relativeHeight="251929600"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1290" name="0001dd"/>
                <wp:cNvGraphicFramePr/>
                <a:graphic xmlns:a="http://schemas.openxmlformats.org/drawingml/2006/main">
                  <a:graphicData uri="http://schemas.microsoft.com/office/word/2010/wordprocessingShape">
                    <wps:wsp>
                      <wps:cNvSpPr/>
                      <wps:spPr>
                        <a:xfrm>
                          <a:off x="0" y="0"/>
                          <a:ext cx="914400" cy="476249"/>
                        </a:xfrm>
                        <a:prstGeom prst="rect">
                          <a:avLst/>
                        </a:prstGeom>
                        <a:ln>
                          <a:noFill/>
                        </a:ln>
                      </wps:spPr>
                      <wps:txbx>
                        <w:txbxContent>
                          <w:p w14:paraId="775F63AF">
                            <w:pPr>
                              <w:pStyle w:val="17"/>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wps:txbx>
                      <wps:bodyPr wrap="square"/>
                    </wps:wsp>
                  </a:graphicData>
                </a:graphic>
              </wp:anchor>
            </w:drawing>
          </mc:Choice>
          <mc:Fallback>
            <w:pict>
              <v:rect id="0001dd" o:spid="_x0000_s1026" o:spt="1" style="position:absolute;left:0pt;margin-left:-9pt;margin-top:0.9pt;height:37.5pt;width:72pt;z-index:251929600;mso-width-relative:page;mso-height-relative:page;" filled="f" stroked="f" coordsize="21600,21600" o:gfxdata="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&#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EeBZvrXAAAACAEAAA8AAAAAAAAAAQAgAAAAIgAAAGRy&#10;cy9kb3ducmV2LnhtbFBLAQIUABQAAAAIAIdO4kCiGGlYlAEAADgDAAAOAAAAAAAAAAEAIAAAACYB&#10;AABkcnMvZTJvRG9jLnhtbFBLBQYAAAAABgAGAFkBAAAsBQAAAAA=&#10;">
                <v:fill on="f" focussize="0,0"/>
                <v:stroke on="f"/>
                <v:imagedata o:title=""/>
                <o:lock v:ext="edit" aspectratio="f"/>
                <v:textbox>
                  <w:txbxContent>
                    <w:p w14:paraId="775F63AF">
                      <w:pPr>
                        <w:pStyle w:val="17"/>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v:textbox>
              </v:rect>
            </w:pict>
          </mc:Fallback>
        </mc:AlternateContent>
      </w:r>
      <w:r>
        <w:rPr>
          <w:rFonts w:hint="eastAsia" w:hAnsi="宋体" w:eastAsia="宋体" w:cs="宋体"/>
          <w:color w:val="auto"/>
          <w:sz w:val="24"/>
          <w:szCs w:val="24"/>
          <w:highlight w:val="none"/>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72条规定确定合同价款的增加额。</w:t>
      </w:r>
    </w:p>
    <w:p w14:paraId="526CC389">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61.2  </w:t>
      </w:r>
      <w:r>
        <w:rPr>
          <w:rFonts w:hint="eastAsia" w:hAnsi="宋体" w:eastAsia="宋体" w:cs="宋体"/>
          <w:b/>
          <w:bCs/>
          <w:color w:val="auto"/>
          <w:sz w:val="24"/>
          <w:szCs w:val="24"/>
          <w:highlight w:val="none"/>
          <w:u w:val="dotted"/>
        </w:rPr>
        <w:t xml:space="preserve">                                                                                                        </w:t>
      </w:r>
    </w:p>
    <w:p w14:paraId="6AC99FF5">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30624"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1291" name="0001de"/>
                <wp:cNvGraphicFramePr/>
                <a:graphic xmlns:a="http://schemas.openxmlformats.org/drawingml/2006/main">
                  <a:graphicData uri="http://schemas.microsoft.com/office/word/2010/wordprocessingShape">
                    <wps:wsp>
                      <wps:cNvSpPr/>
                      <wps:spPr>
                        <a:xfrm>
                          <a:off x="0" y="0"/>
                          <a:ext cx="1028700" cy="361950"/>
                        </a:xfrm>
                        <a:prstGeom prst="rect">
                          <a:avLst/>
                        </a:prstGeom>
                        <a:ln>
                          <a:noFill/>
                        </a:ln>
                      </wps:spPr>
                      <wps:txbx>
                        <w:txbxContent>
                          <w:p w14:paraId="09131394">
                            <w:pPr>
                              <w:pStyle w:val="17"/>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wps:txbx>
                      <wps:bodyPr wrap="square"/>
                    </wps:wsp>
                  </a:graphicData>
                </a:graphic>
              </wp:anchor>
            </w:drawing>
          </mc:Choice>
          <mc:Fallback>
            <w:pict>
              <v:rect id="0001de" o:spid="_x0000_s1026" o:spt="1" style="position:absolute;left:0pt;margin-left:-9pt;margin-top:0.9pt;height:28.5pt;width:81pt;z-index:251930624;mso-width-relative:page;mso-height-relative:page;" filled="f" stroked="f" coordsize="21600,21600" o:gfxdata="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4VCV1wAAAAgBAAAPAAAAAAAAAAEAIAAAACIAAABk&#10;cnMvZG93bnJldi54bWxQSwECFAAUAAAACACHTuJA0HzPdpUBAAA5AwAADgAAAAAAAAABACAAAAAm&#10;AQAAZHJzL2Uyb0RvYy54bWxQSwUGAAAAAAYABgBZAQAALQUAAAAA&#10;">
                <v:fill on="f" focussize="0,0"/>
                <v:stroke on="f"/>
                <v:imagedata o:title=""/>
                <o:lock v:ext="edit" aspectratio="f"/>
                <v:textbox>
                  <w:txbxContent>
                    <w:p w14:paraId="09131394">
                      <w:pPr>
                        <w:pStyle w:val="17"/>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v:textbox>
              </v:rect>
            </w:pict>
          </mc:Fallback>
        </mc:AlternateContent>
      </w:r>
      <w:r>
        <w:rPr>
          <w:rFonts w:hint="eastAsia" w:hAnsi="宋体" w:eastAsia="宋体" w:cs="宋体"/>
          <w:color w:val="auto"/>
          <w:sz w:val="24"/>
          <w:szCs w:val="24"/>
          <w:highlight w:val="none"/>
        </w:rPr>
        <w:t>工程量清单中开列的工程量是根据合同工程施工设计图纸提供的预计工程量，不能作为承包人履行合同义务中应予完成合同工程的实际和准确工程量。</w:t>
      </w:r>
    </w:p>
    <w:p w14:paraId="0B7A6200">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发包人应按照承包人实际完成的应予计量的工程量与其在工程量清单中填报的单价或合价的乘积向承包人支付工程款。</w:t>
      </w:r>
    </w:p>
    <w:p w14:paraId="66DAE356">
      <w:pPr>
        <w:pStyle w:val="22"/>
        <w:adjustRightInd w:val="0"/>
        <w:snapToGrid w:val="0"/>
        <w:spacing w:line="300" w:lineRule="auto"/>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426E018D">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149" w:name="_Toc46860867"/>
      <w:bookmarkStart w:id="150" w:name="_Toc469384046"/>
      <w:r>
        <w:rPr>
          <w:rFonts w:hint="eastAsia" w:hAnsi="宋体" w:eastAsia="宋体" w:cs="宋体"/>
          <w:b/>
          <w:bCs/>
          <w:color w:val="auto"/>
          <w:sz w:val="24"/>
          <w:szCs w:val="24"/>
          <w:highlight w:val="none"/>
        </w:rPr>
        <w:t>★62  工程计量和计价</w:t>
      </w:r>
      <w:bookmarkEnd w:id="149"/>
      <w:bookmarkEnd w:id="150"/>
    </w:p>
    <w:p w14:paraId="62961BC6">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62.1</w:t>
      </w:r>
    </w:p>
    <w:p w14:paraId="2340FC03">
      <w:pPr>
        <w:pStyle w:val="22"/>
        <w:adjustRightInd w:val="0"/>
        <w:snapToGrid w:val="0"/>
        <w:spacing w:line="300" w:lineRule="auto"/>
        <w:ind w:left="1619" w:leftChars="771"/>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31648"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1292" name="0001df"/>
                <wp:cNvGraphicFramePr/>
                <a:graphic xmlns:a="http://schemas.openxmlformats.org/drawingml/2006/main">
                  <a:graphicData uri="http://schemas.microsoft.com/office/word/2010/wordprocessingShape">
                    <wps:wsp>
                      <wps:cNvSpPr/>
                      <wps:spPr>
                        <a:xfrm>
                          <a:off x="0" y="0"/>
                          <a:ext cx="914400" cy="415925"/>
                        </a:xfrm>
                        <a:prstGeom prst="rect">
                          <a:avLst/>
                        </a:prstGeom>
                        <a:ln>
                          <a:noFill/>
                        </a:ln>
                      </wps:spPr>
                      <wps:txbx>
                        <w:txbxContent>
                          <w:p w14:paraId="4CCE0D0E">
                            <w:pPr>
                              <w:pStyle w:val="17"/>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wps:txbx>
                      <wps:bodyPr wrap="square"/>
                    </wps:wsp>
                  </a:graphicData>
                </a:graphic>
              </wp:anchor>
            </w:drawing>
          </mc:Choice>
          <mc:Fallback>
            <w:pict>
              <v:rect id="0001df" o:spid="_x0000_s1026" o:spt="1" style="position:absolute;left:0pt;margin-left:-9pt;margin-top:1pt;height:32.75pt;width:72pt;z-index:251931648;mso-width-relative:page;mso-height-relative:page;" filled="f" stroked="f" coordsize="21600,21600" o:gfxdata="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4nMR3ZAAAACAEAAA8AAAAAAAAAAQAgAAAAIgAA&#10;AGRycy9kb3ducmV2LnhtbFBLAQIUABQAAAAIAIdO4kAVyP5PlQEAADgDAAAOAAAAAAAAAAEAIAAA&#10;ACgBAABkcnMvZTJvRG9jLnhtbFBLBQYAAAAABgAGAFkBAAAvBQAAAAA=&#10;">
                <v:fill on="f" focussize="0,0"/>
                <v:stroke on="f"/>
                <v:imagedata o:title=""/>
                <o:lock v:ext="edit" aspectratio="f"/>
                <v:textbox>
                  <w:txbxContent>
                    <w:p w14:paraId="4CCE0D0E">
                      <w:pPr>
                        <w:pStyle w:val="17"/>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v:textbox>
              </v:rect>
            </w:pict>
          </mc:Fallback>
        </mc:AlternateContent>
      </w:r>
      <w:r>
        <w:rPr>
          <w:rFonts w:hint="eastAsia" w:hAnsi="宋体" w:eastAsia="宋体" w:cs="宋体"/>
          <w:color w:val="auto"/>
          <w:sz w:val="24"/>
          <w:szCs w:val="24"/>
          <w:highlight w:val="none"/>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14:paraId="6A6566AD">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62.2  </w:t>
      </w:r>
      <w:r>
        <w:rPr>
          <w:rFonts w:hint="eastAsia" w:hAnsi="宋体" w:eastAsia="宋体" w:cs="宋体"/>
          <w:b/>
          <w:bCs/>
          <w:color w:val="auto"/>
          <w:sz w:val="24"/>
          <w:szCs w:val="24"/>
          <w:highlight w:val="none"/>
          <w:u w:val="dotted"/>
        </w:rPr>
        <w:t xml:space="preserve">                                                                                  </w:t>
      </w:r>
    </w:p>
    <w:p w14:paraId="0B828444">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32672"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1293" name="0001e0"/>
                <wp:cNvGraphicFramePr/>
                <a:graphic xmlns:a="http://schemas.openxmlformats.org/drawingml/2006/main">
                  <a:graphicData uri="http://schemas.microsoft.com/office/word/2010/wordprocessingShape">
                    <wps:wsp>
                      <wps:cNvSpPr/>
                      <wps:spPr>
                        <a:xfrm>
                          <a:off x="0" y="0"/>
                          <a:ext cx="914400" cy="415925"/>
                        </a:xfrm>
                        <a:prstGeom prst="rect">
                          <a:avLst/>
                        </a:prstGeom>
                        <a:ln>
                          <a:noFill/>
                        </a:ln>
                      </wps:spPr>
                      <wps:txbx>
                        <w:txbxContent>
                          <w:p w14:paraId="5BE52718">
                            <w:pPr>
                              <w:pStyle w:val="17"/>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wps:txbx>
                      <wps:bodyPr wrap="square"/>
                    </wps:wsp>
                  </a:graphicData>
                </a:graphic>
              </wp:anchor>
            </w:drawing>
          </mc:Choice>
          <mc:Fallback>
            <w:pict>
              <v:rect id="0001e0" o:spid="_x0000_s1026" o:spt="1" style="position:absolute;left:0pt;margin-left:-9pt;margin-top:4pt;height:32.75pt;width:72pt;z-index:251932672;mso-width-relative:page;mso-height-relative:page;" filled="f" stroked="f" coordsize="21600,21600" o:gfxdata="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KMoxytkAAAAIAQAADwAAAAAAAAABACAAAAAiAAAA&#10;ZHJzL2Rvd25yZXYueG1sUEsBAhQAFAAAAAgAh07iQHYlvMmUAQAAOAMAAA4AAAAAAAAAAQAgAAAA&#10;KAEAAGRycy9lMm9Eb2MueG1sUEsFBgAAAAAGAAYAWQEAAC4FAAAAAA==&#10;">
                <v:fill on="f" focussize="0,0"/>
                <v:stroke on="f"/>
                <v:imagedata o:title=""/>
                <o:lock v:ext="edit" aspectratio="f"/>
                <v:textbox>
                  <w:txbxContent>
                    <w:p w14:paraId="5BE52718">
                      <w:pPr>
                        <w:pStyle w:val="17"/>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v:textbox>
              </v:rect>
            </w:pict>
          </mc:Fallback>
        </mc:AlternateContent>
      </w:r>
      <w:r>
        <w:rPr>
          <w:rFonts w:hint="eastAsia" w:hAnsi="宋体" w:eastAsia="宋体" w:cs="宋体"/>
          <w:color w:val="auto"/>
          <w:sz w:val="24"/>
          <w:szCs w:val="24"/>
          <w:highlight w:val="none"/>
        </w:rPr>
        <w:t>合同双方当事人应按照合同约定，依据国家标准《建设工程工程量清单计价规范》、广东省统一工程计价依据或专业部门的工程计价依据以及工程造价管理机构制订的有关计价规定进行工程计量和计价。</w:t>
      </w:r>
    </w:p>
    <w:p w14:paraId="763E8B3A">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造价工程师负责工程计量和计价的核实工作。</w:t>
      </w:r>
    </w:p>
    <w:p w14:paraId="7B84A114">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62.3  </w:t>
      </w:r>
      <w:r>
        <w:rPr>
          <w:rFonts w:hint="eastAsia" w:hAnsi="宋体" w:eastAsia="宋体" w:cs="宋体"/>
          <w:b/>
          <w:bCs/>
          <w:color w:val="auto"/>
          <w:sz w:val="24"/>
          <w:szCs w:val="24"/>
          <w:highlight w:val="none"/>
          <w:u w:val="dotted"/>
        </w:rPr>
        <w:t xml:space="preserve">                                                                                                        </w:t>
      </w:r>
    </w:p>
    <w:p w14:paraId="723E2817">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33696"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1294" name="0001e1"/>
                <wp:cNvGraphicFramePr/>
                <a:graphic xmlns:a="http://schemas.openxmlformats.org/drawingml/2006/main">
                  <a:graphicData uri="http://schemas.microsoft.com/office/word/2010/wordprocessingShape">
                    <wps:wsp>
                      <wps:cNvSpPr/>
                      <wps:spPr>
                        <a:xfrm>
                          <a:off x="0" y="0"/>
                          <a:ext cx="914400" cy="548005"/>
                        </a:xfrm>
                        <a:prstGeom prst="rect">
                          <a:avLst/>
                        </a:prstGeom>
                        <a:ln>
                          <a:noFill/>
                        </a:ln>
                      </wps:spPr>
                      <wps:txbx>
                        <w:txbxContent>
                          <w:p w14:paraId="4519B1B2">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p w14:paraId="74E08A43">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工程款额报告的提交和核实</w:t>
                            </w:r>
                          </w:p>
                        </w:txbxContent>
                      </wps:txbx>
                      <wps:bodyPr wrap="square"/>
                    </wps:wsp>
                  </a:graphicData>
                </a:graphic>
              </wp:anchor>
            </w:drawing>
          </mc:Choice>
          <mc:Fallback>
            <w:pict>
              <v:rect id="0001e1" o:spid="_x0000_s1026" o:spt="1" style="position:absolute;left:0pt;margin-left:-9pt;margin-top:-0.15pt;height:43.15pt;width:72pt;z-index:251933696;mso-width-relative:page;mso-height-relative:page;" filled="f" stroked="f" coordsize="21600,21600" o:gfxdata="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&#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Aflt71wAAAAgBAAAPAAAAAAAAAAEAIAAAACIAAABk&#10;cnMvZG93bnJldi54bWxQSwECFAAUAAAACACHTuJAiKKPpJUBAAA4AwAADgAAAAAAAAABACAAAAAm&#10;AQAAZHJzL2Uyb0RvYy54bWxQSwUGAAAAAAYABgBZAQAALQUAAAAA&#10;">
                <v:fill on="f" focussize="0,0"/>
                <v:stroke on="f"/>
                <v:imagedata o:title=""/>
                <o:lock v:ext="edit" aspectratio="f"/>
                <v:textbox>
                  <w:txbxContent>
                    <w:p w14:paraId="4519B1B2">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p w14:paraId="74E08A43">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工程款额报告的提交和核实</w:t>
                      </w:r>
                    </w:p>
                  </w:txbxContent>
                </v:textbox>
              </v:rect>
            </w:pict>
          </mc:Fallback>
        </mc:AlternateContent>
      </w:r>
      <w:r>
        <w:rPr>
          <w:rFonts w:hint="eastAsia" w:hAnsi="宋体" w:eastAsia="宋体" w:cs="宋体"/>
          <w:color w:val="auto"/>
          <w:sz w:val="24"/>
          <w:szCs w:val="24"/>
          <w:highlight w:val="none"/>
        </w:rPr>
        <w:t>承包人应按照第81.1款规定向造价工程师提交已完工程款额报告。造价工程师应在收到报告后的14天内核实工程量，并将核实结果通知承包人、抄报发包人，作为工程计价和工程款支付的依据。</w:t>
      </w:r>
    </w:p>
    <w:p w14:paraId="2AC9C81F">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62.4  </w:t>
      </w:r>
      <w:r>
        <w:rPr>
          <w:rFonts w:hint="eastAsia" w:hAnsi="宋体" w:eastAsia="宋体" w:cs="宋体"/>
          <w:b/>
          <w:bCs/>
          <w:color w:val="auto"/>
          <w:sz w:val="24"/>
          <w:szCs w:val="24"/>
          <w:highlight w:val="none"/>
          <w:u w:val="dotted"/>
        </w:rPr>
        <w:t xml:space="preserve">                                                                                                        </w:t>
      </w:r>
    </w:p>
    <w:p w14:paraId="00631D6E">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34720"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1295" name="0001e2"/>
                <wp:cNvGraphicFramePr/>
                <a:graphic xmlns:a="http://schemas.openxmlformats.org/drawingml/2006/main">
                  <a:graphicData uri="http://schemas.microsoft.com/office/word/2010/wordprocessingShape">
                    <wps:wsp>
                      <wps:cNvSpPr/>
                      <wps:spPr>
                        <a:xfrm>
                          <a:off x="0" y="0"/>
                          <a:ext cx="800100" cy="354329"/>
                        </a:xfrm>
                        <a:prstGeom prst="rect">
                          <a:avLst/>
                        </a:prstGeom>
                        <a:ln>
                          <a:noFill/>
                        </a:ln>
                      </wps:spPr>
                      <wps:txbx>
                        <w:txbxContent>
                          <w:p w14:paraId="049D9E4A">
                            <w:pPr>
                              <w:rPr>
                                <w:rFonts w:hint="eastAsia" w:ascii="宋体"/>
                                <w:sz w:val="18"/>
                                <w:szCs w:val="18"/>
                              </w:rPr>
                            </w:pPr>
                            <w:r>
                              <w:rPr>
                                <w:rFonts w:hint="eastAsia" w:hAnsi="宋体"/>
                                <w:b/>
                                <w:bCs/>
                                <w:color w:val="000000"/>
                                <w:sz w:val="18"/>
                                <w:szCs w:val="18"/>
                              </w:rPr>
                              <w:t>现场计量</w:t>
                            </w:r>
                          </w:p>
                        </w:txbxContent>
                      </wps:txbx>
                      <wps:bodyPr wrap="square"/>
                    </wps:wsp>
                  </a:graphicData>
                </a:graphic>
              </wp:anchor>
            </w:drawing>
          </mc:Choice>
          <mc:Fallback>
            <w:pict>
              <v:rect id="0001e2" o:spid="_x0000_s1026" o:spt="1" style="position:absolute;left:0pt;margin-left:-9pt;margin-top:3.95pt;height:27.9pt;width:63pt;z-index:251934720;mso-width-relative:page;mso-height-relative:page;" filled="f" stroked="f" coordsize="21600,21600" o:gfxdata="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&#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LO6B+LXAAAACAEAAA8AAAAAAAAAAQAgAAAAIgAAAGRy&#10;cy9kb3ducmV2LnhtbFBLAQIUABQAAAAIAIdO4kAjDwAGlAEAADgDAAAOAAAAAAAAAAEAIAAAACYB&#10;AABkcnMvZTJvRG9jLnhtbFBLBQYAAAAABgAGAFkBAAAsBQAAAAA=&#10;">
                <v:fill on="f" focussize="0,0"/>
                <v:stroke on="f"/>
                <v:imagedata o:title=""/>
                <o:lock v:ext="edit" aspectratio="f"/>
                <v:textbox>
                  <w:txbxContent>
                    <w:p w14:paraId="049D9E4A">
                      <w:pPr>
                        <w:rPr>
                          <w:rFonts w:hint="eastAsia" w:ascii="宋体"/>
                          <w:sz w:val="18"/>
                          <w:szCs w:val="18"/>
                        </w:rPr>
                      </w:pPr>
                      <w:r>
                        <w:rPr>
                          <w:rFonts w:hint="eastAsia" w:hAnsi="宋体"/>
                          <w:b/>
                          <w:bCs/>
                          <w:color w:val="000000"/>
                          <w:sz w:val="18"/>
                          <w:szCs w:val="18"/>
                        </w:rPr>
                        <w:t>现场计量</w:t>
                      </w:r>
                    </w:p>
                  </w:txbxContent>
                </v:textbox>
              </v:rect>
            </w:pict>
          </mc:Fallback>
        </mc:AlternateContent>
      </w:r>
      <w:r>
        <w:rPr>
          <w:rFonts w:hint="eastAsia" w:hAnsi="宋体" w:eastAsia="宋体" w:cs="宋体"/>
          <w:color w:val="auto"/>
          <w:sz w:val="24"/>
          <w:szCs w:val="24"/>
          <w:highlight w:val="none"/>
        </w:rPr>
        <w:t>当造价工程师进行现场计量时，应在计量前24小时通知承包人，承包人应为计量提供便利条件并派人参加。承包人收到通知后不派人参加计量，视为认可计量结果。造价工程师不按照约定时间通知承包人，致使承包人未能派人参加计量，计量结果无效。</w:t>
      </w:r>
    </w:p>
    <w:p w14:paraId="3BFC83DE">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62.5 </w:t>
      </w:r>
      <w:r>
        <w:rPr>
          <w:rFonts w:hint="eastAsia" w:hAnsi="宋体" w:eastAsia="宋体" w:cs="宋体"/>
          <w:b/>
          <w:bCs/>
          <w:color w:val="auto"/>
          <w:sz w:val="24"/>
          <w:szCs w:val="24"/>
          <w:highlight w:val="none"/>
          <w:u w:val="dotted"/>
        </w:rPr>
        <w:t xml:space="preserve">                                                                                                        </w:t>
      </w:r>
    </w:p>
    <w:p w14:paraId="00F35AA2">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35744"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1296" name="0001e3"/>
                <wp:cNvGraphicFramePr/>
                <a:graphic xmlns:a="http://schemas.openxmlformats.org/drawingml/2006/main">
                  <a:graphicData uri="http://schemas.microsoft.com/office/word/2010/wordprocessingShape">
                    <wps:wsp>
                      <wps:cNvSpPr/>
                      <wps:spPr>
                        <a:xfrm>
                          <a:off x="0" y="0"/>
                          <a:ext cx="914400" cy="603250"/>
                        </a:xfrm>
                        <a:prstGeom prst="rect">
                          <a:avLst/>
                        </a:prstGeom>
                        <a:ln>
                          <a:noFill/>
                        </a:ln>
                      </wps:spPr>
                      <wps:txbx>
                        <w:txbxContent>
                          <w:p w14:paraId="7E689F29">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p w14:paraId="1AA66101">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已完工程款额报告的限制</w:t>
                            </w:r>
                          </w:p>
                        </w:txbxContent>
                      </wps:txbx>
                      <wps:bodyPr wrap="square"/>
                    </wps:wsp>
                  </a:graphicData>
                </a:graphic>
              </wp:anchor>
            </w:drawing>
          </mc:Choice>
          <mc:Fallback>
            <w:pict>
              <v:rect id="0001e3" o:spid="_x0000_s1026" o:spt="1" style="position:absolute;left:0pt;margin-left:-9pt;margin-top:3.5pt;height:47.5pt;width:72pt;z-index:251935744;mso-width-relative:page;mso-height-relative:page;" filled="f" stroked="f" coordsize="21600,21600" o:gfxdata="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PgSsmTYAAAACQEAAA8AAAAAAAAAAQAgAAAAIgAA&#10;AGRycy9kb3ducmV2LnhtbFBLAQIUABQAAAAIAIdO4kAPyjvwlgEAADgDAAAOAAAAAAAAAAEAIAAA&#10;ACcBAABkcnMvZTJvRG9jLnhtbFBLBQYAAAAABgAGAFkBAAAvBQAAAAA=&#10;">
                <v:fill on="f" focussize="0,0"/>
                <v:stroke on="f"/>
                <v:imagedata o:title=""/>
                <o:lock v:ext="edit" aspectratio="f"/>
                <v:textbox>
                  <w:txbxContent>
                    <w:p w14:paraId="7E689F29">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p w14:paraId="1AA66101">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已完工程款额报告的限制</w:t>
                      </w:r>
                    </w:p>
                  </w:txbxContent>
                </v:textbox>
              </v:rect>
            </w:pict>
          </mc:Fallback>
        </mc:AlternateContent>
      </w:r>
      <w:r>
        <w:rPr>
          <w:rFonts w:hint="eastAsia" w:hAnsi="宋体" w:eastAsia="宋体" w:cs="宋体"/>
          <w:color w:val="auto"/>
          <w:sz w:val="24"/>
          <w:szCs w:val="24"/>
          <w:highlight w:val="none"/>
        </w:rPr>
        <w:t>造价工程师收到承包人按照第81.1款规定提交的已完工程款额报告后14天内，未进行计量或未向承包人通知计量结果的，从第15天起，承包人报告中开列的工程量即视为被确认，作为工程计价和工程款支付的依据。</w:t>
      </w:r>
    </w:p>
    <w:p w14:paraId="6AE54631">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62.6  </w:t>
      </w:r>
      <w:r>
        <w:rPr>
          <w:rFonts w:hint="eastAsia" w:hAnsi="宋体" w:eastAsia="宋体" w:cs="宋体"/>
          <w:b/>
          <w:bCs/>
          <w:color w:val="auto"/>
          <w:sz w:val="24"/>
          <w:szCs w:val="24"/>
          <w:highlight w:val="none"/>
          <w:u w:val="dotted"/>
        </w:rPr>
        <w:t xml:space="preserve">                                                                                                        </w:t>
      </w:r>
    </w:p>
    <w:p w14:paraId="5F9667FA">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36768"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1297" name="0001e4"/>
                <wp:cNvGraphicFramePr/>
                <a:graphic xmlns:a="http://schemas.openxmlformats.org/drawingml/2006/main">
                  <a:graphicData uri="http://schemas.microsoft.com/office/word/2010/wordprocessingShape">
                    <wps:wsp>
                      <wps:cNvSpPr/>
                      <wps:spPr>
                        <a:xfrm>
                          <a:off x="0" y="0"/>
                          <a:ext cx="914400" cy="297180"/>
                        </a:xfrm>
                        <a:prstGeom prst="rect">
                          <a:avLst/>
                        </a:prstGeom>
                        <a:ln>
                          <a:noFill/>
                        </a:ln>
                      </wps:spPr>
                      <wps:txbx>
                        <w:txbxContent>
                          <w:p w14:paraId="4C26B2A4">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p w14:paraId="4F5BEBB4">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核计量结果</w:t>
                            </w:r>
                          </w:p>
                        </w:txbxContent>
                      </wps:txbx>
                      <wps:bodyPr wrap="square"/>
                    </wps:wsp>
                  </a:graphicData>
                </a:graphic>
              </wp:anchor>
            </w:drawing>
          </mc:Choice>
          <mc:Fallback>
            <w:pict>
              <v:rect id="0001e4" o:spid="_x0000_s1026" o:spt="1" style="position:absolute;left:0pt;margin-left:-9pt;margin-top:3.6pt;height:23.4pt;width:72pt;z-index:251936768;mso-width-relative:page;mso-height-relative:page;" filled="f" stroked="f" coordsize="21600,21600" o:gfxdata="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tos/6NgAAAAIAQAADwAAAAAAAAABACAAAAAiAAAA&#10;ZHJzL2Rvd25yZXYueG1sUEsBAhQAFAAAAAgAh07iQDjOmLSVAQAAOAMAAA4AAAAAAAAAAQAgAAAA&#10;JwEAAGRycy9lMm9Eb2MueG1sUEsFBgAAAAAGAAYAWQEAAC4FAAAAAA==&#10;">
                <v:fill on="f" focussize="0,0"/>
                <v:stroke on="f"/>
                <v:imagedata o:title=""/>
                <o:lock v:ext="edit" aspectratio="f"/>
                <v:textbox>
                  <w:txbxContent>
                    <w:p w14:paraId="4C26B2A4">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p w14:paraId="4F5BEBB4">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核计量结果</w:t>
                      </w:r>
                    </w:p>
                  </w:txbxContent>
                </v:textbox>
              </v:rect>
            </w:pict>
          </mc:Fallback>
        </mc:AlternateContent>
      </w:r>
      <w:r>
        <w:rPr>
          <w:rFonts w:hint="eastAsia" w:hAnsi="宋体" w:eastAsia="宋体" w:cs="宋体"/>
          <w:color w:val="auto"/>
          <w:sz w:val="24"/>
          <w:szCs w:val="24"/>
          <w:highlight w:val="none"/>
        </w:rPr>
        <w:t>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86条规定处理。</w:t>
      </w:r>
    </w:p>
    <w:p w14:paraId="54F10F4C">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62.7  </w:t>
      </w:r>
      <w:r>
        <w:rPr>
          <w:rFonts w:hint="eastAsia" w:hAnsi="宋体" w:eastAsia="宋体" w:cs="宋体"/>
          <w:b/>
          <w:bCs/>
          <w:color w:val="auto"/>
          <w:sz w:val="24"/>
          <w:szCs w:val="24"/>
          <w:highlight w:val="none"/>
          <w:u w:val="dotted"/>
        </w:rPr>
        <w:t xml:space="preserve">                                                                                                        </w:t>
      </w:r>
    </w:p>
    <w:p w14:paraId="7C3C5B7A">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37792"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1298" name="0001e5"/>
                <wp:cNvGraphicFramePr/>
                <a:graphic xmlns:a="http://schemas.openxmlformats.org/drawingml/2006/main">
                  <a:graphicData uri="http://schemas.microsoft.com/office/word/2010/wordprocessingShape">
                    <wps:wsp>
                      <wps:cNvSpPr/>
                      <wps:spPr>
                        <a:xfrm>
                          <a:off x="0" y="0"/>
                          <a:ext cx="800100" cy="297180"/>
                        </a:xfrm>
                        <a:prstGeom prst="rect">
                          <a:avLst/>
                        </a:prstGeom>
                        <a:ln>
                          <a:noFill/>
                        </a:ln>
                      </wps:spPr>
                      <wps:txbx>
                        <w:txbxContent>
                          <w:p w14:paraId="0ACA343A">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p w14:paraId="49AAC6EF">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计量</w:t>
                            </w:r>
                          </w:p>
                        </w:txbxContent>
                      </wps:txbx>
                      <wps:bodyPr wrap="square"/>
                    </wps:wsp>
                  </a:graphicData>
                </a:graphic>
              </wp:anchor>
            </w:drawing>
          </mc:Choice>
          <mc:Fallback>
            <w:pict>
              <v:rect id="0001e5" o:spid="_x0000_s1026" o:spt="1" style="position:absolute;left:0pt;margin-left:-9pt;margin-top:2.85pt;height:23.4pt;width:63pt;z-index:251937792;mso-width-relative:page;mso-height-relative:page;" filled="f" stroked="f" coordsize="21600,21600" o:gfxdata="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&#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EprO+vXAAAACAEAAA8AAAAAAAAAAQAgAAAAIgAAAGRy&#10;cy9kb3ducmV2LnhtbFBLAQIUABQAAAAIAIdO4kAklOHGlAEAADgDAAAOAAAAAAAAAAEAIAAAACYB&#10;AABkcnMvZTJvRG9jLnhtbFBLBQYAAAAABgAGAFkBAAAsBQAAAAA=&#10;">
                <v:fill on="f" focussize="0,0"/>
                <v:stroke on="f"/>
                <v:imagedata o:title=""/>
                <o:lock v:ext="edit" aspectratio="f"/>
                <v:textbox>
                  <w:txbxContent>
                    <w:p w14:paraId="0ACA343A">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p w14:paraId="49AAC6EF">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计量</w:t>
                      </w:r>
                    </w:p>
                  </w:txbxContent>
                </v:textbox>
              </v:rect>
            </w:pict>
          </mc:Fallback>
        </mc:AlternateContent>
      </w:r>
      <w:r>
        <w:rPr>
          <w:rFonts w:hint="eastAsia" w:hAnsi="宋体" w:eastAsia="宋体" w:cs="宋体"/>
          <w:color w:val="auto"/>
          <w:sz w:val="24"/>
          <w:szCs w:val="24"/>
          <w:highlight w:val="none"/>
        </w:rPr>
        <w:t>对承包人超出施工设计图纸范围或因承包人的原因造成返工的工程量，造价工程师均不予计量。</w:t>
      </w:r>
    </w:p>
    <w:p w14:paraId="0A32F6A6">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62.8  </w:t>
      </w:r>
      <w:r>
        <w:rPr>
          <w:rFonts w:hint="eastAsia" w:hAnsi="宋体" w:eastAsia="宋体" w:cs="宋体"/>
          <w:b/>
          <w:bCs/>
          <w:color w:val="auto"/>
          <w:sz w:val="24"/>
          <w:szCs w:val="24"/>
          <w:highlight w:val="none"/>
          <w:u w:val="dotted"/>
        </w:rPr>
        <w:t xml:space="preserve">                                                                                                        </w:t>
      </w:r>
    </w:p>
    <w:p w14:paraId="15DE9632">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38816"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1299" name="0001e6"/>
                <wp:cNvGraphicFramePr/>
                <a:graphic xmlns:a="http://schemas.openxmlformats.org/drawingml/2006/main">
                  <a:graphicData uri="http://schemas.microsoft.com/office/word/2010/wordprocessingShape">
                    <wps:wsp>
                      <wps:cNvSpPr/>
                      <wps:spPr>
                        <a:xfrm>
                          <a:off x="0" y="0"/>
                          <a:ext cx="914400" cy="494030"/>
                        </a:xfrm>
                        <a:prstGeom prst="rect">
                          <a:avLst/>
                        </a:prstGeom>
                        <a:ln>
                          <a:noFill/>
                        </a:ln>
                      </wps:spPr>
                      <wps:txbx>
                        <w:txbxContent>
                          <w:p w14:paraId="3E42A740">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p w14:paraId="547BE999">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工作价款的计算</w:t>
                            </w:r>
                          </w:p>
                        </w:txbxContent>
                      </wps:txbx>
                      <wps:bodyPr wrap="square"/>
                    </wps:wsp>
                  </a:graphicData>
                </a:graphic>
              </wp:anchor>
            </w:drawing>
          </mc:Choice>
          <mc:Fallback>
            <w:pict>
              <v:rect id="0001e6" o:spid="_x0000_s1026" o:spt="1" style="position:absolute;left:0pt;margin-left:-9pt;margin-top:1.9pt;height:38.9pt;width:72pt;z-index:251938816;mso-width-relative:page;mso-height-relative:page;" filled="f" stroked="f" coordsize="21600,21600" o:gfxdata="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ATltsZ1wAAAAgBAAAPAAAAAAAAAAEAIAAAACIAAABk&#10;cnMvZG93bnJldi54bWxQSwECFAAUAAAACACHTuJAaHI1SZUBAAA4AwAADgAAAAAAAAABACAAAAAm&#10;AQAAZHJzL2Uyb0RvYy54bWxQSwUGAAAAAAYABgBZAQAALQUAAAAA&#10;">
                <v:fill on="f" focussize="0,0"/>
                <v:stroke on="f"/>
                <v:imagedata o:title=""/>
                <o:lock v:ext="edit" aspectratio="f"/>
                <v:textbox>
                  <w:txbxContent>
                    <w:p w14:paraId="3E42A740">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p w14:paraId="547BE999">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工作价款的计算</w:t>
                      </w:r>
                    </w:p>
                  </w:txbxContent>
                </v:textbox>
              </v:rect>
            </w:pict>
          </mc:Fallback>
        </mc:AlternateContent>
      </w:r>
      <w:r>
        <w:rPr>
          <w:rFonts w:hint="eastAsia" w:hAnsi="宋体" w:eastAsia="宋体" w:cs="宋体"/>
          <w:color w:val="auto"/>
          <w:sz w:val="24"/>
          <w:szCs w:val="24"/>
          <w:highlight w:val="none"/>
        </w:rPr>
        <w:t>除按照第69条至第73条、第76条规定所做的调整外，每项工作所适用的单价(费率)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14:paraId="31369BF1">
      <w:pPr>
        <w:pStyle w:val="22"/>
        <w:tabs>
          <w:tab w:val="left" w:pos="1620"/>
        </w:tabs>
        <w:adjustRightInd w:val="0"/>
        <w:snapToGrid w:val="0"/>
        <w:spacing w:line="300" w:lineRule="auto"/>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7B44971E">
      <w:pPr>
        <w:pStyle w:val="22"/>
        <w:tabs>
          <w:tab w:val="left" w:pos="540"/>
        </w:tabs>
        <w:adjustRightInd w:val="0"/>
        <w:snapToGrid w:val="0"/>
        <w:spacing w:before="240" w:beforeLines="100" w:line="300" w:lineRule="auto"/>
        <w:outlineLvl w:val="2"/>
        <w:rPr>
          <w:rFonts w:hint="eastAsia" w:hAnsi="宋体" w:eastAsia="宋体" w:cs="宋体"/>
          <w:b/>
          <w:bCs/>
          <w:dstrike/>
          <w:color w:val="auto"/>
          <w:sz w:val="24"/>
          <w:szCs w:val="24"/>
          <w:highlight w:val="none"/>
        </w:rPr>
      </w:pPr>
      <w:bookmarkStart w:id="151" w:name="_Toc46860868"/>
      <w:bookmarkStart w:id="152" w:name="_Toc469384047"/>
      <w:r>
        <w:rPr>
          <w:rFonts w:hint="eastAsia" w:hAnsi="宋体" w:eastAsia="宋体" w:cs="宋体"/>
          <w:b/>
          <w:bCs/>
          <w:color w:val="auto"/>
          <w:sz w:val="24"/>
          <w:szCs w:val="24"/>
          <w:highlight w:val="none"/>
        </w:rPr>
        <w:t>★63  暂列金额</w:t>
      </w:r>
      <w:bookmarkEnd w:id="151"/>
      <w:bookmarkEnd w:id="152"/>
    </w:p>
    <w:p w14:paraId="1945D5D5">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63.1</w:t>
      </w:r>
    </w:p>
    <w:p w14:paraId="27FD5C2F">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939840"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1300" name="0001e7"/>
                <wp:cNvGraphicFramePr/>
                <a:graphic xmlns:a="http://schemas.openxmlformats.org/drawingml/2006/main">
                  <a:graphicData uri="http://schemas.microsoft.com/office/word/2010/wordprocessingShape">
                    <wps:wsp>
                      <wps:cNvSpPr/>
                      <wps:spPr>
                        <a:xfrm>
                          <a:off x="0" y="0"/>
                          <a:ext cx="1143000" cy="688340"/>
                        </a:xfrm>
                        <a:prstGeom prst="rect">
                          <a:avLst/>
                        </a:prstGeom>
                        <a:ln>
                          <a:noFill/>
                        </a:ln>
                      </wps:spPr>
                      <wps:txbx>
                        <w:txbxContent>
                          <w:p w14:paraId="3E2BB1E0">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14:paraId="41458AE3">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p w14:paraId="28CC5061">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列金额的用</w:t>
                            </w:r>
                          </w:p>
                          <w:p w14:paraId="6AC4820A">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wps:txbx>
                      <wps:bodyPr wrap="square"/>
                    </wps:wsp>
                  </a:graphicData>
                </a:graphic>
              </wp:anchor>
            </w:drawing>
          </mc:Choice>
          <mc:Fallback>
            <w:pict>
              <v:rect id="0001e7" o:spid="_x0000_s1026" o:spt="1" style="position:absolute;left:0pt;margin-left:-18pt;margin-top:7.5pt;height:54.2pt;width:90pt;z-index:251939840;mso-width-relative:page;mso-height-relative:page;" filled="f" stroked="f" coordsize="21600,21600" o:gfxdata="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beVzAtgAAAAKAQAADwAAAAAAAAABACAAAAAiAAAA&#10;ZHJzL2Rvd25yZXYueG1sUEsBAhQAFAAAAAgAh07iQOpMOZ6VAQAAOQMAAA4AAAAAAAAAAQAgAAAA&#10;JwEAAGRycy9lMm9Eb2MueG1sUEsFBgAAAAAGAAYAWQEAAC4FAAAAAA==&#10;">
                <v:fill on="f" focussize="0,0"/>
                <v:stroke on="f"/>
                <v:imagedata o:title=""/>
                <o:lock v:ext="edit" aspectratio="f"/>
                <v:textbox>
                  <w:txbxContent>
                    <w:p w14:paraId="3E2BB1E0">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14:paraId="41458AE3">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p w14:paraId="28CC5061">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列金额的用</w:t>
                      </w:r>
                    </w:p>
                    <w:p w14:paraId="6AC4820A">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v:textbox>
              </v:rect>
            </w:pict>
          </mc:Fallback>
        </mc:AlternateContent>
      </w:r>
      <w:r>
        <w:rPr>
          <w:rFonts w:hint="eastAsia" w:ascii="宋体" w:hAnsi="宋体" w:eastAsia="宋体" w:cs="宋体"/>
          <w:color w:val="auto"/>
          <w:sz w:val="24"/>
          <w:highlight w:val="none"/>
        </w:rPr>
        <w:t>合同双方当事人应在专用条款中明确工程量清单中开列的已标价的暂列金额。</w:t>
      </w:r>
    </w:p>
    <w:p w14:paraId="5E941917">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14:paraId="392D791E">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63.2  </w:t>
      </w:r>
      <w:r>
        <w:rPr>
          <w:rFonts w:hint="eastAsia" w:hAnsi="宋体" w:eastAsia="宋体" w:cs="宋体"/>
          <w:b/>
          <w:bCs/>
          <w:color w:val="auto"/>
          <w:sz w:val="24"/>
          <w:szCs w:val="24"/>
          <w:highlight w:val="none"/>
          <w:u w:val="dotted"/>
        </w:rPr>
        <w:t xml:space="preserve">                                                                                                        </w:t>
      </w:r>
    </w:p>
    <w:p w14:paraId="6006AF76">
      <w:pPr>
        <w:pStyle w:val="22"/>
        <w:adjustRightInd w:val="0"/>
        <w:snapToGrid w:val="0"/>
        <w:spacing w:line="300" w:lineRule="auto"/>
        <w:ind w:left="1575" w:leftChars="750"/>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40864"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1301" name="0001e8"/>
                <wp:cNvGraphicFramePr/>
                <a:graphic xmlns:a="http://schemas.openxmlformats.org/drawingml/2006/main">
                  <a:graphicData uri="http://schemas.microsoft.com/office/word/2010/wordprocessingShape">
                    <wps:wsp>
                      <wps:cNvSpPr/>
                      <wps:spPr>
                        <a:xfrm>
                          <a:off x="0" y="0"/>
                          <a:ext cx="1028700" cy="553085"/>
                        </a:xfrm>
                        <a:prstGeom prst="rect">
                          <a:avLst/>
                        </a:prstGeom>
                        <a:ln>
                          <a:noFill/>
                        </a:ln>
                      </wps:spPr>
                      <wps:txbx>
                        <w:txbxContent>
                          <w:p w14:paraId="3528DB27">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14:paraId="7EE42AC2">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p w14:paraId="1D6A2D44">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列金额的支</w:t>
                            </w:r>
                          </w:p>
                          <w:p w14:paraId="51880155">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wps:txbx>
                      <wps:bodyPr wrap="square"/>
                    </wps:wsp>
                  </a:graphicData>
                </a:graphic>
              </wp:anchor>
            </w:drawing>
          </mc:Choice>
          <mc:Fallback>
            <w:pict>
              <v:rect id="0001e8" o:spid="_x0000_s1026" o:spt="1" style="position:absolute;left:0pt;margin-left:-10.5pt;margin-top:7.85pt;height:43.55pt;width:81pt;z-index:251940864;mso-width-relative:page;mso-height-relative:page;" filled="f" stroked="f" coordsize="21600,21600" o:gfxdata="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G0jau2gAAAAoBAAAPAAAAAAAAAAEAIAAAACIA&#10;AABkcnMvZG93bnJldi54bWxQSwECFAAUAAAACACHTuJAzJWgtpUBAAA5AwAADgAAAAAAAAABACAA&#10;AAApAQAAZHJzL2Uyb0RvYy54bWxQSwUGAAAAAAYABgBZAQAAMAUAAAAA&#10;">
                <v:fill on="f" focussize="0,0"/>
                <v:stroke on="f"/>
                <v:imagedata o:title=""/>
                <o:lock v:ext="edit" aspectratio="f"/>
                <v:textbox>
                  <w:txbxContent>
                    <w:p w14:paraId="3528DB27">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14:paraId="7EE42AC2">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p w14:paraId="1D6A2D44">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列金额的支</w:t>
                      </w:r>
                    </w:p>
                    <w:p w14:paraId="51880155">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v:textbox>
              </v:rect>
            </w:pict>
          </mc:Fallback>
        </mc:AlternateContent>
      </w:r>
      <w:r>
        <w:rPr>
          <w:rFonts w:hint="eastAsia" w:hAnsi="宋体" w:eastAsia="宋体" w:cs="宋体"/>
          <w:color w:val="auto"/>
          <w:sz w:val="24"/>
          <w:szCs w:val="24"/>
          <w:highlight w:val="none"/>
        </w:rPr>
        <w:t>经发包人批准后，监理工程师应就承包人实施第63.1款规定的工作发出书面指令。承包人应就此项指令提出所需价款，经造价工程师核实并由其报发包人确认后，向承包人支付相关款项。</w:t>
      </w:r>
    </w:p>
    <w:p w14:paraId="6DA9E454">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63.3  </w:t>
      </w:r>
      <w:r>
        <w:rPr>
          <w:rFonts w:hint="eastAsia" w:hAnsi="宋体" w:eastAsia="宋体" w:cs="宋体"/>
          <w:b/>
          <w:bCs/>
          <w:color w:val="auto"/>
          <w:sz w:val="24"/>
          <w:szCs w:val="24"/>
          <w:highlight w:val="none"/>
          <w:u w:val="dotted"/>
        </w:rPr>
        <w:t xml:space="preserve">                                                                                                        </w:t>
      </w:r>
    </w:p>
    <w:p w14:paraId="6B2A7270">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41888"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302" name="0001e9"/>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74CB3752">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p w14:paraId="5510E049">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供暂列金额支付票据</w:t>
                            </w:r>
                          </w:p>
                        </w:txbxContent>
                      </wps:txbx>
                      <wps:bodyPr wrap="square"/>
                    </wps:wsp>
                  </a:graphicData>
                </a:graphic>
              </wp:anchor>
            </w:drawing>
          </mc:Choice>
          <mc:Fallback>
            <w:pict>
              <v:rect id="0001e9" o:spid="_x0000_s1026" o:spt="1" style="position:absolute;left:0pt;margin-left:-9pt;margin-top:1.25pt;height:31.2pt;width:72pt;z-index:251941888;mso-width-relative:page;mso-height-relative:page;" filled="f" stroked="f" coordsize="21600,21600" o:gfxdata="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QfZx/9gAAAAIAQAADwAAAAAAAAABACAAAAAiAAAA&#10;ZHJzL2Rvd25yZXYueG1sUEsBAhQAFAAAAAgAh07iQIfm/C6VAQAAOAMAAA4AAAAAAAAAAQAgAAAA&#10;JwEAAGRycy9lMm9Eb2MueG1sUEsFBgAAAAAGAAYAWQEAAC4FAAAAAA==&#10;">
                <v:fill on="f" focussize="0,0"/>
                <v:stroke on="f"/>
                <v:imagedata o:title=""/>
                <o:lock v:ext="edit" aspectratio="f"/>
                <v:textbox>
                  <w:txbxContent>
                    <w:p w14:paraId="74CB3752">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p w14:paraId="5510E049">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供暂列金额支付票据</w:t>
                      </w:r>
                    </w:p>
                  </w:txbxContent>
                </v:textbox>
              </v:rect>
            </w:pict>
          </mc:Fallback>
        </mc:AlternateContent>
      </w:r>
      <w:r>
        <w:rPr>
          <w:rFonts w:hint="eastAsia" w:hAnsi="宋体" w:eastAsia="宋体" w:cs="宋体"/>
          <w:color w:val="auto"/>
          <w:sz w:val="24"/>
          <w:szCs w:val="24"/>
          <w:highlight w:val="none"/>
        </w:rPr>
        <w:t>造价工程师有要求时，承包人应提供使用暂列金额支付项目的所有报价单、发票、账单或收据。</w:t>
      </w:r>
    </w:p>
    <w:p w14:paraId="171A41FD">
      <w:pPr>
        <w:pStyle w:val="22"/>
        <w:adjustRightInd w:val="0"/>
        <w:snapToGrid w:val="0"/>
        <w:spacing w:line="300" w:lineRule="auto"/>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24F51A0D">
      <w:pPr>
        <w:pStyle w:val="22"/>
        <w:tabs>
          <w:tab w:val="left" w:pos="540"/>
        </w:tabs>
        <w:adjustRightInd w:val="0"/>
        <w:snapToGrid w:val="0"/>
        <w:spacing w:before="240" w:beforeLines="100" w:line="300" w:lineRule="auto"/>
        <w:outlineLvl w:val="2"/>
        <w:rPr>
          <w:rFonts w:hint="eastAsia" w:hAnsi="宋体" w:eastAsia="宋体" w:cs="宋体"/>
          <w:b/>
          <w:bCs/>
          <w:dstrike/>
          <w:color w:val="auto"/>
          <w:sz w:val="24"/>
          <w:szCs w:val="24"/>
          <w:highlight w:val="none"/>
        </w:rPr>
      </w:pPr>
      <w:bookmarkStart w:id="153" w:name="_Toc469384048"/>
      <w:bookmarkStart w:id="154" w:name="_Toc46860869"/>
      <w:r>
        <w:rPr>
          <w:rFonts w:hint="eastAsia" w:hAnsi="宋体" w:eastAsia="宋体" w:cs="宋体"/>
          <w:b/>
          <w:bCs/>
          <w:color w:val="auto"/>
          <w:sz w:val="24"/>
          <w:szCs w:val="24"/>
          <w:highlight w:val="none"/>
        </w:rPr>
        <w:t>★64  计日工</w:t>
      </w:r>
      <w:bookmarkEnd w:id="153"/>
      <w:bookmarkEnd w:id="154"/>
    </w:p>
    <w:p w14:paraId="6FD0772C">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64.1</w:t>
      </w:r>
    </w:p>
    <w:p w14:paraId="48299AA5">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42912"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1303" name="0001ea"/>
                <wp:cNvGraphicFramePr/>
                <a:graphic xmlns:a="http://schemas.openxmlformats.org/drawingml/2006/main">
                  <a:graphicData uri="http://schemas.microsoft.com/office/word/2010/wordprocessingShape">
                    <wps:wsp>
                      <wps:cNvSpPr/>
                      <wps:spPr>
                        <a:xfrm>
                          <a:off x="0" y="0"/>
                          <a:ext cx="914400" cy="387985"/>
                        </a:xfrm>
                        <a:prstGeom prst="rect">
                          <a:avLst/>
                        </a:prstGeom>
                        <a:ln>
                          <a:noFill/>
                        </a:ln>
                      </wps:spPr>
                      <wps:txbx>
                        <w:txbxContent>
                          <w:p w14:paraId="68282522">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p w14:paraId="1B01B2F1">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日工单价的用途</w:t>
                            </w:r>
                          </w:p>
                        </w:txbxContent>
                      </wps:txbx>
                      <wps:bodyPr wrap="square"/>
                    </wps:wsp>
                  </a:graphicData>
                </a:graphic>
              </wp:anchor>
            </w:drawing>
          </mc:Choice>
          <mc:Fallback>
            <w:pict>
              <v:rect id="0001ea" o:spid="_x0000_s1026" o:spt="1" style="position:absolute;left:0pt;margin-left:-9pt;margin-top:1.25pt;height:30.55pt;width:72pt;z-index:251942912;mso-width-relative:page;mso-height-relative:page;" filled="f" stroked="f" coordsize="21600,21600" o:gfxdata="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BzGql3YAAAACAEAAA8AAAAAAAAAAQAgAAAAIgAA&#10;AGRycy9kb3ducmV2LnhtbFBLAQIUABQAAAAIAIdO4kAjl+1FlgEAADgDAAAOAAAAAAAAAAEAIAAA&#10;ACcBAABkcnMvZTJvRG9jLnhtbFBLBQYAAAAABgAGAFkBAAAvBQAAAAA=&#10;">
                <v:fill on="f" focussize="0,0"/>
                <v:stroke on="f"/>
                <v:imagedata o:title=""/>
                <o:lock v:ext="edit" aspectratio="f"/>
                <v:textbox>
                  <w:txbxContent>
                    <w:p w14:paraId="68282522">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p w14:paraId="1B01B2F1">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日工单价的用途</w:t>
                      </w:r>
                    </w:p>
                  </w:txbxContent>
                </v:textbox>
              </v:rect>
            </w:pict>
          </mc:Fallback>
        </mc:AlternateContent>
      </w:r>
      <w:r>
        <w:rPr>
          <w:rFonts w:hint="eastAsia" w:hAnsi="宋体" w:eastAsia="宋体" w:cs="宋体"/>
          <w:color w:val="auto"/>
          <w:sz w:val="24"/>
          <w:szCs w:val="24"/>
          <w:highlight w:val="none"/>
        </w:rPr>
        <w:t>承包人投标文件中填报的计日工单价或价格是用于实施发包人要求的合同以外零星工作项目所需的人工单价、材料、工程设备价格和施工设备机械台班单价。</w:t>
      </w:r>
    </w:p>
    <w:p w14:paraId="28E07720">
      <w:pPr>
        <w:pStyle w:val="22"/>
        <w:adjustRightInd w:val="0"/>
        <w:snapToGrid w:val="0"/>
        <w:spacing w:line="300" w:lineRule="auto"/>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 xml:space="preserve">64.2 </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68A806AD">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经发包人批准后，监理工程师应就使用计日工项目发出书面指令。</w:t>
      </w:r>
      <w:r>
        <w:rPr>
          <w:rFonts w:hint="eastAsia" w:hAnsi="宋体" w:eastAsia="宋体" w:cs="宋体"/>
          <w:color w:val="auto"/>
          <w:sz w:val="24"/>
          <w:szCs w:val="24"/>
          <w:highlight w:val="none"/>
        </w:rPr>
        <mc:AlternateContent>
          <mc:Choice Requires="wps">
            <w:drawing>
              <wp:anchor distT="0" distB="0" distL="0" distR="0" simplePos="0" relativeHeight="251943936" behindDoc="0" locked="0" layoutInCell="1" allowOverlap="1">
                <wp:simplePos x="0" y="0"/>
                <wp:positionH relativeFrom="column">
                  <wp:posOffset>-114300</wp:posOffset>
                </wp:positionH>
                <wp:positionV relativeFrom="paragraph">
                  <wp:posOffset>13970</wp:posOffset>
                </wp:positionV>
                <wp:extent cx="914400" cy="412750"/>
                <wp:effectExtent l="0" t="0" r="0" b="0"/>
                <wp:wrapNone/>
                <wp:docPr id="1304" name="0001eb"/>
                <wp:cNvGraphicFramePr/>
                <a:graphic xmlns:a="http://schemas.openxmlformats.org/drawingml/2006/main">
                  <a:graphicData uri="http://schemas.microsoft.com/office/word/2010/wordprocessingShape">
                    <wps:wsp>
                      <wps:cNvSpPr/>
                      <wps:spPr>
                        <a:xfrm>
                          <a:off x="0" y="0"/>
                          <a:ext cx="914400" cy="412750"/>
                        </a:xfrm>
                        <a:prstGeom prst="rect">
                          <a:avLst/>
                        </a:prstGeom>
                        <a:ln>
                          <a:noFill/>
                        </a:ln>
                      </wps:spPr>
                      <wps:txbx>
                        <w:txbxContent>
                          <w:p w14:paraId="0266B2B3">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p w14:paraId="33E5DBF7">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日工的确认</w:t>
                            </w:r>
                          </w:p>
                        </w:txbxContent>
                      </wps:txbx>
                      <wps:bodyPr wrap="square"/>
                    </wps:wsp>
                  </a:graphicData>
                </a:graphic>
              </wp:anchor>
            </w:drawing>
          </mc:Choice>
          <mc:Fallback>
            <w:pict>
              <v:rect id="0001eb" o:spid="_x0000_s1026" o:spt="1" style="position:absolute;left:0pt;margin-left:-9pt;margin-top:1.1pt;height:32.5pt;width:72pt;z-index:251943936;mso-width-relative:page;mso-height-relative:page;" filled="f" stroked="f" coordsize="21600,21600" o:gfxdata="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OA5+m1wAAAAgBAAAPAAAAAAAAAAEAIAAAACIAAABk&#10;cnMvZG93bnJldi54bWxQSwECFAAUAAAACACHTuJAOgMpTZUBAAA4AwAADgAAAAAAAAABACAAAAAm&#10;AQAAZHJzL2Uyb0RvYy54bWxQSwUGAAAAAAYABgBZAQAALQUAAAAA&#10;">
                <v:fill on="f" focussize="0,0"/>
                <v:stroke on="f"/>
                <v:imagedata o:title=""/>
                <o:lock v:ext="edit" aspectratio="f"/>
                <v:textbox>
                  <w:txbxContent>
                    <w:p w14:paraId="0266B2B3">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p w14:paraId="33E5DBF7">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日工的确认</w:t>
                      </w:r>
                    </w:p>
                  </w:txbxContent>
                </v:textbox>
              </v:rect>
            </w:pict>
          </mc:Fallback>
        </mc:AlternateContent>
      </w:r>
      <w:r>
        <w:rPr>
          <w:rFonts w:hint="eastAsia" w:hAnsi="宋体" w:eastAsia="宋体" w:cs="宋体"/>
          <w:color w:val="auto"/>
          <w:sz w:val="24"/>
          <w:szCs w:val="24"/>
          <w:highlight w:val="none"/>
        </w:rPr>
        <w:t>任一按照计日工方式计价的工作，承包人应在该项工作实施结束后的24小时内，向监理工程师提交有计日工记录的现场签证报告一式两份。</w:t>
      </w:r>
    </w:p>
    <w:p w14:paraId="569527B5">
      <w:pPr>
        <w:pStyle w:val="22"/>
        <w:adjustRightInd w:val="0"/>
        <w:snapToGrid w:val="0"/>
        <w:spacing w:line="300" w:lineRule="auto"/>
        <w:ind w:left="1575" w:leftChars="750"/>
        <w:rPr>
          <w:rFonts w:hint="eastAsia" w:hAnsi="宋体" w:eastAsia="宋体" w:cs="宋体"/>
          <w:color w:val="auto"/>
          <w:sz w:val="24"/>
          <w:szCs w:val="24"/>
          <w:highlight w:val="none"/>
        </w:rPr>
      </w:pPr>
      <w:r>
        <w:rPr>
          <w:rFonts w:hint="eastAsia" w:hAnsi="宋体" w:eastAsia="宋体" w:cs="宋体"/>
          <w:color w:val="auto"/>
          <w:sz w:val="24"/>
          <w:szCs w:val="24"/>
          <w:highlight w:val="none"/>
        </w:rPr>
        <w:t>当此工作持续进行时，承包人应每天向监理工程师提交当天计日工记录完毕的现场签证报告。监理工程师在收到承包人提交现场签证报告后的2天内予以确认并由其报发包人批准后，将其中一份返还给承包人，作为计日工计价和支付的依据。监理工程师逾期未确认也未提出修改意见的，视为承包人提交的现场签证报告已被认可。</w:t>
      </w:r>
    </w:p>
    <w:p w14:paraId="24B9446E">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64.3  </w:t>
      </w:r>
      <w:r>
        <w:rPr>
          <w:rFonts w:hint="eastAsia" w:hAnsi="宋体" w:eastAsia="宋体" w:cs="宋体"/>
          <w:b/>
          <w:bCs/>
          <w:color w:val="auto"/>
          <w:sz w:val="24"/>
          <w:szCs w:val="24"/>
          <w:highlight w:val="none"/>
          <w:u w:val="dotted"/>
        </w:rPr>
        <w:t xml:space="preserve">                                                                                                        </w:t>
      </w:r>
    </w:p>
    <w:p w14:paraId="0235D779">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44960"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1305" name="0001ec"/>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6C142E52">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p w14:paraId="45797C8F">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日工的支付</w:t>
                            </w:r>
                          </w:p>
                        </w:txbxContent>
                      </wps:txbx>
                      <wps:bodyPr wrap="square"/>
                    </wps:wsp>
                  </a:graphicData>
                </a:graphic>
              </wp:anchor>
            </w:drawing>
          </mc:Choice>
          <mc:Fallback>
            <w:pict>
              <v:rect id="0001ec" o:spid="_x0000_s1026" o:spt="1" style="position:absolute;left:0pt;margin-left:-9pt;margin-top:0.4pt;height:31.2pt;width:72pt;z-index:251944960;mso-width-relative:page;mso-height-relative:page;" filled="f" stroked="f" coordsize="21600,21600" o:gfxdata="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&#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1pZMD1gAAAAcBAAAPAAAAAAAAAAEAIAAAACIAAABk&#10;cnMvZG93bnJldi54bWxQSwECFAAUAAAACACHTuJAe9hftpYBAAA4AwAADgAAAAAAAAABACAAAAAl&#10;AQAAZHJzL2Uyb0RvYy54bWxQSwUGAAAAAAYABgBZAQAALQUAAAAA&#10;">
                <v:fill on="f" focussize="0,0"/>
                <v:stroke on="f"/>
                <v:imagedata o:title=""/>
                <o:lock v:ext="edit" aspectratio="f"/>
                <v:textbox>
                  <w:txbxContent>
                    <w:p w14:paraId="6C142E52">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p w14:paraId="45797C8F">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日工的支付</w:t>
                      </w:r>
                    </w:p>
                  </w:txbxContent>
                </v:textbox>
              </v:rect>
            </w:pict>
          </mc:Fallback>
        </mc:AlternateContent>
      </w:r>
      <w:r>
        <w:rPr>
          <w:rFonts w:hint="eastAsia" w:hAnsi="宋体" w:eastAsia="宋体" w:cs="宋体"/>
          <w:color w:val="auto"/>
          <w:sz w:val="24"/>
          <w:szCs w:val="24"/>
          <w:highlight w:val="none"/>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14:paraId="39CB4857">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每个支付期末，承包人应按照第81.1款规定向发包人提交本期间所有计日工记录的签证汇总表，以说明本期间自己认为有权得到的计日工费用。 </w:t>
      </w:r>
    </w:p>
    <w:p w14:paraId="635E5E7B">
      <w:pPr>
        <w:pStyle w:val="22"/>
        <w:tabs>
          <w:tab w:val="left" w:pos="540"/>
        </w:tabs>
        <w:adjustRightInd w:val="0"/>
        <w:snapToGrid w:val="0"/>
        <w:spacing w:before="240" w:beforeLines="100"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u w:val="single"/>
        </w:rPr>
        <w:t xml:space="preserve">                                                                               </w:t>
      </w:r>
    </w:p>
    <w:p w14:paraId="0849FDD8">
      <w:pPr>
        <w:pStyle w:val="22"/>
        <w:tabs>
          <w:tab w:val="left" w:pos="540"/>
        </w:tabs>
        <w:adjustRightInd w:val="0"/>
        <w:snapToGrid w:val="0"/>
        <w:spacing w:before="240" w:beforeLines="100" w:line="300" w:lineRule="auto"/>
        <w:outlineLvl w:val="2"/>
        <w:rPr>
          <w:rFonts w:hint="eastAsia" w:hAnsi="宋体" w:eastAsia="宋体" w:cs="宋体"/>
          <w:b/>
          <w:bCs/>
          <w:dstrike/>
          <w:color w:val="auto"/>
          <w:sz w:val="24"/>
          <w:szCs w:val="24"/>
          <w:highlight w:val="none"/>
        </w:rPr>
      </w:pPr>
      <w:bookmarkStart w:id="155" w:name="_Toc469384049"/>
      <w:bookmarkStart w:id="156" w:name="_Toc46860870"/>
      <w:r>
        <w:rPr>
          <w:rFonts w:hint="eastAsia" w:hAnsi="宋体" w:eastAsia="宋体" w:cs="宋体"/>
          <w:b/>
          <w:bCs/>
          <w:color w:val="auto"/>
          <w:sz w:val="24"/>
          <w:szCs w:val="24"/>
          <w:highlight w:val="none"/>
        </w:rPr>
        <w:t>★65  暂估价</w:t>
      </w:r>
      <w:bookmarkEnd w:id="155"/>
      <w:bookmarkEnd w:id="156"/>
    </w:p>
    <w:p w14:paraId="78214F57">
      <w:pPr>
        <w:pStyle w:val="22"/>
        <w:adjustRightInd w:val="0"/>
        <w:snapToGrid w:val="0"/>
        <w:spacing w:line="300" w:lineRule="auto"/>
        <w:ind w:left="1680" w:hanging="1680" w:hangingChars="700"/>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45984"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1306" name="0001ed"/>
                <wp:cNvGraphicFramePr/>
                <a:graphic xmlns:a="http://schemas.openxmlformats.org/drawingml/2006/main">
                  <a:graphicData uri="http://schemas.microsoft.com/office/word/2010/wordprocessingShape">
                    <wps:wsp>
                      <wps:cNvSpPr/>
                      <wps:spPr>
                        <a:xfrm>
                          <a:off x="0" y="0"/>
                          <a:ext cx="1047750" cy="483869"/>
                        </a:xfrm>
                        <a:prstGeom prst="rect">
                          <a:avLst/>
                        </a:prstGeom>
                        <a:ln>
                          <a:noFill/>
                        </a:ln>
                      </wps:spPr>
                      <wps:txbx>
                        <w:txbxContent>
                          <w:p w14:paraId="03786644">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14:paraId="4EE580DD">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14:paraId="433A0615">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标暂估价项</w:t>
                            </w:r>
                          </w:p>
                          <w:p w14:paraId="43DC870C">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14:paraId="7C9C45FE">
                            <w:pPr>
                              <w:rPr>
                                <w:rFonts w:hint="eastAsia" w:ascii="楷体_GB2312" w:hAnsi="宋体" w:eastAsia="楷体_GB2312"/>
                                <w:b/>
                                <w:bCs/>
                                <w:color w:val="000000"/>
                                <w:sz w:val="18"/>
                                <w:szCs w:val="18"/>
                              </w:rPr>
                            </w:pPr>
                          </w:p>
                          <w:p w14:paraId="6603CC7C">
                            <w:pPr>
                              <w:rPr>
                                <w:rFonts w:hint="eastAsia"/>
                                <w:sz w:val="18"/>
                                <w:szCs w:val="18"/>
                              </w:rPr>
                            </w:pPr>
                          </w:p>
                        </w:txbxContent>
                      </wps:txbx>
                      <wps:bodyPr wrap="square"/>
                    </wps:wsp>
                  </a:graphicData>
                </a:graphic>
              </wp:anchor>
            </w:drawing>
          </mc:Choice>
          <mc:Fallback>
            <w:pict>
              <v:rect id="0001ed" o:spid="_x0000_s1026" o:spt="1" style="position:absolute;left:0pt;margin-left:-10.5pt;margin-top:25.2pt;height:38.1pt;width:82.5pt;z-index:251945984;mso-width-relative:page;mso-height-relative:page;" filled="f" stroked="f" coordsize="21600,21600" o:gfxdata="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K2CB8naAAAACgEAAA8AAAAAAAAAAQAgAAAA&#10;IgAAAGRycy9kb3ducmV2LnhtbFBLAQIUABQAAAAIAIdO4kClx/WVlwEAADkDAAAOAAAAAAAAAAEA&#10;IAAAACkBAABkcnMvZTJvRG9jLnhtbFBLBQYAAAAABgAGAFkBAAAyBQAAAAA=&#10;">
                <v:fill on="f" focussize="0,0"/>
                <v:stroke on="f"/>
                <v:imagedata o:title=""/>
                <o:lock v:ext="edit" aspectratio="f"/>
                <v:textbox>
                  <w:txbxContent>
                    <w:p w14:paraId="03786644">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14:paraId="4EE580DD">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14:paraId="433A0615">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标暂估价项</w:t>
                      </w:r>
                    </w:p>
                    <w:p w14:paraId="43DC870C">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14:paraId="7C9C45FE">
                      <w:pPr>
                        <w:rPr>
                          <w:rFonts w:hint="eastAsia" w:ascii="楷体_GB2312" w:hAnsi="宋体" w:eastAsia="楷体_GB2312"/>
                          <w:b/>
                          <w:bCs/>
                          <w:color w:val="000000"/>
                          <w:sz w:val="18"/>
                          <w:szCs w:val="18"/>
                        </w:rPr>
                      </w:pPr>
                    </w:p>
                    <w:p w14:paraId="6603CC7C">
                      <w:pPr>
                        <w:rPr>
                          <w:rFonts w:hint="eastAsia"/>
                          <w:sz w:val="18"/>
                          <w:szCs w:val="18"/>
                        </w:rPr>
                      </w:pPr>
                    </w:p>
                  </w:txbxContent>
                </v:textbox>
              </v:rect>
            </w:pict>
          </mc:Fallback>
        </mc:AlternateContent>
      </w:r>
      <w:r>
        <w:rPr>
          <w:rFonts w:hint="eastAsia" w:hAnsi="宋体" w:eastAsia="宋体" w:cs="宋体"/>
          <w:b/>
          <w:bCs/>
          <w:color w:val="auto"/>
          <w:sz w:val="24"/>
          <w:szCs w:val="24"/>
          <w:highlight w:val="none"/>
        </w:rPr>
        <w:t>65.1</w:t>
      </w:r>
      <w:r>
        <w:rPr>
          <w:rFonts w:hint="eastAsia" w:hAnsi="宋体" w:eastAsia="宋体" w:cs="宋体"/>
          <w:color w:val="auto"/>
          <w:sz w:val="24"/>
          <w:szCs w:val="24"/>
          <w:highlight w:val="none"/>
        </w:rPr>
        <w:t xml:space="preserve">                                                                                                           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14:paraId="72A7EECA">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47008" behindDoc="0" locked="0" layoutInCell="1" allowOverlap="1">
                <wp:simplePos x="0" y="0"/>
                <wp:positionH relativeFrom="column">
                  <wp:posOffset>-114300</wp:posOffset>
                </wp:positionH>
                <wp:positionV relativeFrom="paragraph">
                  <wp:posOffset>247650</wp:posOffset>
                </wp:positionV>
                <wp:extent cx="1028700" cy="956310"/>
                <wp:effectExtent l="0" t="0" r="0" b="0"/>
                <wp:wrapNone/>
                <wp:docPr id="1307" name="0001ee"/>
                <wp:cNvGraphicFramePr/>
                <a:graphic xmlns:a="http://schemas.openxmlformats.org/drawingml/2006/main">
                  <a:graphicData uri="http://schemas.microsoft.com/office/word/2010/wordprocessingShape">
                    <wps:wsp>
                      <wps:cNvSpPr/>
                      <wps:spPr>
                        <a:xfrm>
                          <a:off x="0" y="0"/>
                          <a:ext cx="1028700" cy="956310"/>
                        </a:xfrm>
                        <a:prstGeom prst="rect">
                          <a:avLst/>
                        </a:prstGeom>
                        <a:ln>
                          <a:noFill/>
                        </a:ln>
                      </wps:spPr>
                      <wps:txbx>
                        <w:txbxContent>
                          <w:p w14:paraId="298A6FDC">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14:paraId="3D9B8A4D">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14:paraId="3F355C69">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14:paraId="123A3D3F">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标材料和</w:t>
                            </w:r>
                          </w:p>
                          <w:p w14:paraId="2812FC40">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14:paraId="4D65B2BA">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14:paraId="7B0FD2AD">
                            <w:pPr>
                              <w:rPr>
                                <w:rFonts w:hint="eastAsia"/>
                                <w:sz w:val="18"/>
                                <w:szCs w:val="18"/>
                              </w:rPr>
                            </w:pPr>
                          </w:p>
                        </w:txbxContent>
                      </wps:txbx>
                      <wps:bodyPr wrap="square"/>
                    </wps:wsp>
                  </a:graphicData>
                </a:graphic>
              </wp:anchor>
            </w:drawing>
          </mc:Choice>
          <mc:Fallback>
            <w:pict>
              <v:rect id="0001ee" o:spid="_x0000_s1026" o:spt="1" style="position:absolute;left:0pt;margin-left:-9pt;margin-top:19.5pt;height:75.3pt;width:81pt;z-index:251947008;mso-width-relative:page;mso-height-relative:page;" filled="f" stroked="f" coordsize="21600,21600" o:gfxdata="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dwr/Q2gAAAAoBAAAPAAAAAAAAAAEAIAAAACIA&#10;AABkcnMvZG93bnJldi54bWxQSwECFAAUAAAACACHTuJAMOiuRpUBAAA5AwAADgAAAAAAAAABACAA&#10;AAApAQAAZHJzL2Uyb0RvYy54bWxQSwUGAAAAAAYABgBZAQAAMAUAAAAA&#10;">
                <v:fill on="f" focussize="0,0"/>
                <v:stroke on="f"/>
                <v:imagedata o:title=""/>
                <o:lock v:ext="edit" aspectratio="f"/>
                <v:textbox>
                  <w:txbxContent>
                    <w:p w14:paraId="298A6FDC">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14:paraId="3D9B8A4D">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14:paraId="3F355C69">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14:paraId="123A3D3F">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标材料和</w:t>
                      </w:r>
                    </w:p>
                    <w:p w14:paraId="2812FC40">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14:paraId="4D65B2BA">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14:paraId="7B0FD2AD">
                      <w:pPr>
                        <w:rPr>
                          <w:rFonts w:hint="eastAsia"/>
                          <w:sz w:val="18"/>
                          <w:szCs w:val="18"/>
                        </w:rPr>
                      </w:pPr>
                    </w:p>
                  </w:txbxContent>
                </v:textbox>
              </v:rect>
            </w:pict>
          </mc:Fallback>
        </mc:AlternateContent>
      </w:r>
      <w:r>
        <w:rPr>
          <w:rFonts w:hint="eastAsia" w:hAnsi="宋体" w:eastAsia="宋体" w:cs="宋体"/>
          <w:b/>
          <w:bCs/>
          <w:color w:val="auto"/>
          <w:sz w:val="24"/>
          <w:szCs w:val="24"/>
          <w:highlight w:val="none"/>
        </w:rPr>
        <w:t xml:space="preserve">65.2  </w:t>
      </w:r>
      <w:r>
        <w:rPr>
          <w:rFonts w:hint="eastAsia" w:hAnsi="宋体" w:eastAsia="宋体" w:cs="宋体"/>
          <w:b/>
          <w:bCs/>
          <w:color w:val="auto"/>
          <w:sz w:val="24"/>
          <w:szCs w:val="24"/>
          <w:highlight w:val="none"/>
          <w:u w:val="dotted"/>
        </w:rPr>
        <w:t xml:space="preserve">                                                                                   </w:t>
      </w:r>
    </w:p>
    <w:p w14:paraId="0BD9EBED">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发包人在工程量清单中给定暂估价的材料和工程设备，未达到依法必须招标的规模、标准的，由承包人按照第49条规定采购。经造价工程师确认的材料和工程设备价格与工程量清单中所列的暂估价的差额以及相应的规费、税金等其他费用，应列入合同价款。</w:t>
      </w:r>
    </w:p>
    <w:p w14:paraId="1E3A6571">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65.3  </w:t>
      </w:r>
      <w:r>
        <w:rPr>
          <w:rFonts w:hint="eastAsia" w:hAnsi="宋体" w:eastAsia="宋体" w:cs="宋体"/>
          <w:b/>
          <w:bCs/>
          <w:color w:val="auto"/>
          <w:sz w:val="24"/>
          <w:szCs w:val="24"/>
          <w:highlight w:val="none"/>
          <w:u w:val="dotted"/>
        </w:rPr>
        <w:t xml:space="preserve">                                                                                   </w:t>
      </w:r>
    </w:p>
    <w:p w14:paraId="3BDD1BA4">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48032"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1308" name="0001ef"/>
                <wp:cNvGraphicFramePr/>
                <a:graphic xmlns:a="http://schemas.openxmlformats.org/drawingml/2006/main">
                  <a:graphicData uri="http://schemas.microsoft.com/office/word/2010/wordprocessingShape">
                    <wps:wsp>
                      <wps:cNvSpPr/>
                      <wps:spPr>
                        <a:xfrm>
                          <a:off x="0" y="0"/>
                          <a:ext cx="1028700" cy="863600"/>
                        </a:xfrm>
                        <a:prstGeom prst="rect">
                          <a:avLst/>
                        </a:prstGeom>
                        <a:ln>
                          <a:noFill/>
                        </a:ln>
                      </wps:spPr>
                      <wps:txbx>
                        <w:txbxContent>
                          <w:p w14:paraId="6ACB1104">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14:paraId="7A88FFC5">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14:paraId="11F5EBF2">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p w14:paraId="558CFB36">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招标专业工</w:t>
                            </w:r>
                          </w:p>
                          <w:p w14:paraId="4AA01E1B">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14:paraId="19951CE1">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wrap="square"/>
                    </wps:wsp>
                  </a:graphicData>
                </a:graphic>
              </wp:anchor>
            </w:drawing>
          </mc:Choice>
          <mc:Fallback>
            <w:pict>
              <v:rect id="0001ef" o:spid="_x0000_s1026" o:spt="1" style="position:absolute;left:0pt;margin-left:-18pt;margin-top:5.65pt;height:68pt;width:81pt;z-index:251948032;mso-width-relative:page;mso-height-relative:page;" filled="f" stroked="f" coordsize="21600,21600" o:gfxdata="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q6Ab7aAAAACgEAAA8AAAAAAAAAAQAgAAAAIgAA&#10;AGRycy9kb3ducmV2LnhtbFBLAQIUABQAAAAIAIdO4kBGe71ylAEAADkDAAAOAAAAAAAAAAEAIAAA&#10;ACkBAABkcnMvZTJvRG9jLnhtbFBLBQYAAAAABgAGAFkBAAAvBQAAAAA=&#10;">
                <v:fill on="f" focussize="0,0"/>
                <v:stroke on="f"/>
                <v:imagedata o:title=""/>
                <o:lock v:ext="edit" aspectratio="f"/>
                <v:textbox>
                  <w:txbxContent>
                    <w:p w14:paraId="6ACB1104">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14:paraId="7A88FFC5">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14:paraId="11F5EBF2">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p w14:paraId="558CFB36">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招标专业工</w:t>
                      </w:r>
                    </w:p>
                    <w:p w14:paraId="4AA01E1B">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14:paraId="19951CE1">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rect>
            </w:pict>
          </mc:Fallback>
        </mc:AlternateContent>
      </w:r>
      <w:r>
        <w:rPr>
          <w:rFonts w:hint="eastAsia" w:hAnsi="宋体" w:eastAsia="宋体" w:cs="宋体"/>
          <w:color w:val="auto"/>
          <w:sz w:val="24"/>
          <w:szCs w:val="24"/>
          <w:highlight w:val="none"/>
        </w:rPr>
        <w:t xml:space="preserve">发包人在工程量清单中给定暂估价的专业工程，未达到依法必须招标的规模及标准的，除专用条款另有约定外，在合同双方当事人同意下，由造价工程师与分包人按照第72.2款规定确定专业工程款。经确认的专业工程款与工程量清单中所列的暂估价的差额以及相应的规费、税金等其他费用，应列入合同价款。 </w:t>
      </w:r>
    </w:p>
    <w:p w14:paraId="4ACFFAEF">
      <w:pPr>
        <w:pStyle w:val="22"/>
        <w:tabs>
          <w:tab w:val="left" w:pos="3038"/>
        </w:tabs>
        <w:adjustRightInd w:val="0"/>
        <w:snapToGrid w:val="0"/>
        <w:spacing w:line="300" w:lineRule="auto"/>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713D5E2E">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157" w:name="_Toc469384050"/>
      <w:bookmarkStart w:id="158" w:name="_Toc46860871"/>
      <w:r>
        <w:rPr>
          <w:rFonts w:hint="eastAsia" w:hAnsi="宋体" w:eastAsia="宋体" w:cs="宋体"/>
          <w:b/>
          <w:bCs/>
          <w:color w:val="auto"/>
          <w:sz w:val="24"/>
          <w:szCs w:val="24"/>
          <w:highlight w:val="none"/>
        </w:rPr>
        <w:t>★66  提前竣工奖与误期赔偿费</w:t>
      </w:r>
      <w:bookmarkEnd w:id="157"/>
      <w:bookmarkEnd w:id="158"/>
    </w:p>
    <w:p w14:paraId="4DBDAEF4">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66.1  </w:t>
      </w:r>
    </w:p>
    <w:p w14:paraId="078177AA">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49056"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1309" name="0001f0"/>
                <wp:cNvGraphicFramePr/>
                <a:graphic xmlns:a="http://schemas.openxmlformats.org/drawingml/2006/main">
                  <a:graphicData uri="http://schemas.microsoft.com/office/word/2010/wordprocessingShape">
                    <wps:wsp>
                      <wps:cNvSpPr/>
                      <wps:spPr>
                        <a:xfrm>
                          <a:off x="0" y="0"/>
                          <a:ext cx="1028700" cy="405130"/>
                        </a:xfrm>
                        <a:prstGeom prst="rect">
                          <a:avLst/>
                        </a:prstGeom>
                        <a:ln>
                          <a:noFill/>
                        </a:ln>
                      </wps:spPr>
                      <wps:txbx>
                        <w:txbxContent>
                          <w:p w14:paraId="4264C4DA">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p w14:paraId="42A1403C">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前竣工奖</w:t>
                            </w:r>
                          </w:p>
                        </w:txbxContent>
                      </wps:txbx>
                      <wps:bodyPr wrap="square"/>
                    </wps:wsp>
                  </a:graphicData>
                </a:graphic>
              </wp:anchor>
            </w:drawing>
          </mc:Choice>
          <mc:Fallback>
            <w:pict>
              <v:rect id="0001f0" o:spid="_x0000_s1026" o:spt="1" style="position:absolute;left:0pt;margin-left:-9pt;margin-top:2.4pt;height:31.9pt;width:81pt;z-index:251949056;mso-width-relative:page;mso-height-relative:page;" filled="f" stroked="f" coordsize="21600,21600" o:gfxdata="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KzSQlNcAAAAIAQAADwAAAAAAAAABACAAAAAiAAAAZHJz&#10;L2Rvd25yZXYueG1sUEsBAhQAFAAAAAgAh07iQCruEf2TAQAAOQMAAA4AAAAAAAAAAQAgAAAAJgEA&#10;AGRycy9lMm9Eb2MueG1sUEsFBgAAAAAGAAYAWQEAACsFAAAAAA==&#10;">
                <v:fill on="f" focussize="0,0"/>
                <v:stroke on="f"/>
                <v:imagedata o:title=""/>
                <o:lock v:ext="edit" aspectratio="f"/>
                <v:textbox>
                  <w:txbxContent>
                    <w:p w14:paraId="4264C4DA">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p w14:paraId="42A1403C">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前竣工奖</w:t>
                      </w:r>
                    </w:p>
                  </w:txbxContent>
                </v:textbox>
              </v:rect>
            </w:pict>
          </mc:Fallback>
        </mc:AlternateContent>
      </w:r>
      <w:r>
        <w:rPr>
          <w:rFonts w:hint="eastAsia" w:hAnsi="宋体" w:eastAsia="宋体" w:cs="宋体"/>
          <w:color w:val="auto"/>
          <w:sz w:val="24"/>
          <w:szCs w:val="24"/>
          <w:highlight w:val="none"/>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5%。提前竣工奖列入竣工结算文件中，与结算款一并支付。</w:t>
      </w:r>
    </w:p>
    <w:p w14:paraId="31C566A4">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66.2  </w:t>
      </w:r>
      <w:r>
        <w:rPr>
          <w:rFonts w:hint="eastAsia" w:hAnsi="宋体" w:eastAsia="宋体" w:cs="宋体"/>
          <w:b/>
          <w:bCs/>
          <w:color w:val="auto"/>
          <w:sz w:val="24"/>
          <w:szCs w:val="24"/>
          <w:highlight w:val="none"/>
          <w:u w:val="dotted"/>
        </w:rPr>
        <w:t xml:space="preserve">                                                                                                        </w:t>
      </w:r>
    </w:p>
    <w:p w14:paraId="4F5707BA">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50080"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1310" name="0001f1"/>
                <wp:cNvGraphicFramePr/>
                <a:graphic xmlns:a="http://schemas.openxmlformats.org/drawingml/2006/main">
                  <a:graphicData uri="http://schemas.microsoft.com/office/word/2010/wordprocessingShape">
                    <wps:wsp>
                      <wps:cNvSpPr/>
                      <wps:spPr>
                        <a:xfrm>
                          <a:off x="0" y="0"/>
                          <a:ext cx="914400" cy="377825"/>
                        </a:xfrm>
                        <a:prstGeom prst="rect">
                          <a:avLst/>
                        </a:prstGeom>
                        <a:ln>
                          <a:noFill/>
                        </a:ln>
                      </wps:spPr>
                      <wps:txbx>
                        <w:txbxContent>
                          <w:p w14:paraId="6231F781">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p w14:paraId="54DC9AC1">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期赔偿费</w:t>
                            </w:r>
                          </w:p>
                        </w:txbxContent>
                      </wps:txbx>
                      <wps:bodyPr wrap="square"/>
                    </wps:wsp>
                  </a:graphicData>
                </a:graphic>
              </wp:anchor>
            </w:drawing>
          </mc:Choice>
          <mc:Fallback>
            <w:pict>
              <v:rect id="0001f1" o:spid="_x0000_s1026" o:spt="1" style="position:absolute;left:0pt;margin-left:-9pt;margin-top:1.3pt;height:29.75pt;width:72pt;z-index:251950080;mso-width-relative:page;mso-height-relative:page;" filled="f" stroked="f" coordsize="21600,21600" o:gfxdata="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vDRMW1wAAAAgBAAAPAAAAAAAAAAEAIAAAACIAAABk&#10;cnMvZG93bnJldi54bWxQSwECFAAUAAAACACHTuJAVFwd1JUBAAA4AwAADgAAAAAAAAABACAAAAAm&#10;AQAAZHJzL2Uyb0RvYy54bWxQSwUGAAAAAAYABgBZAQAALQUAAAAA&#10;">
                <v:fill on="f" focussize="0,0"/>
                <v:stroke on="f"/>
                <v:imagedata o:title=""/>
                <o:lock v:ext="edit" aspectratio="f"/>
                <v:textbox>
                  <w:txbxContent>
                    <w:p w14:paraId="6231F781">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p w14:paraId="54DC9AC1">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期赔偿费</w:t>
                      </w:r>
                    </w:p>
                  </w:txbxContent>
                </v:textbox>
              </v:rect>
            </w:pict>
          </mc:Fallback>
        </mc:AlternateContent>
      </w:r>
      <w:r>
        <w:rPr>
          <w:rFonts w:hint="eastAsia" w:hAnsi="宋体" w:eastAsia="宋体" w:cs="宋体"/>
          <w:color w:val="auto"/>
          <w:sz w:val="24"/>
          <w:szCs w:val="24"/>
          <w:highlight w:val="none"/>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5%。误期赔偿费列入进度支付文件或竣工结算文件中，在进度款或结算款中扣除。</w:t>
      </w:r>
    </w:p>
    <w:p w14:paraId="11795552">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14:paraId="70D35B8C">
      <w:pPr>
        <w:pStyle w:val="22"/>
        <w:adjustRightInd w:val="0"/>
        <w:snapToGrid w:val="0"/>
        <w:spacing w:line="300" w:lineRule="auto"/>
        <w:ind w:right="-238"/>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4B0748F0">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159" w:name="_Toc46860872"/>
      <w:bookmarkStart w:id="160" w:name="_Toc469384051"/>
      <w:r>
        <w:rPr>
          <w:rFonts w:hint="eastAsia" w:hAnsi="宋体" w:eastAsia="宋体" w:cs="宋体"/>
          <w:b/>
          <w:bCs/>
          <w:color w:val="auto"/>
          <w:sz w:val="24"/>
          <w:szCs w:val="24"/>
          <w:highlight w:val="none"/>
        </w:rPr>
        <w:t>★67  工程优质费</w:t>
      </w:r>
      <w:bookmarkEnd w:id="159"/>
      <w:bookmarkEnd w:id="160"/>
    </w:p>
    <w:p w14:paraId="66E4D2C3">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67.1 </w:t>
      </w:r>
    </w:p>
    <w:p w14:paraId="1B060E06">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51104"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1311" name="0001f2"/>
                <wp:cNvGraphicFramePr/>
                <a:graphic xmlns:a="http://schemas.openxmlformats.org/drawingml/2006/main">
                  <a:graphicData uri="http://schemas.microsoft.com/office/word/2010/wordprocessingShape">
                    <wps:wsp>
                      <wps:cNvSpPr/>
                      <wps:spPr>
                        <a:xfrm>
                          <a:off x="0" y="0"/>
                          <a:ext cx="1028700" cy="524510"/>
                        </a:xfrm>
                        <a:prstGeom prst="rect">
                          <a:avLst/>
                        </a:prstGeom>
                        <a:ln>
                          <a:noFill/>
                        </a:ln>
                      </wps:spPr>
                      <wps:txbx>
                        <w:txbxContent>
                          <w:p w14:paraId="622F608C">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14:paraId="4C7BD763">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p w14:paraId="5C57C7C5">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程优质费的</w:t>
                            </w:r>
                          </w:p>
                          <w:p w14:paraId="2BF7E286">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wps:txbx>
                      <wps:bodyPr wrap="square"/>
                    </wps:wsp>
                  </a:graphicData>
                </a:graphic>
              </wp:anchor>
            </w:drawing>
          </mc:Choice>
          <mc:Fallback>
            <w:pict>
              <v:rect id="0001f2" o:spid="_x0000_s1026" o:spt="1" style="position:absolute;left:0pt;margin-left:-9pt;margin-top:2.4pt;height:41.3pt;width:81pt;z-index:251951104;mso-width-relative:page;mso-height-relative:page;" filled="f" stroked="f" coordsize="21600,21600" o:gfxdata="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S050T9cAAAAIAQAADwAAAAAAAAABACAAAAAiAAAA&#10;ZHJzL2Rvd25yZXYueG1sUEsBAhQAFAAAAAgAh07iQGiykOeWAQAAOQMAAA4AAAAAAAAAAQAgAAAA&#10;JgEAAGRycy9lMm9Eb2MueG1sUEsFBgAAAAAGAAYAWQEAAC4FAAAAAA==&#10;">
                <v:fill on="f" focussize="0,0"/>
                <v:stroke on="f"/>
                <v:imagedata o:title=""/>
                <o:lock v:ext="edit" aspectratio="f"/>
                <v:textbox>
                  <w:txbxContent>
                    <w:p w14:paraId="622F608C">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14:paraId="4C7BD763">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p w14:paraId="5C57C7C5">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程优质费的</w:t>
                      </w:r>
                    </w:p>
                    <w:p w14:paraId="2BF7E286">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v:textbox>
              </v:rect>
            </w:pict>
          </mc:Fallback>
        </mc:AlternateContent>
      </w:r>
      <w:r>
        <w:rPr>
          <w:rFonts w:hint="eastAsia" w:hAnsi="宋体" w:eastAsia="宋体" w:cs="宋体"/>
          <w:color w:val="auto"/>
          <w:sz w:val="24"/>
          <w:szCs w:val="24"/>
          <w:highlight w:val="none"/>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14:paraId="38125297">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52128" behindDoc="0" locked="0" layoutInCell="1" allowOverlap="1">
                <wp:simplePos x="0" y="0"/>
                <wp:positionH relativeFrom="column">
                  <wp:posOffset>-114300</wp:posOffset>
                </wp:positionH>
                <wp:positionV relativeFrom="paragraph">
                  <wp:posOffset>234315</wp:posOffset>
                </wp:positionV>
                <wp:extent cx="914400" cy="621030"/>
                <wp:effectExtent l="0" t="0" r="0" b="0"/>
                <wp:wrapNone/>
                <wp:docPr id="1312" name="0001f3"/>
                <wp:cNvGraphicFramePr/>
                <a:graphic xmlns:a="http://schemas.openxmlformats.org/drawingml/2006/main">
                  <a:graphicData uri="http://schemas.microsoft.com/office/word/2010/wordprocessingShape">
                    <wps:wsp>
                      <wps:cNvSpPr/>
                      <wps:spPr>
                        <a:xfrm>
                          <a:off x="0" y="0"/>
                          <a:ext cx="914400" cy="621030"/>
                        </a:xfrm>
                        <a:prstGeom prst="rect">
                          <a:avLst/>
                        </a:prstGeom>
                        <a:ln>
                          <a:noFill/>
                        </a:ln>
                      </wps:spPr>
                      <wps:txbx>
                        <w:txbxContent>
                          <w:p w14:paraId="1AB19D5D">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工工程优质费计</w:t>
                            </w:r>
                          </w:p>
                          <w:p w14:paraId="06A683F7">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p w14:paraId="4D8D8409">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优质费计</w:t>
                            </w:r>
                          </w:p>
                          <w:p w14:paraId="4E0B2A15">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wps:txbx>
                      <wps:bodyPr wrap="square"/>
                    </wps:wsp>
                  </a:graphicData>
                </a:graphic>
              </wp:anchor>
            </w:drawing>
          </mc:Choice>
          <mc:Fallback>
            <w:pict>
              <v:rect id="0001f3" o:spid="_x0000_s1026" o:spt="1" style="position:absolute;left:0pt;margin-left:-9pt;margin-top:18.45pt;height:48.9pt;width:72pt;z-index:251952128;mso-width-relative:page;mso-height-relative:page;" filled="f" stroked="f" coordsize="21600,21600" o:gfxdata="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HorCXdsAAAAKAQAADwAAAAAAAAABACAAAAAi&#10;AAAAZHJzL2Rvd25yZXYueG1sUEsBAhQAFAAAAAgAh07iQBcli2qVAQAAOAMAAA4AAAAAAAAAAQAg&#10;AAAAKgEAAGRycy9lMm9Eb2MueG1sUEsFBgAAAAAGAAYAWQEAADEFAAAAAA==&#10;">
                <v:fill on="f" focussize="0,0"/>
                <v:stroke on="f"/>
                <v:imagedata o:title=""/>
                <o:lock v:ext="edit" aspectratio="f"/>
                <v:textbox>
                  <w:txbxContent>
                    <w:p w14:paraId="1AB19D5D">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工工程优质费计</w:t>
                      </w:r>
                    </w:p>
                    <w:p w14:paraId="06A683F7">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p w14:paraId="4D8D8409">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优质费计</w:t>
                      </w:r>
                    </w:p>
                    <w:p w14:paraId="4E0B2A15">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v:textbox>
              </v:rect>
            </w:pict>
          </mc:Fallback>
        </mc:AlternateContent>
      </w:r>
      <w:r>
        <w:rPr>
          <w:rFonts w:hint="eastAsia" w:hAnsi="宋体" w:eastAsia="宋体" w:cs="宋体"/>
          <w:b/>
          <w:bCs/>
          <w:color w:val="auto"/>
          <w:sz w:val="24"/>
          <w:szCs w:val="24"/>
          <w:highlight w:val="none"/>
        </w:rPr>
        <w:t xml:space="preserve">67.2  </w:t>
      </w:r>
      <w:r>
        <w:rPr>
          <w:rFonts w:hint="eastAsia" w:hAnsi="宋体" w:eastAsia="宋体" w:cs="宋体"/>
          <w:b/>
          <w:bCs/>
          <w:color w:val="auto"/>
          <w:sz w:val="24"/>
          <w:szCs w:val="24"/>
          <w:highlight w:val="none"/>
          <w:u w:val="dotted"/>
        </w:rPr>
        <w:t xml:space="preserve">                                                                              </w:t>
      </w:r>
    </w:p>
    <w:p w14:paraId="7A24E9CF">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除专用条款另有约定外，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当合同工程同时获得上述多个奖项的，工程优质费只按最高奖项的额度计算。工程优质费列入竣工结算文件中，与竣工结算款一并支付。在竣工结算后获得优质奖项的，发包人应在获得奖项后的28天内支付。</w:t>
      </w:r>
    </w:p>
    <w:p w14:paraId="25B3D023">
      <w:pPr>
        <w:pStyle w:val="22"/>
        <w:adjustRightInd w:val="0"/>
        <w:snapToGrid w:val="0"/>
        <w:spacing w:line="300" w:lineRule="auto"/>
        <w:jc w:val="left"/>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u w:val="single"/>
        </w:rPr>
        <w:t xml:space="preserve">                                                                                                              </w:t>
      </w:r>
    </w:p>
    <w:p w14:paraId="748C9C9D">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161" w:name="_Toc46860873"/>
      <w:bookmarkStart w:id="162" w:name="_Toc469384052"/>
      <w:r>
        <w:rPr>
          <w:rFonts w:hint="eastAsia" w:hAnsi="宋体" w:eastAsia="宋体" w:cs="宋体"/>
          <w:b/>
          <w:bCs/>
          <w:color w:val="auto"/>
          <w:sz w:val="24"/>
          <w:szCs w:val="24"/>
          <w:highlight w:val="none"/>
        </w:rPr>
        <w:t>★68  合同价款的约定与调整</w:t>
      </w:r>
      <w:bookmarkEnd w:id="161"/>
      <w:bookmarkEnd w:id="162"/>
    </w:p>
    <w:p w14:paraId="12D2790B">
      <w:pPr>
        <w:pStyle w:val="22"/>
        <w:adjustRightInd w:val="0"/>
        <w:snapToGrid w:val="0"/>
        <w:spacing w:line="300" w:lineRule="auto"/>
        <w:ind w:left="1446" w:hanging="1446" w:hangingChars="600"/>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68.1       </w:t>
      </w:r>
    </w:p>
    <w:p w14:paraId="164B7950">
      <w:pPr>
        <w:pStyle w:val="22"/>
        <w:adjustRightInd w:val="0"/>
        <w:snapToGrid w:val="0"/>
        <w:spacing w:line="300" w:lineRule="auto"/>
        <w:ind w:left="1438" w:leftChars="685" w:firstLine="28" w:firstLineChars="12"/>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53152" behindDoc="0" locked="0" layoutInCell="1" allowOverlap="1">
                <wp:simplePos x="0" y="0"/>
                <wp:positionH relativeFrom="column">
                  <wp:posOffset>-114300</wp:posOffset>
                </wp:positionH>
                <wp:positionV relativeFrom="paragraph">
                  <wp:posOffset>57150</wp:posOffset>
                </wp:positionV>
                <wp:extent cx="1009650" cy="313055"/>
                <wp:effectExtent l="0" t="0" r="0" b="0"/>
                <wp:wrapNone/>
                <wp:docPr id="1313" name="0001f4"/>
                <wp:cNvGraphicFramePr/>
                <a:graphic xmlns:a="http://schemas.openxmlformats.org/drawingml/2006/main">
                  <a:graphicData uri="http://schemas.microsoft.com/office/word/2010/wordprocessingShape">
                    <wps:wsp>
                      <wps:cNvSpPr/>
                      <wps:spPr>
                        <a:xfrm>
                          <a:off x="0" y="0"/>
                          <a:ext cx="1009649" cy="313055"/>
                        </a:xfrm>
                        <a:prstGeom prst="rect">
                          <a:avLst/>
                        </a:prstGeom>
                        <a:ln>
                          <a:noFill/>
                        </a:ln>
                      </wps:spPr>
                      <wps:txbx>
                        <w:txbxContent>
                          <w:p w14:paraId="4C91A12C">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p w14:paraId="7A5278FC">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定合同价款</w:t>
                            </w:r>
                          </w:p>
                        </w:txbxContent>
                      </wps:txbx>
                      <wps:bodyPr wrap="square"/>
                    </wps:wsp>
                  </a:graphicData>
                </a:graphic>
              </wp:anchor>
            </w:drawing>
          </mc:Choice>
          <mc:Fallback>
            <w:pict>
              <v:rect id="0001f4" o:spid="_x0000_s1026" o:spt="1" style="position:absolute;left:0pt;margin-left:-9pt;margin-top:4.5pt;height:24.65pt;width:79.5pt;z-index:251953152;mso-width-relative:page;mso-height-relative:page;" filled="f" stroked="f" coordsize="21600,21600" o:gfxdata="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tvw5TZAAAACAEAAA8AAAAAAAAAAQAgAAAAIgAA&#10;AGRycy9kb3ducmV2LnhtbFBLAQIUABQAAAAIAIdO4kBVUah7lQEAADkDAAAOAAAAAAAAAAEAIAAA&#10;ACgBAABkcnMvZTJvRG9jLnhtbFBLBQYAAAAABgAGAFkBAAAvBQAAAAA=&#10;">
                <v:fill on="f" focussize="0,0"/>
                <v:stroke on="f"/>
                <v:imagedata o:title=""/>
                <o:lock v:ext="edit" aspectratio="f"/>
                <v:textbox>
                  <w:txbxContent>
                    <w:p w14:paraId="4C91A12C">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p w14:paraId="7A5278FC">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定合同价款</w:t>
                      </w:r>
                    </w:p>
                  </w:txbxContent>
                </v:textbox>
              </v:rect>
            </w:pict>
          </mc:Fallback>
        </mc:AlternateContent>
      </w:r>
      <w:r>
        <w:rPr>
          <w:rFonts w:hint="eastAsia" w:hAnsi="宋体" w:eastAsia="宋体" w:cs="宋体"/>
          <w:color w:val="auto"/>
          <w:sz w:val="24"/>
          <w:szCs w:val="24"/>
          <w:highlight w:val="none"/>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14:paraId="4CC6880A">
      <w:pPr>
        <w:pStyle w:val="22"/>
        <w:adjustRightInd w:val="0"/>
        <w:snapToGrid w:val="0"/>
        <w:spacing w:line="300" w:lineRule="auto"/>
        <w:ind w:left="1438" w:leftChars="685" w:firstLine="28" w:firstLineChars="12"/>
        <w:rPr>
          <w:rFonts w:hint="eastAsia" w:hAnsi="宋体" w:eastAsia="宋体" w:cs="宋体"/>
          <w:color w:val="auto"/>
          <w:sz w:val="24"/>
          <w:szCs w:val="24"/>
          <w:highlight w:val="none"/>
        </w:rPr>
      </w:pPr>
    </w:p>
    <w:p w14:paraId="3FEE286F">
      <w:pPr>
        <w:pStyle w:val="22"/>
        <w:adjustRightInd w:val="0"/>
        <w:snapToGrid w:val="0"/>
        <w:spacing w:line="300" w:lineRule="auto"/>
        <w:rPr>
          <w:rFonts w:hint="eastAsia" w:hAnsi="宋体" w:eastAsia="宋体" w:cs="宋体"/>
          <w:color w:val="auto"/>
          <w:sz w:val="24"/>
          <w:szCs w:val="24"/>
          <w:highlight w:val="none"/>
          <w:u w:val="dotted"/>
        </w:rPr>
      </w:pPr>
      <w:r>
        <w:rPr>
          <w:rFonts w:hint="eastAsia" w:hAnsi="宋体" w:eastAsia="宋体" w:cs="宋体"/>
          <w:color w:val="auto"/>
          <w:sz w:val="24"/>
          <w:szCs w:val="24"/>
          <w:highlight w:val="none"/>
        </w:rPr>
        <mc:AlternateContent>
          <mc:Choice Requires="wps">
            <w:drawing>
              <wp:anchor distT="0" distB="0" distL="0" distR="0" simplePos="0" relativeHeight="251954176" behindDoc="0" locked="0" layoutInCell="1" allowOverlap="1">
                <wp:simplePos x="0" y="0"/>
                <wp:positionH relativeFrom="column">
                  <wp:posOffset>-178435</wp:posOffset>
                </wp:positionH>
                <wp:positionV relativeFrom="paragraph">
                  <wp:posOffset>219710</wp:posOffset>
                </wp:positionV>
                <wp:extent cx="726440" cy="483235"/>
                <wp:effectExtent l="0" t="0" r="0" b="0"/>
                <wp:wrapNone/>
                <wp:docPr id="1314" name="0001f5"/>
                <wp:cNvGraphicFramePr/>
                <a:graphic xmlns:a="http://schemas.openxmlformats.org/drawingml/2006/main">
                  <a:graphicData uri="http://schemas.microsoft.com/office/word/2010/wordprocessingShape">
                    <wps:wsp>
                      <wps:cNvSpPr/>
                      <wps:spPr>
                        <a:xfrm>
                          <a:off x="0" y="0"/>
                          <a:ext cx="726440" cy="483235"/>
                        </a:xfrm>
                        <a:prstGeom prst="rect">
                          <a:avLst/>
                        </a:prstGeom>
                        <a:ln>
                          <a:noFill/>
                        </a:ln>
                      </wps:spPr>
                      <wps:txbx>
                        <w:txbxContent>
                          <w:p w14:paraId="2391A771">
                            <w:pPr>
                              <w:pStyle w:val="16"/>
                              <w:spacing w:line="20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合同价款的方式</w:t>
                            </w:r>
                          </w:p>
                          <w:p w14:paraId="115E36F8">
                            <w:pPr>
                              <w:pStyle w:val="16"/>
                              <w:spacing w:line="200" w:lineRule="exact"/>
                              <w:ind w:left="5250"/>
                              <w:rPr>
                                <w:rFonts w:hint="eastAsia" w:ascii="楷体_GB2312" w:hAnsi="宋体" w:eastAsia="楷体_GB2312"/>
                                <w:b/>
                                <w:bCs/>
                                <w:sz w:val="18"/>
                                <w:szCs w:val="18"/>
                              </w:rPr>
                            </w:pPr>
                          </w:p>
                        </w:txbxContent>
                      </wps:txbx>
                      <wps:bodyPr wrap="square"/>
                    </wps:wsp>
                  </a:graphicData>
                </a:graphic>
              </wp:anchor>
            </w:drawing>
          </mc:Choice>
          <mc:Fallback>
            <w:pict>
              <v:rect id="0001f5" o:spid="_x0000_s1026" o:spt="1" style="position:absolute;left:0pt;margin-left:-14.05pt;margin-top:17.3pt;height:38.05pt;width:57.2pt;z-index:251954176;mso-width-relative:page;mso-height-relative:page;" filled="f" stroked="f" coordsize="21600,21600" o:gfxdata="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7M8uR9oAAAAJAQAADwAAAAAAAAABACAAAAAi&#10;AAAAZHJzL2Rvd25yZXYueG1sUEsBAhQAFAAAAAgAh07iQJLSjyiWAQAAOAMAAA4AAAAAAAAAAQAg&#10;AAAAKQEAAGRycy9lMm9Eb2MueG1sUEsFBgAAAAAGAAYAWQEAADEFAAAAAA==&#10;">
                <v:fill on="f" focussize="0,0"/>
                <v:stroke on="f"/>
                <v:imagedata o:title=""/>
                <o:lock v:ext="edit" aspectratio="f"/>
                <v:textbox>
                  <w:txbxContent>
                    <w:p w14:paraId="2391A771">
                      <w:pPr>
                        <w:pStyle w:val="16"/>
                        <w:spacing w:line="20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合同价款的方式</w:t>
                      </w:r>
                    </w:p>
                    <w:p w14:paraId="115E36F8">
                      <w:pPr>
                        <w:pStyle w:val="16"/>
                        <w:spacing w:line="200" w:lineRule="exact"/>
                        <w:ind w:left="5250"/>
                        <w:rPr>
                          <w:rFonts w:hint="eastAsia" w:ascii="楷体_GB2312" w:hAnsi="宋体" w:eastAsia="楷体_GB2312"/>
                          <w:b/>
                          <w:bCs/>
                          <w:sz w:val="18"/>
                          <w:szCs w:val="18"/>
                        </w:rPr>
                      </w:pPr>
                    </w:p>
                  </w:txbxContent>
                </v:textbox>
              </v:rect>
            </w:pict>
          </mc:Fallback>
        </mc:AlternateContent>
      </w:r>
      <w:r>
        <w:rPr>
          <w:rFonts w:hint="eastAsia" w:hAnsi="宋体" w:eastAsia="宋体" w:cs="宋体"/>
          <w:color w:val="auto"/>
          <w:sz w:val="24"/>
          <w:szCs w:val="24"/>
          <w:highlight w:val="none"/>
        </w:rPr>
        <w:t xml:space="preserve">68.2  </w:t>
      </w:r>
      <w:r>
        <w:rPr>
          <w:rFonts w:hint="eastAsia" w:hAnsi="宋体" w:eastAsia="宋体" w:cs="宋体"/>
          <w:color w:val="auto"/>
          <w:sz w:val="24"/>
          <w:szCs w:val="24"/>
          <w:highlight w:val="none"/>
          <w:u w:val="dotted"/>
        </w:rPr>
        <w:t xml:space="preserve">                                                                                 </w:t>
      </w:r>
    </w:p>
    <w:p w14:paraId="7515CD5E">
      <w:pPr>
        <w:pStyle w:val="22"/>
        <w:adjustRightInd w:val="0"/>
        <w:snapToGrid w:val="0"/>
        <w:spacing w:line="300" w:lineRule="auto"/>
        <w:ind w:firstLine="964" w:firstLineChars="400"/>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下列各种确定合同价款的方式，双方可在专用条款内约定采用其中一</w:t>
      </w:r>
    </w:p>
    <w:p w14:paraId="3DF64968">
      <w:pPr>
        <w:pStyle w:val="22"/>
        <w:adjustRightInd w:val="0"/>
        <w:snapToGrid w:val="0"/>
        <w:spacing w:line="300" w:lineRule="auto"/>
        <w:ind w:firstLine="964" w:firstLineChars="400"/>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种：</w:t>
      </w:r>
    </w:p>
    <w:p w14:paraId="3A2779DB">
      <w:pPr>
        <w:pStyle w:val="22"/>
        <w:adjustRightInd w:val="0"/>
        <w:snapToGrid w:val="0"/>
        <w:spacing w:line="300" w:lineRule="auto"/>
        <w:ind w:left="1535" w:hanging="1535" w:hangingChars="637"/>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 xml:space="preserve">            </w:t>
      </w:r>
      <w:r>
        <w:rPr>
          <w:rFonts w:hint="eastAsia" w:hAnsi="宋体" w:eastAsia="宋体" w:cs="宋体"/>
          <w:color w:val="auto"/>
          <w:sz w:val="24"/>
          <w:szCs w:val="24"/>
          <w:highlight w:val="none"/>
        </w:rPr>
        <w:t>（1）总价合同。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p>
    <w:p w14:paraId="54B491EA">
      <w:pPr>
        <w:pStyle w:val="22"/>
        <w:adjustRightInd w:val="0"/>
        <w:snapToGrid w:val="0"/>
        <w:spacing w:line="300" w:lineRule="auto"/>
        <w:ind w:left="1401" w:leftChars="667"/>
        <w:rPr>
          <w:rFonts w:hint="eastAsia" w:hAnsi="宋体" w:eastAsia="宋体" w:cs="宋体"/>
          <w:color w:val="auto"/>
          <w:sz w:val="24"/>
          <w:szCs w:val="24"/>
          <w:highlight w:val="none"/>
        </w:rPr>
      </w:pPr>
      <w:r>
        <w:rPr>
          <w:rFonts w:hint="eastAsia" w:hAnsi="宋体" w:eastAsia="宋体" w:cs="宋体"/>
          <w:color w:val="auto"/>
          <w:sz w:val="24"/>
          <w:szCs w:val="24"/>
          <w:highlight w:val="none"/>
        </w:rPr>
        <w:t>（2）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p>
    <w:p w14:paraId="7E0D238E">
      <w:pPr>
        <w:spacing w:line="300" w:lineRule="auto"/>
        <w:ind w:left="1535" w:leftChars="674" w:hanging="120" w:hanging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（3）按实结算合同。承包方根据相关资料编制预算，合同价款是暂定价，双方在专用条款内约定合同价款调整方法。</w:t>
      </w:r>
    </w:p>
    <w:p w14:paraId="1DA05A2C">
      <w:pPr>
        <w:pStyle w:val="22"/>
        <w:adjustRightInd w:val="0"/>
        <w:snapToGrid w:val="0"/>
        <w:spacing w:line="300" w:lineRule="auto"/>
        <w:ind w:left="1401" w:leftChars="667"/>
        <w:rPr>
          <w:rFonts w:hint="eastAsia" w:hAnsi="宋体" w:eastAsia="宋体" w:cs="宋体"/>
          <w:color w:val="auto"/>
          <w:sz w:val="24"/>
          <w:szCs w:val="24"/>
          <w:highlight w:val="none"/>
        </w:rPr>
      </w:pPr>
      <w:r>
        <w:rPr>
          <w:rFonts w:hint="eastAsia" w:hAnsi="宋体" w:eastAsia="宋体" w:cs="宋体"/>
          <w:color w:val="auto"/>
          <w:sz w:val="24"/>
          <w:szCs w:val="24"/>
          <w:highlight w:val="none"/>
        </w:rPr>
        <w:t>（4）其它价格形式。合同当事人可在专用条款中约定其他合同价格形式。</w:t>
      </w:r>
    </w:p>
    <w:p w14:paraId="47CC2CEF">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68.3  </w:t>
      </w:r>
      <w:r>
        <w:rPr>
          <w:rFonts w:hint="eastAsia" w:hAnsi="宋体" w:eastAsia="宋体" w:cs="宋体"/>
          <w:b/>
          <w:bCs/>
          <w:color w:val="auto"/>
          <w:sz w:val="24"/>
          <w:szCs w:val="24"/>
          <w:highlight w:val="none"/>
          <w:u w:val="dotted"/>
        </w:rPr>
        <w:t xml:space="preserve">                                                                                                        </w:t>
      </w:r>
    </w:p>
    <w:p w14:paraId="5400E01E">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55200"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1315" name="0001f6"/>
                <wp:cNvGraphicFramePr/>
                <a:graphic xmlns:a="http://schemas.openxmlformats.org/drawingml/2006/main">
                  <a:graphicData uri="http://schemas.microsoft.com/office/word/2010/wordprocessingShape">
                    <wps:wsp>
                      <wps:cNvSpPr/>
                      <wps:spPr>
                        <a:xfrm>
                          <a:off x="0" y="0"/>
                          <a:ext cx="914400" cy="521334"/>
                        </a:xfrm>
                        <a:prstGeom prst="rect">
                          <a:avLst/>
                        </a:prstGeom>
                        <a:ln>
                          <a:noFill/>
                        </a:ln>
                      </wps:spPr>
                      <wps:txbx>
                        <w:txbxContent>
                          <w:p w14:paraId="041441D7">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p w14:paraId="624ED607">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价款的调整事件</w:t>
                            </w:r>
                          </w:p>
                        </w:txbxContent>
                      </wps:txbx>
                      <wps:bodyPr wrap="square"/>
                    </wps:wsp>
                  </a:graphicData>
                </a:graphic>
              </wp:anchor>
            </w:drawing>
          </mc:Choice>
          <mc:Fallback>
            <w:pict>
              <v:rect id="0001f6" o:spid="_x0000_s1026" o:spt="1" style="position:absolute;left:0pt;margin-left:-9pt;margin-top:0.4pt;height:41.05pt;width:72pt;z-index:251955200;mso-width-relative:page;mso-height-relative:page;" filled="f" stroked="f" coordsize="21600,21600" o:gfxdata="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&#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K8JzB/WAAAABwEAAA8AAAAAAAAAAQAgAAAAIgAAAGRy&#10;cy9kb3ducmV2LnhtbFBLAQIUABQAAAAIAIdO4kDMLyWYlQEAADgDAAAOAAAAAAAAAAEAIAAAACUB&#10;AABkcnMvZTJvRG9jLnhtbFBLBQYAAAAABgAGAFkBAAAsBQAAAAA=&#10;">
                <v:fill on="f" focussize="0,0"/>
                <v:stroke on="f"/>
                <v:imagedata o:title=""/>
                <o:lock v:ext="edit" aspectratio="f"/>
                <v:textbox>
                  <w:txbxContent>
                    <w:p w14:paraId="041441D7">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p w14:paraId="624ED607">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价款的调整事件</w:t>
                      </w:r>
                    </w:p>
                  </w:txbxContent>
                </v:textbox>
              </v:rect>
            </w:pict>
          </mc:Fallback>
        </mc:AlternateContent>
      </w:r>
      <w:r>
        <w:rPr>
          <w:rFonts w:hint="eastAsia" w:hAnsi="宋体" w:eastAsia="宋体" w:cs="宋体"/>
          <w:b/>
          <w:bCs/>
          <w:color w:val="auto"/>
          <w:sz w:val="24"/>
          <w:szCs w:val="24"/>
          <w:highlight w:val="none"/>
        </w:rPr>
        <w:t>合同双方当事人应明确合同价款的调整事件。除专用条款另有约定外，调整事件应包括：</w:t>
      </w:r>
    </w:p>
    <w:p w14:paraId="2224FB00">
      <w:pPr>
        <w:pStyle w:val="22"/>
        <w:numPr>
          <w:ilvl w:val="0"/>
          <w:numId w:val="24"/>
        </w:numPr>
        <w:adjustRightInd w:val="0"/>
        <w:snapToGrid w:val="0"/>
        <w:spacing w:line="300" w:lineRule="auto"/>
        <w:ind w:firstLine="420"/>
        <w:rPr>
          <w:rFonts w:hint="eastAsia" w:hAnsi="宋体" w:eastAsia="宋体" w:cs="宋体"/>
          <w:color w:val="auto"/>
          <w:sz w:val="24"/>
          <w:szCs w:val="24"/>
          <w:highlight w:val="none"/>
        </w:rPr>
      </w:pPr>
      <w:r>
        <w:rPr>
          <w:rFonts w:hint="eastAsia" w:hAnsi="宋体" w:eastAsia="宋体" w:cs="宋体"/>
          <w:color w:val="auto"/>
          <w:sz w:val="24"/>
          <w:szCs w:val="24"/>
          <w:highlight w:val="none"/>
        </w:rPr>
        <w:t>后继法律变化事件；</w:t>
      </w:r>
    </w:p>
    <w:p w14:paraId="0B2656C2">
      <w:pPr>
        <w:pStyle w:val="22"/>
        <w:numPr>
          <w:ilvl w:val="0"/>
          <w:numId w:val="24"/>
        </w:numPr>
        <w:adjustRightInd w:val="0"/>
        <w:snapToGrid w:val="0"/>
        <w:spacing w:line="300" w:lineRule="auto"/>
        <w:ind w:firstLine="420"/>
        <w:rPr>
          <w:rFonts w:hint="eastAsia" w:hAnsi="宋体" w:eastAsia="宋体" w:cs="宋体"/>
          <w:color w:val="auto"/>
          <w:sz w:val="24"/>
          <w:szCs w:val="24"/>
          <w:highlight w:val="none"/>
        </w:rPr>
      </w:pPr>
      <w:r>
        <w:rPr>
          <w:rFonts w:hint="eastAsia" w:hAnsi="宋体" w:eastAsia="宋体" w:cs="宋体"/>
          <w:color w:val="auto"/>
          <w:sz w:val="24"/>
          <w:szCs w:val="24"/>
          <w:highlight w:val="none"/>
        </w:rPr>
        <w:t>项目特征描述不符事件；</w:t>
      </w:r>
    </w:p>
    <w:p w14:paraId="07153B11">
      <w:pPr>
        <w:pStyle w:val="22"/>
        <w:numPr>
          <w:ilvl w:val="0"/>
          <w:numId w:val="24"/>
        </w:numPr>
        <w:adjustRightInd w:val="0"/>
        <w:snapToGrid w:val="0"/>
        <w:spacing w:line="300" w:lineRule="auto"/>
        <w:ind w:firstLine="420"/>
        <w:rPr>
          <w:rFonts w:hint="eastAsia" w:hAnsi="宋体" w:eastAsia="宋体" w:cs="宋体"/>
          <w:color w:val="auto"/>
          <w:sz w:val="24"/>
          <w:szCs w:val="24"/>
          <w:highlight w:val="none"/>
        </w:rPr>
      </w:pPr>
      <w:r>
        <w:rPr>
          <w:rFonts w:hint="eastAsia" w:hAnsi="宋体" w:eastAsia="宋体" w:cs="宋体"/>
          <w:color w:val="auto"/>
          <w:sz w:val="24"/>
          <w:szCs w:val="24"/>
          <w:highlight w:val="none"/>
        </w:rPr>
        <w:t>分部分项工程量清单缺项漏项事件；</w:t>
      </w:r>
    </w:p>
    <w:p w14:paraId="08AD2E48">
      <w:pPr>
        <w:pStyle w:val="22"/>
        <w:numPr>
          <w:ilvl w:val="0"/>
          <w:numId w:val="24"/>
        </w:numPr>
        <w:adjustRightInd w:val="0"/>
        <w:snapToGrid w:val="0"/>
        <w:spacing w:line="300" w:lineRule="auto"/>
        <w:ind w:firstLine="420"/>
        <w:rPr>
          <w:rFonts w:hint="eastAsia" w:hAnsi="宋体" w:eastAsia="宋体" w:cs="宋体"/>
          <w:color w:val="auto"/>
          <w:sz w:val="24"/>
          <w:szCs w:val="24"/>
          <w:highlight w:val="none"/>
        </w:rPr>
      </w:pPr>
      <w:r>
        <w:rPr>
          <w:rFonts w:hint="eastAsia" w:hAnsi="宋体" w:eastAsia="宋体" w:cs="宋体"/>
          <w:color w:val="auto"/>
          <w:sz w:val="24"/>
          <w:szCs w:val="24"/>
          <w:highlight w:val="none"/>
        </w:rPr>
        <w:t>工程变更事件；</w:t>
      </w:r>
    </w:p>
    <w:p w14:paraId="4AFAE1B5">
      <w:pPr>
        <w:pStyle w:val="22"/>
        <w:numPr>
          <w:ilvl w:val="0"/>
          <w:numId w:val="24"/>
        </w:numPr>
        <w:adjustRightInd w:val="0"/>
        <w:snapToGrid w:val="0"/>
        <w:spacing w:line="300" w:lineRule="auto"/>
        <w:ind w:firstLine="420"/>
        <w:rPr>
          <w:rFonts w:hint="eastAsia" w:hAnsi="宋体" w:eastAsia="宋体" w:cs="宋体"/>
          <w:color w:val="auto"/>
          <w:sz w:val="24"/>
          <w:szCs w:val="24"/>
          <w:highlight w:val="none"/>
        </w:rPr>
      </w:pPr>
      <w:r>
        <w:rPr>
          <w:rFonts w:hint="eastAsia" w:hAnsi="宋体" w:eastAsia="宋体" w:cs="宋体"/>
          <w:color w:val="auto"/>
          <w:sz w:val="24"/>
          <w:szCs w:val="24"/>
          <w:highlight w:val="none"/>
        </w:rPr>
        <w:t>工程量偏差事件；</w:t>
      </w:r>
    </w:p>
    <w:p w14:paraId="6D15C9B8">
      <w:pPr>
        <w:pStyle w:val="22"/>
        <w:numPr>
          <w:ilvl w:val="0"/>
          <w:numId w:val="24"/>
        </w:numPr>
        <w:adjustRightInd w:val="0"/>
        <w:snapToGrid w:val="0"/>
        <w:spacing w:line="300" w:lineRule="auto"/>
        <w:ind w:firstLine="420"/>
        <w:rPr>
          <w:rFonts w:hint="eastAsia" w:hAnsi="宋体" w:eastAsia="宋体" w:cs="宋体"/>
          <w:color w:val="auto"/>
          <w:sz w:val="24"/>
          <w:szCs w:val="24"/>
          <w:highlight w:val="none"/>
        </w:rPr>
      </w:pPr>
      <w:r>
        <w:rPr>
          <w:rFonts w:hint="eastAsia" w:hAnsi="宋体" w:eastAsia="宋体" w:cs="宋体"/>
          <w:color w:val="auto"/>
          <w:sz w:val="24"/>
          <w:szCs w:val="24"/>
          <w:highlight w:val="none"/>
        </w:rPr>
        <w:t>费用索赔事件；</w:t>
      </w:r>
    </w:p>
    <w:p w14:paraId="3DAB9954">
      <w:pPr>
        <w:pStyle w:val="22"/>
        <w:numPr>
          <w:ilvl w:val="0"/>
          <w:numId w:val="24"/>
        </w:numPr>
        <w:adjustRightInd w:val="0"/>
        <w:snapToGrid w:val="0"/>
        <w:spacing w:line="300" w:lineRule="auto"/>
        <w:ind w:firstLine="420"/>
        <w:rPr>
          <w:rFonts w:hint="eastAsia" w:hAnsi="宋体" w:eastAsia="宋体" w:cs="宋体"/>
          <w:color w:val="auto"/>
          <w:sz w:val="24"/>
          <w:szCs w:val="24"/>
          <w:highlight w:val="none"/>
        </w:rPr>
      </w:pPr>
      <w:r>
        <w:rPr>
          <w:rFonts w:hint="eastAsia" w:hAnsi="宋体" w:eastAsia="宋体" w:cs="宋体"/>
          <w:color w:val="auto"/>
          <w:sz w:val="24"/>
          <w:szCs w:val="24"/>
          <w:highlight w:val="none"/>
        </w:rPr>
        <w:t>现场签证事件；</w:t>
      </w:r>
    </w:p>
    <w:p w14:paraId="2A5E9ED9">
      <w:pPr>
        <w:pStyle w:val="22"/>
        <w:numPr>
          <w:ilvl w:val="0"/>
          <w:numId w:val="24"/>
        </w:numPr>
        <w:adjustRightInd w:val="0"/>
        <w:snapToGrid w:val="0"/>
        <w:spacing w:line="300" w:lineRule="auto"/>
        <w:ind w:firstLine="420"/>
        <w:rPr>
          <w:rFonts w:hint="eastAsia" w:hAnsi="宋体" w:eastAsia="宋体" w:cs="宋体"/>
          <w:color w:val="auto"/>
          <w:sz w:val="24"/>
          <w:szCs w:val="24"/>
          <w:highlight w:val="none"/>
        </w:rPr>
      </w:pPr>
      <w:r>
        <w:rPr>
          <w:rFonts w:hint="eastAsia" w:hAnsi="宋体" w:eastAsia="宋体" w:cs="宋体"/>
          <w:color w:val="auto"/>
          <w:sz w:val="24"/>
          <w:szCs w:val="24"/>
          <w:highlight w:val="none"/>
        </w:rPr>
        <w:t>物价涨落事件；</w:t>
      </w:r>
    </w:p>
    <w:p w14:paraId="55D0FBE8">
      <w:pPr>
        <w:pStyle w:val="22"/>
        <w:numPr>
          <w:ilvl w:val="0"/>
          <w:numId w:val="24"/>
        </w:numPr>
        <w:adjustRightInd w:val="0"/>
        <w:snapToGrid w:val="0"/>
        <w:spacing w:line="300" w:lineRule="auto"/>
        <w:ind w:firstLine="420"/>
        <w:rPr>
          <w:rFonts w:hint="eastAsia" w:hAnsi="宋体" w:eastAsia="宋体" w:cs="宋体"/>
          <w:color w:val="auto"/>
          <w:sz w:val="24"/>
          <w:szCs w:val="24"/>
          <w:highlight w:val="none"/>
        </w:rPr>
      </w:pPr>
      <w:r>
        <w:rPr>
          <w:rFonts w:hint="eastAsia" w:hAnsi="宋体" w:eastAsia="宋体" w:cs="宋体"/>
          <w:color w:val="auto"/>
          <w:sz w:val="24"/>
          <w:szCs w:val="24"/>
          <w:highlight w:val="none"/>
        </w:rPr>
        <w:t>专用条款约定的其他事件。</w:t>
      </w:r>
    </w:p>
    <w:p w14:paraId="6BAB95BD">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本款(1)至(9)调整事件应分别按照第69条至第76条的规定调整合同价款。</w:t>
      </w:r>
    </w:p>
    <w:p w14:paraId="364ABBFB">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68.4  </w:t>
      </w:r>
      <w:r>
        <w:rPr>
          <w:rFonts w:hint="eastAsia" w:hAnsi="宋体" w:eastAsia="宋体" w:cs="宋体"/>
          <w:b/>
          <w:bCs/>
          <w:color w:val="auto"/>
          <w:sz w:val="24"/>
          <w:szCs w:val="24"/>
          <w:highlight w:val="none"/>
          <w:u w:val="dotted"/>
        </w:rPr>
        <w:t xml:space="preserve">                                                                                                        </w:t>
      </w:r>
    </w:p>
    <w:p w14:paraId="4C500312">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56224"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1316" name="0001f7"/>
                <wp:cNvGraphicFramePr/>
                <a:graphic xmlns:a="http://schemas.openxmlformats.org/drawingml/2006/main">
                  <a:graphicData uri="http://schemas.microsoft.com/office/word/2010/wordprocessingShape">
                    <wps:wsp>
                      <wps:cNvSpPr/>
                      <wps:spPr>
                        <a:xfrm>
                          <a:off x="0" y="0"/>
                          <a:ext cx="914400" cy="521334"/>
                        </a:xfrm>
                        <a:prstGeom prst="rect">
                          <a:avLst/>
                        </a:prstGeom>
                        <a:ln>
                          <a:noFill/>
                        </a:ln>
                      </wps:spPr>
                      <wps:txbx>
                        <w:txbxContent>
                          <w:p w14:paraId="0B9DB5BF">
                            <w:pPr>
                              <w:pStyle w:val="16"/>
                              <w:spacing w:line="200" w:lineRule="exact"/>
                              <w:rPr>
                                <w:rFonts w:hint="eastAsia" w:ascii="宋体"/>
                                <w:sz w:val="18"/>
                                <w:szCs w:val="18"/>
                              </w:rPr>
                            </w:pPr>
                            <w:r>
                              <w:rPr>
                                <w:rFonts w:hint="eastAsia" w:ascii="楷体_GB2312" w:hAnsi="宋体" w:eastAsia="楷体_GB2312" w:cs="楷体_GB2312"/>
                                <w:b/>
                                <w:bCs/>
                                <w:color w:val="000000"/>
                                <w:sz w:val="18"/>
                                <w:szCs w:val="18"/>
                              </w:rPr>
                              <w:t>调整合同价款</w:t>
                            </w:r>
                          </w:p>
                          <w:p w14:paraId="5E673A70">
                            <w:pPr>
                              <w:pStyle w:val="16"/>
                              <w:spacing w:line="200" w:lineRule="exact"/>
                              <w:ind w:left="5250"/>
                              <w:rPr>
                                <w:rFonts w:hint="eastAsia" w:ascii="宋体"/>
                                <w:sz w:val="18"/>
                                <w:szCs w:val="18"/>
                              </w:rPr>
                            </w:pPr>
                            <w:r>
                              <w:rPr>
                                <w:rFonts w:hint="eastAsia" w:ascii="楷体_GB2312" w:hAnsi="宋体" w:eastAsia="楷体_GB2312" w:cs="楷体_GB2312"/>
                                <w:b/>
                                <w:bCs/>
                                <w:color w:val="000000"/>
                                <w:sz w:val="18"/>
                                <w:szCs w:val="18"/>
                              </w:rPr>
                              <w:t>同价款</w:t>
                            </w:r>
                          </w:p>
                        </w:txbxContent>
                      </wps:txbx>
                      <wps:bodyPr wrap="square"/>
                    </wps:wsp>
                  </a:graphicData>
                </a:graphic>
              </wp:anchor>
            </w:drawing>
          </mc:Choice>
          <mc:Fallback>
            <w:pict>
              <v:rect id="0001f7" o:spid="_x0000_s1026" o:spt="1" style="position:absolute;left:0pt;margin-left:-9pt;margin-top:0.4pt;height:41.05pt;width:72pt;z-index:251956224;mso-width-relative:page;mso-height-relative:page;" filled="f" stroked="f" coordsize="21600,21600" o:gfxdata="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&#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vCcwf1gAAAAcBAAAPAAAAAAAAAAEAIAAAACIAAABk&#10;cnMvZG93bnJldi54bWxQSwECFAAUAAAACACHTuJA4wMS0pYBAAA4AwAADgAAAAAAAAABACAAAAAl&#10;AQAAZHJzL2Uyb0RvYy54bWxQSwUGAAAAAAYABgBZAQAALQUAAAAA&#10;">
                <v:fill on="f" focussize="0,0"/>
                <v:stroke on="f"/>
                <v:imagedata o:title=""/>
                <o:lock v:ext="edit" aspectratio="f"/>
                <v:textbox>
                  <w:txbxContent>
                    <w:p w14:paraId="0B9DB5BF">
                      <w:pPr>
                        <w:pStyle w:val="16"/>
                        <w:spacing w:line="200" w:lineRule="exact"/>
                        <w:rPr>
                          <w:rFonts w:hint="eastAsia" w:ascii="宋体"/>
                          <w:sz w:val="18"/>
                          <w:szCs w:val="18"/>
                        </w:rPr>
                      </w:pPr>
                      <w:r>
                        <w:rPr>
                          <w:rFonts w:hint="eastAsia" w:ascii="楷体_GB2312" w:hAnsi="宋体" w:eastAsia="楷体_GB2312" w:cs="楷体_GB2312"/>
                          <w:b/>
                          <w:bCs/>
                          <w:color w:val="000000"/>
                          <w:sz w:val="18"/>
                          <w:szCs w:val="18"/>
                        </w:rPr>
                        <w:t>调整合同价款</w:t>
                      </w:r>
                    </w:p>
                    <w:p w14:paraId="5E673A70">
                      <w:pPr>
                        <w:pStyle w:val="16"/>
                        <w:spacing w:line="200" w:lineRule="exact"/>
                        <w:ind w:left="5250"/>
                        <w:rPr>
                          <w:rFonts w:hint="eastAsia" w:ascii="宋体"/>
                          <w:sz w:val="18"/>
                          <w:szCs w:val="18"/>
                        </w:rPr>
                      </w:pPr>
                      <w:r>
                        <w:rPr>
                          <w:rFonts w:hint="eastAsia" w:ascii="楷体_GB2312" w:hAnsi="宋体" w:eastAsia="楷体_GB2312" w:cs="楷体_GB2312"/>
                          <w:b/>
                          <w:bCs/>
                          <w:color w:val="000000"/>
                          <w:sz w:val="18"/>
                          <w:szCs w:val="18"/>
                        </w:rPr>
                        <w:t>同价款</w:t>
                      </w:r>
                    </w:p>
                  </w:txbxContent>
                </v:textbox>
              </v:rect>
            </w:pict>
          </mc:Fallback>
        </mc:AlternateContent>
      </w:r>
      <w:r>
        <w:rPr>
          <w:rFonts w:hint="eastAsia" w:hAnsi="宋体" w:eastAsia="宋体" w:cs="宋体"/>
          <w:color w:val="auto"/>
          <w:sz w:val="24"/>
          <w:szCs w:val="24"/>
          <w:highlight w:val="none"/>
        </w:rPr>
        <w:t>出现第68.2款规定调整合同价款事件的，合同双方当事人应调整合同价款。除费用索赔、现场签证事件分别按照第74条、第75条规定外，调整合同价款的提出、核实、确认与支付等事项，由合同双方当事人按照第77条规定办理。</w:t>
      </w:r>
    </w:p>
    <w:p w14:paraId="2A798FEA">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根据第68.2款规定事件调整合同价款，如果是按照第48条规定由发包人自行供应或发包人招标、承包人采购材料和工程设备的，均不应考虑第72.2款规定的承包人报价下浮率因素。</w:t>
      </w:r>
    </w:p>
    <w:p w14:paraId="0BA25F4F">
      <w:pPr>
        <w:pStyle w:val="22"/>
        <w:tabs>
          <w:tab w:val="left" w:pos="3480"/>
        </w:tabs>
        <w:adjustRightInd w:val="0"/>
        <w:snapToGrid w:val="0"/>
        <w:spacing w:line="300" w:lineRule="auto"/>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6E28FF00">
      <w:pPr>
        <w:pStyle w:val="4"/>
        <w:tabs>
          <w:tab w:val="left" w:pos="420"/>
        </w:tabs>
        <w:spacing w:line="300" w:lineRule="auto"/>
        <w:rPr>
          <w:rFonts w:hint="eastAsia" w:ascii="宋体" w:hAnsi="宋体" w:eastAsia="宋体" w:cs="宋体"/>
          <w:color w:val="auto"/>
          <w:sz w:val="24"/>
          <w:szCs w:val="24"/>
          <w:highlight w:val="none"/>
        </w:rPr>
      </w:pPr>
      <w:bookmarkStart w:id="163" w:name="_Toc469384053"/>
      <w:bookmarkStart w:id="164" w:name="_Toc46860874"/>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rPr>
        <w:t>69  后继法律变化事件</w:t>
      </w:r>
      <w:bookmarkEnd w:id="163"/>
      <w:bookmarkEnd w:id="164"/>
    </w:p>
    <w:p w14:paraId="1AEF4DED">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57248"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1317" name="0001f8"/>
                <wp:cNvGraphicFramePr/>
                <a:graphic xmlns:a="http://schemas.openxmlformats.org/drawingml/2006/main">
                  <a:graphicData uri="http://schemas.microsoft.com/office/word/2010/wordprocessingShape">
                    <wps:wsp>
                      <wps:cNvSpPr/>
                      <wps:spPr>
                        <a:xfrm>
                          <a:off x="0" y="0"/>
                          <a:ext cx="914400" cy="619125"/>
                        </a:xfrm>
                        <a:prstGeom prst="rect">
                          <a:avLst/>
                        </a:prstGeom>
                        <a:ln>
                          <a:noFill/>
                        </a:ln>
                      </wps:spPr>
                      <wps:txbx>
                        <w:txbxContent>
                          <w:p w14:paraId="1A6C1F87">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p w14:paraId="06218094">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继法律变化的价款调整</w:t>
                            </w:r>
                          </w:p>
                        </w:txbxContent>
                      </wps:txbx>
                      <wps:bodyPr wrap="square"/>
                    </wps:wsp>
                  </a:graphicData>
                </a:graphic>
              </wp:anchor>
            </w:drawing>
          </mc:Choice>
          <mc:Fallback>
            <w:pict>
              <v:rect id="0001f8" o:spid="_x0000_s1026" o:spt="1" style="position:absolute;left:0pt;margin-left:-10.5pt;margin-top:21.55pt;height:48.75pt;width:72pt;z-index:251957248;mso-width-relative:page;mso-height-relative:page;" filled="f" stroked="f" coordsize="21600,21600" o:gfxdata="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XRP/LdoAAAAKAQAADwAAAAAAAAABACAAAAAi&#10;AAAAZHJzL2Rvd25yZXYueG1sUEsBAhQAFAAAAAgAh07iQBnUAOWWAQAAOAMAAA4AAAAAAAAAAQAg&#10;AAAAKQEAAGRycy9lMm9Eb2MueG1sUEsFBgAAAAAGAAYAWQEAADEFAAAAAA==&#10;">
                <v:fill on="f" focussize="0,0"/>
                <v:stroke on="f"/>
                <v:imagedata o:title=""/>
                <o:lock v:ext="edit" aspectratio="f"/>
                <v:textbox>
                  <w:txbxContent>
                    <w:p w14:paraId="1A6C1F87">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p w14:paraId="06218094">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继法律变化的价款调整</w:t>
                      </w:r>
                    </w:p>
                  </w:txbxContent>
                </v:textbox>
              </v:rect>
            </w:pict>
          </mc:Fallback>
        </mc:AlternateContent>
      </w:r>
      <w:r>
        <w:rPr>
          <w:rFonts w:hint="eastAsia" w:hAnsi="宋体" w:eastAsia="宋体" w:cs="宋体"/>
          <w:b/>
          <w:bCs/>
          <w:color w:val="auto"/>
          <w:sz w:val="24"/>
          <w:szCs w:val="24"/>
          <w:highlight w:val="none"/>
        </w:rPr>
        <w:t xml:space="preserve">69.1 </w:t>
      </w:r>
    </w:p>
    <w:p w14:paraId="11019421">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合同履行期间，出现国家或省颁布的法律和政策在合同工程基准日期后发生变化，且因执行上述法律和政策引起除第76条规定以外的工程造价增减事件的，合同双方当事人应调整合同价款。</w:t>
      </w:r>
    </w:p>
    <w:p w14:paraId="5C903A62">
      <w:pPr>
        <w:pStyle w:val="22"/>
        <w:tabs>
          <w:tab w:val="left" w:pos="540"/>
        </w:tabs>
        <w:adjustRightInd w:val="0"/>
        <w:snapToGrid w:val="0"/>
        <w:spacing w:line="300" w:lineRule="auto"/>
        <w:rPr>
          <w:rFonts w:hint="eastAsia"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69.2  </w:t>
      </w:r>
      <w:r>
        <w:rPr>
          <w:rFonts w:hint="eastAsia" w:hAnsi="宋体" w:eastAsia="宋体" w:cs="宋体"/>
          <w:b/>
          <w:bCs/>
          <w:color w:val="auto"/>
          <w:sz w:val="24"/>
          <w:szCs w:val="24"/>
          <w:highlight w:val="none"/>
          <w:u w:val="dotted"/>
        </w:rPr>
        <w:t xml:space="preserve">                                                                                                        </w:t>
      </w:r>
    </w:p>
    <w:p w14:paraId="60B5289B">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58272"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1318" name="0001f9"/>
                <wp:cNvGraphicFramePr/>
                <a:graphic xmlns:a="http://schemas.openxmlformats.org/drawingml/2006/main">
                  <a:graphicData uri="http://schemas.microsoft.com/office/word/2010/wordprocessingShape">
                    <wps:wsp>
                      <wps:cNvSpPr/>
                      <wps:spPr>
                        <a:xfrm>
                          <a:off x="0" y="0"/>
                          <a:ext cx="914400" cy="619125"/>
                        </a:xfrm>
                        <a:prstGeom prst="rect">
                          <a:avLst/>
                        </a:prstGeom>
                        <a:ln>
                          <a:noFill/>
                        </a:ln>
                      </wps:spPr>
                      <wps:txbx>
                        <w:txbxContent>
                          <w:p w14:paraId="1E22B274">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p w14:paraId="6A14CF92">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整价款的方法</w:t>
                            </w:r>
                          </w:p>
                        </w:txbxContent>
                      </wps:txbx>
                      <wps:bodyPr wrap="square"/>
                    </wps:wsp>
                  </a:graphicData>
                </a:graphic>
              </wp:anchor>
            </w:drawing>
          </mc:Choice>
          <mc:Fallback>
            <w:pict>
              <v:rect id="0001f9" o:spid="_x0000_s1026" o:spt="1" style="position:absolute;left:0pt;margin-left:-9pt;margin-top:1.25pt;height:48.75pt;width:72pt;z-index:251958272;mso-width-relative:page;mso-height-relative:page;" filled="f" stroked="f" coordsize="21600,21600" o:gfxdata="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fSXnltgAAAAJAQAADwAAAAAAAAABACAAAAAiAAAA&#10;ZHJzL2Rvd25yZXYueG1sUEsBAhQAFAAAAAgAh07iQH7dCmyVAQAAOAMAAA4AAAAAAAAAAQAgAAAA&#10;JwEAAGRycy9lMm9Eb2MueG1sUEsFBgAAAAAGAAYAWQEAAC4FAAAAAA==&#10;">
                <v:fill on="f" focussize="0,0"/>
                <v:stroke on="f"/>
                <v:imagedata o:title=""/>
                <o:lock v:ext="edit" aspectratio="f"/>
                <v:textbox>
                  <w:txbxContent>
                    <w:p w14:paraId="1E22B274">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p w14:paraId="6A14CF92">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整价款的方法</w:t>
                      </w:r>
                    </w:p>
                  </w:txbxContent>
                </v:textbox>
              </v:rect>
            </w:pict>
          </mc:Fallback>
        </mc:AlternateContent>
      </w:r>
      <w:r>
        <w:rPr>
          <w:rFonts w:hint="eastAsia" w:hAnsi="宋体" w:eastAsia="宋体" w:cs="宋体"/>
          <w:color w:val="auto"/>
          <w:sz w:val="24"/>
          <w:szCs w:val="24"/>
          <w:highlight w:val="none"/>
        </w:rPr>
        <w:t>发生第69.1款情况的，应根据合同工程实际情况，按照上述法律和政策规定计算调整的合同价款。</w:t>
      </w:r>
    </w:p>
    <w:p w14:paraId="6B791895">
      <w:pPr>
        <w:tabs>
          <w:tab w:val="left" w:pos="1620"/>
        </w:tabs>
        <w:spacing w:line="300" w:lineRule="auto"/>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58C2B18E">
      <w:pPr>
        <w:pStyle w:val="4"/>
        <w:tabs>
          <w:tab w:val="left" w:pos="420"/>
        </w:tabs>
        <w:spacing w:line="300" w:lineRule="auto"/>
        <w:rPr>
          <w:rFonts w:hint="eastAsia" w:ascii="宋体" w:hAnsi="宋体" w:eastAsia="宋体" w:cs="宋体"/>
          <w:b w:val="0"/>
          <w:bCs w:val="0"/>
          <w:color w:val="auto"/>
          <w:sz w:val="24"/>
          <w:szCs w:val="24"/>
          <w:highlight w:val="none"/>
        </w:rPr>
      </w:pPr>
      <w:bookmarkStart w:id="165" w:name="_Toc46860875"/>
      <w:bookmarkStart w:id="166" w:name="_Toc469384054"/>
      <w:r>
        <w:rPr>
          <w:rFonts w:hint="eastAsia" w:ascii="宋体" w:hAnsi="宋体" w:eastAsia="宋体" w:cs="宋体"/>
          <w:b w:val="0"/>
          <w:bCs w:val="0"/>
          <w:color w:val="auto"/>
          <w:sz w:val="24"/>
          <w:szCs w:val="24"/>
          <w:highlight w:val="none"/>
        </w:rPr>
        <w:t>★</w:t>
      </w:r>
      <w:r>
        <w:rPr>
          <w:rFonts w:hint="eastAsia" w:ascii="宋体" w:hAnsi="宋体" w:eastAsia="宋体" w:cs="宋体"/>
          <w:bCs w:val="0"/>
          <w:color w:val="auto"/>
          <w:sz w:val="24"/>
          <w:szCs w:val="24"/>
          <w:highlight w:val="none"/>
        </w:rPr>
        <w:t>70  项目特征描述不符事件</w:t>
      </w:r>
      <w:bookmarkEnd w:id="165"/>
      <w:bookmarkEnd w:id="166"/>
    </w:p>
    <w:p w14:paraId="12322841">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70.1 </w:t>
      </w:r>
    </w:p>
    <w:p w14:paraId="525A8865">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59296"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1319" name="0001fa"/>
                <wp:cNvGraphicFramePr/>
                <a:graphic xmlns:a="http://schemas.openxmlformats.org/drawingml/2006/main">
                  <a:graphicData uri="http://schemas.microsoft.com/office/word/2010/wordprocessingShape">
                    <wps:wsp>
                      <wps:cNvSpPr/>
                      <wps:spPr>
                        <a:xfrm>
                          <a:off x="0" y="0"/>
                          <a:ext cx="914400" cy="619125"/>
                        </a:xfrm>
                        <a:prstGeom prst="rect">
                          <a:avLst/>
                        </a:prstGeom>
                        <a:ln>
                          <a:noFill/>
                        </a:ln>
                      </wps:spPr>
                      <wps:txbx>
                        <w:txbxContent>
                          <w:p w14:paraId="18B83675">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p w14:paraId="497EE222">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目特征的准确性</w:t>
                            </w:r>
                          </w:p>
                        </w:txbxContent>
                      </wps:txbx>
                      <wps:bodyPr wrap="square"/>
                    </wps:wsp>
                  </a:graphicData>
                </a:graphic>
              </wp:anchor>
            </w:drawing>
          </mc:Choice>
          <mc:Fallback>
            <w:pict>
              <v:rect id="0001fa" o:spid="_x0000_s1026" o:spt="1" style="position:absolute;left:0pt;margin-left:-9pt;margin-top:2.7pt;height:48.75pt;width:72pt;z-index:251959296;mso-width-relative:page;mso-height-relative:page;" filled="f" stroked="f" coordsize="21600,21600" o:gfxdata="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B8kwhTZAAAACQEAAA8AAAAAAAAAAQAgAAAAIgAA&#10;AGRycy9kb3ducmV2LnhtbFBLAQIUABQAAAAIAIdO4kDcu8dglQEAADgDAAAOAAAAAAAAAAEAIAAA&#10;ACgBAABkcnMvZTJvRG9jLnhtbFBLBQYAAAAABgAGAFkBAAAvBQAAAAA=&#10;">
                <v:fill on="f" focussize="0,0"/>
                <v:stroke on="f"/>
                <v:imagedata o:title=""/>
                <o:lock v:ext="edit" aspectratio="f"/>
                <v:textbox>
                  <w:txbxContent>
                    <w:p w14:paraId="18B83675">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p w14:paraId="497EE222">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目特征的准确性</w:t>
                      </w:r>
                    </w:p>
                  </w:txbxContent>
                </v:textbox>
              </v:rect>
            </w:pict>
          </mc:Fallback>
        </mc:AlternateContent>
      </w:r>
      <w:r>
        <w:rPr>
          <w:rFonts w:hint="eastAsia" w:hAnsi="宋体" w:eastAsia="宋体" w:cs="宋体"/>
          <w:color w:val="auto"/>
          <w:sz w:val="24"/>
          <w:szCs w:val="24"/>
          <w:highlight w:val="none"/>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14:paraId="05B60E26">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70.2  </w:t>
      </w:r>
      <w:r>
        <w:rPr>
          <w:rFonts w:hint="eastAsia" w:hAnsi="宋体" w:eastAsia="宋体" w:cs="宋体"/>
          <w:b/>
          <w:bCs/>
          <w:color w:val="auto"/>
          <w:sz w:val="24"/>
          <w:szCs w:val="24"/>
          <w:highlight w:val="none"/>
          <w:u w:val="dotted"/>
        </w:rPr>
        <w:t xml:space="preserve">                                                                               </w:t>
      </w:r>
    </w:p>
    <w:p w14:paraId="0BB90B73">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60320"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1320" name="0001fb"/>
                <wp:cNvGraphicFramePr/>
                <a:graphic xmlns:a="http://schemas.openxmlformats.org/drawingml/2006/main">
                  <a:graphicData uri="http://schemas.microsoft.com/office/word/2010/wordprocessingShape">
                    <wps:wsp>
                      <wps:cNvSpPr/>
                      <wps:spPr>
                        <a:xfrm>
                          <a:off x="0" y="0"/>
                          <a:ext cx="914400" cy="619125"/>
                        </a:xfrm>
                        <a:prstGeom prst="rect">
                          <a:avLst/>
                        </a:prstGeom>
                        <a:ln>
                          <a:noFill/>
                        </a:ln>
                      </wps:spPr>
                      <wps:txbx>
                        <w:txbxContent>
                          <w:p w14:paraId="6C75459C">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14:paraId="34562D00">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目特征描述不符的价款调整</w:t>
                            </w:r>
                          </w:p>
                          <w:p w14:paraId="22B2E329">
                            <w:pPr>
                              <w:pStyle w:val="39"/>
                              <w:spacing w:line="200" w:lineRule="exact"/>
                              <w:rPr>
                                <w:rFonts w:hint="eastAsia"/>
                                <w:sz w:val="18"/>
                                <w:szCs w:val="18"/>
                              </w:rPr>
                            </w:pPr>
                          </w:p>
                        </w:txbxContent>
                      </wps:txbx>
                      <wps:bodyPr wrap="square"/>
                    </wps:wsp>
                  </a:graphicData>
                </a:graphic>
              </wp:anchor>
            </w:drawing>
          </mc:Choice>
          <mc:Fallback>
            <w:pict>
              <v:rect id="0001fb" o:spid="_x0000_s1026" o:spt="1" style="position:absolute;left:0pt;margin-left:-9pt;margin-top:0.45pt;height:48.75pt;width:72pt;z-index:251960320;mso-width-relative:page;mso-height-relative:page;" filled="f" stroked="f" coordsize="21600,21600" o:gfxdata="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pW5YddYAAAAHAQAADwAAAAAAAAABACAAAAAiAAAAZHJz&#10;L2Rvd25yZXYueG1sUEsBAhQAFAAAAAgAh07iQHQV9viUAQAAOAMAAA4AAAAAAAAAAQAgAAAAJQEA&#10;AGRycy9lMm9Eb2MueG1sUEsFBgAAAAAGAAYAWQEAACsFAAAAAA==&#10;">
                <v:fill on="f" focussize="0,0"/>
                <v:stroke on="f"/>
                <v:imagedata o:title=""/>
                <o:lock v:ext="edit" aspectratio="f"/>
                <v:textbox>
                  <w:txbxContent>
                    <w:p w14:paraId="6C75459C">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14:paraId="34562D00">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目特征描述不符的价款调整</w:t>
                      </w:r>
                    </w:p>
                    <w:p w14:paraId="22B2E329">
                      <w:pPr>
                        <w:pStyle w:val="39"/>
                        <w:spacing w:line="200" w:lineRule="exact"/>
                        <w:rPr>
                          <w:rFonts w:hint="eastAsia"/>
                          <w:sz w:val="18"/>
                          <w:szCs w:val="18"/>
                        </w:rPr>
                      </w:pPr>
                    </w:p>
                  </w:txbxContent>
                </v:textbox>
              </v:rect>
            </w:pict>
          </mc:Fallback>
        </mc:AlternateContent>
      </w:r>
      <w:r>
        <w:rPr>
          <w:rFonts w:hint="eastAsia" w:hAnsi="宋体" w:eastAsia="宋体" w:cs="宋体"/>
          <w:color w:val="auto"/>
          <w:sz w:val="24"/>
          <w:szCs w:val="24"/>
          <w:highlight w:val="none"/>
        </w:rPr>
        <w:t>合同履行期间，出现实际施工设计图纸（含设计变更）与招标文件提供的工程量清单任一项目特征描述不符，且该变化引起工程造价增减事件的，合同双方当事人应调整合同价款。</w:t>
      </w:r>
    </w:p>
    <w:p w14:paraId="77F7319F">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70.3 </w:t>
      </w:r>
      <w:r>
        <w:rPr>
          <w:rFonts w:hint="eastAsia" w:hAnsi="宋体" w:eastAsia="宋体" w:cs="宋体"/>
          <w:b/>
          <w:bCs/>
          <w:color w:val="auto"/>
          <w:sz w:val="24"/>
          <w:szCs w:val="24"/>
          <w:highlight w:val="none"/>
          <w:u w:val="dotted"/>
        </w:rPr>
        <w:t xml:space="preserve">                                                                              </w:t>
      </w:r>
      <w:r>
        <w:rPr>
          <w:rFonts w:hint="eastAsia" w:hAnsi="宋体" w:eastAsia="宋体" w:cs="宋体"/>
          <w:b/>
          <w:bCs/>
          <w:color w:val="auto"/>
          <w:sz w:val="24"/>
          <w:szCs w:val="24"/>
          <w:highlight w:val="none"/>
        </w:rPr>
        <w:t xml:space="preserve"> </w:t>
      </w:r>
    </w:p>
    <w:p w14:paraId="3B9E183D">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61344"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1321" name="0001fc"/>
                <wp:cNvGraphicFramePr/>
                <a:graphic xmlns:a="http://schemas.openxmlformats.org/drawingml/2006/main">
                  <a:graphicData uri="http://schemas.microsoft.com/office/word/2010/wordprocessingShape">
                    <wps:wsp>
                      <wps:cNvSpPr/>
                      <wps:spPr>
                        <a:xfrm>
                          <a:off x="0" y="0"/>
                          <a:ext cx="914400" cy="619125"/>
                        </a:xfrm>
                        <a:prstGeom prst="rect">
                          <a:avLst/>
                        </a:prstGeom>
                        <a:ln>
                          <a:noFill/>
                        </a:ln>
                      </wps:spPr>
                      <wps:txbx>
                        <w:txbxContent>
                          <w:p w14:paraId="1396639C">
                            <w:pPr>
                              <w:pStyle w:val="16"/>
                              <w:spacing w:line="200" w:lineRule="exact"/>
                              <w:rPr>
                                <w:rFonts w:hint="eastAsia" w:ascii="宋体"/>
                                <w:color w:val="FF0000"/>
                                <w:sz w:val="24"/>
                                <w:szCs w:val="24"/>
                              </w:rPr>
                            </w:pPr>
                            <w:r>
                              <w:rPr>
                                <w:rFonts w:hint="eastAsia" w:ascii="楷体_GB2312" w:hAnsi="宋体" w:eastAsia="楷体_GB2312" w:cs="楷体_GB2312"/>
                                <w:b/>
                                <w:bCs/>
                                <w:color w:val="000000"/>
                                <w:sz w:val="18"/>
                                <w:szCs w:val="18"/>
                              </w:rPr>
                              <w:t>调整价款的方法</w:t>
                            </w:r>
                          </w:p>
                          <w:p w14:paraId="376D90EE">
                            <w:pPr>
                              <w:pStyle w:val="16"/>
                              <w:spacing w:line="200" w:lineRule="exact"/>
                              <w:ind w:left="5250"/>
                              <w:rPr>
                                <w:rFonts w:hint="eastAsia" w:ascii="宋体"/>
                                <w:color w:val="FF0000"/>
                                <w:sz w:val="24"/>
                                <w:szCs w:val="24"/>
                              </w:rPr>
                            </w:pPr>
                            <w:r>
                              <w:rPr>
                                <w:rFonts w:hint="eastAsia" w:ascii="楷体_GB2312" w:hAnsi="宋体" w:eastAsia="楷体_GB2312" w:cs="楷体_GB2312"/>
                                <w:b/>
                                <w:bCs/>
                                <w:color w:val="000000"/>
                                <w:sz w:val="18"/>
                                <w:szCs w:val="18"/>
                              </w:rPr>
                              <w:t>价款的方法</w:t>
                            </w:r>
                          </w:p>
                          <w:p w14:paraId="5D679D6D">
                            <w:pPr>
                              <w:pStyle w:val="39"/>
                              <w:spacing w:line="200" w:lineRule="exact"/>
                              <w:rPr>
                                <w:rFonts w:hint="eastAsia"/>
                                <w:sz w:val="18"/>
                                <w:szCs w:val="18"/>
                              </w:rPr>
                            </w:pPr>
                          </w:p>
                        </w:txbxContent>
                      </wps:txbx>
                      <wps:bodyPr wrap="square"/>
                    </wps:wsp>
                  </a:graphicData>
                </a:graphic>
              </wp:anchor>
            </w:drawing>
          </mc:Choice>
          <mc:Fallback>
            <w:pict>
              <v:rect id="0001fc" o:spid="_x0000_s1026" o:spt="1" style="position:absolute;left:0pt;margin-left:-9pt;margin-top:0.45pt;height:48.75pt;width:72pt;z-index:251961344;mso-width-relative:page;mso-height-relative:page;" filled="f" stroked="f" coordsize="21600,21600" o:gfxdata="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KVuWHXWAAAABwEAAA8AAAAAAAAAAQAgAAAAIgAAAGRy&#10;cy9kb3ducmV2LnhtbFBLAQIUABQAAAAIAIdO4kDHSEuSlQEAADgDAAAOAAAAAAAAAAEAIAAAACUB&#10;AABkcnMvZTJvRG9jLnhtbFBLBQYAAAAABgAGAFkBAAAsBQAAAAA=&#10;">
                <v:fill on="f" focussize="0,0"/>
                <v:stroke on="f"/>
                <v:imagedata o:title=""/>
                <o:lock v:ext="edit" aspectratio="f"/>
                <v:textbox>
                  <w:txbxContent>
                    <w:p w14:paraId="1396639C">
                      <w:pPr>
                        <w:pStyle w:val="16"/>
                        <w:spacing w:line="200" w:lineRule="exact"/>
                        <w:rPr>
                          <w:rFonts w:hint="eastAsia" w:ascii="宋体"/>
                          <w:color w:val="FF0000"/>
                          <w:sz w:val="24"/>
                          <w:szCs w:val="24"/>
                        </w:rPr>
                      </w:pPr>
                      <w:r>
                        <w:rPr>
                          <w:rFonts w:hint="eastAsia" w:ascii="楷体_GB2312" w:hAnsi="宋体" w:eastAsia="楷体_GB2312" w:cs="楷体_GB2312"/>
                          <w:b/>
                          <w:bCs/>
                          <w:color w:val="000000"/>
                          <w:sz w:val="18"/>
                          <w:szCs w:val="18"/>
                        </w:rPr>
                        <w:t>调整价款的方法</w:t>
                      </w:r>
                    </w:p>
                    <w:p w14:paraId="376D90EE">
                      <w:pPr>
                        <w:pStyle w:val="16"/>
                        <w:spacing w:line="200" w:lineRule="exact"/>
                        <w:ind w:left="5250"/>
                        <w:rPr>
                          <w:rFonts w:hint="eastAsia" w:ascii="宋体"/>
                          <w:color w:val="FF0000"/>
                          <w:sz w:val="24"/>
                          <w:szCs w:val="24"/>
                        </w:rPr>
                      </w:pPr>
                      <w:r>
                        <w:rPr>
                          <w:rFonts w:hint="eastAsia" w:ascii="楷体_GB2312" w:hAnsi="宋体" w:eastAsia="楷体_GB2312" w:cs="楷体_GB2312"/>
                          <w:b/>
                          <w:bCs/>
                          <w:color w:val="000000"/>
                          <w:sz w:val="18"/>
                          <w:szCs w:val="18"/>
                        </w:rPr>
                        <w:t>价款的方法</w:t>
                      </w:r>
                    </w:p>
                    <w:p w14:paraId="5D679D6D">
                      <w:pPr>
                        <w:pStyle w:val="39"/>
                        <w:spacing w:line="200" w:lineRule="exact"/>
                        <w:rPr>
                          <w:rFonts w:hint="eastAsia"/>
                          <w:sz w:val="18"/>
                          <w:szCs w:val="18"/>
                        </w:rPr>
                      </w:pPr>
                    </w:p>
                  </w:txbxContent>
                </v:textbox>
              </v:rect>
            </w:pict>
          </mc:Fallback>
        </mc:AlternateContent>
      </w:r>
      <w:r>
        <w:rPr>
          <w:rFonts w:hint="eastAsia" w:hAnsi="宋体" w:eastAsia="宋体" w:cs="宋体"/>
          <w:color w:val="auto"/>
          <w:sz w:val="24"/>
          <w:szCs w:val="24"/>
          <w:highlight w:val="none"/>
        </w:rPr>
        <w:t>发生第70.2款情况的，应按照实际施工的项目特征重新确定相应工程量清单项目的综合单价，计算调整的合同价款。</w:t>
      </w:r>
    </w:p>
    <w:p w14:paraId="2A919F77">
      <w:pPr>
        <w:pStyle w:val="22"/>
        <w:adjustRightInd w:val="0"/>
        <w:snapToGrid w:val="0"/>
        <w:spacing w:line="300" w:lineRule="auto"/>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0F68F907">
      <w:pPr>
        <w:pStyle w:val="22"/>
        <w:adjustRightInd w:val="0"/>
        <w:snapToGrid w:val="0"/>
        <w:spacing w:line="300" w:lineRule="auto"/>
        <w:outlineLvl w:val="2"/>
        <w:rPr>
          <w:rFonts w:hint="eastAsia" w:hAnsi="宋体" w:eastAsia="宋体" w:cs="宋体"/>
          <w:color w:val="auto"/>
          <w:sz w:val="24"/>
          <w:szCs w:val="24"/>
          <w:highlight w:val="none"/>
        </w:rPr>
      </w:pPr>
      <w:bookmarkStart w:id="167" w:name="_Toc46860876"/>
      <w:bookmarkStart w:id="168" w:name="_Toc469384055"/>
      <w:r>
        <w:rPr>
          <w:rFonts w:hint="eastAsia" w:hAnsi="宋体" w:eastAsia="宋体" w:cs="宋体"/>
          <w:b/>
          <w:bCs/>
          <w:color w:val="auto"/>
          <w:sz w:val="24"/>
          <w:szCs w:val="24"/>
          <w:highlight w:val="none"/>
        </w:rPr>
        <w:t>★71  分部分项工程量清单缺项漏项事件</w:t>
      </w:r>
      <w:bookmarkEnd w:id="167"/>
      <w:bookmarkEnd w:id="168"/>
    </w:p>
    <w:p w14:paraId="65823A9D">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71.1  </w:t>
      </w:r>
    </w:p>
    <w:p w14:paraId="73168F64">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62368"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1322" name="0001fd"/>
                <wp:cNvGraphicFramePr/>
                <a:graphic xmlns:a="http://schemas.openxmlformats.org/drawingml/2006/main">
                  <a:graphicData uri="http://schemas.microsoft.com/office/word/2010/wordprocessingShape">
                    <wps:wsp>
                      <wps:cNvSpPr/>
                      <wps:spPr>
                        <a:xfrm>
                          <a:off x="0" y="0"/>
                          <a:ext cx="914400" cy="692150"/>
                        </a:xfrm>
                        <a:prstGeom prst="rect">
                          <a:avLst/>
                        </a:prstGeom>
                        <a:ln>
                          <a:noFill/>
                        </a:ln>
                      </wps:spPr>
                      <wps:txbx>
                        <w:txbxContent>
                          <w:p w14:paraId="1799C987">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wps:txbx>
                      <wps:bodyPr wrap="square"/>
                    </wps:wsp>
                  </a:graphicData>
                </a:graphic>
              </wp:anchor>
            </w:drawing>
          </mc:Choice>
          <mc:Fallback>
            <w:pict>
              <v:rect id="0001fd" o:spid="_x0000_s1026" o:spt="1" style="position:absolute;left:0pt;margin-left:-10.5pt;margin-top:0.5pt;height:54.5pt;width:72pt;z-index:251962368;mso-width-relative:page;mso-height-relative:page;" filled="f" stroked="f" coordsize="21600,21600" o:gfxdata="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PiTWh1wAAAAkBAAAPAAAAAAAAAAEAIAAAACIAAABk&#10;cnMvZG93bnJldi54bWxQSwECFAAUAAAACACHTuJAyDqLwJUBAAA4AwAADgAAAAAAAAABACAAAAAm&#10;AQAAZHJzL2Uyb0RvYy54bWxQSwUGAAAAAAYABgBZAQAALQUAAAAA&#10;">
                <v:fill on="f" focussize="0,0"/>
                <v:stroke on="f"/>
                <v:imagedata o:title=""/>
                <o:lock v:ext="edit" aspectratio="f"/>
                <v:textbox>
                  <w:txbxContent>
                    <w:p w14:paraId="1799C987">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v:textbox>
              </v:rect>
            </w:pict>
          </mc:Fallback>
        </mc:AlternateContent>
      </w:r>
      <w:r>
        <w:rPr>
          <w:rFonts w:hint="eastAsia" w:hAnsi="宋体" w:eastAsia="宋体" w:cs="宋体"/>
          <w:color w:val="auto"/>
          <w:sz w:val="24"/>
          <w:szCs w:val="24"/>
          <w:highlight w:val="none"/>
        </w:rPr>
        <mc:AlternateContent>
          <mc:Choice Requires="wps">
            <w:drawing>
              <wp:anchor distT="0" distB="0" distL="0" distR="0" simplePos="0" relativeHeight="251963392"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1323" name="0001fe"/>
                <wp:cNvGraphicFramePr/>
                <a:graphic xmlns:a="http://schemas.openxmlformats.org/drawingml/2006/main">
                  <a:graphicData uri="http://schemas.microsoft.com/office/word/2010/wordprocessingShape">
                    <wps:wsp>
                      <wps:cNvSpPr/>
                      <wps:spPr>
                        <a:xfrm>
                          <a:off x="0" y="0"/>
                          <a:ext cx="914400" cy="693420"/>
                        </a:xfrm>
                        <a:prstGeom prst="rect">
                          <a:avLst/>
                        </a:prstGeom>
                        <a:ln>
                          <a:noFill/>
                        </a:ln>
                      </wps:spPr>
                      <wps:txbx>
                        <w:txbxContent>
                          <w:p w14:paraId="21318A44">
                            <w:pPr>
                              <w:pStyle w:val="16"/>
                              <w:spacing w:line="200" w:lineRule="exact"/>
                              <w:rPr>
                                <w:rFonts w:hint="eastAsia"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清单缺陷漏项的价款调整</w:t>
                            </w:r>
                          </w:p>
                        </w:txbxContent>
                      </wps:txbx>
                      <wps:bodyPr wrap="square"/>
                    </wps:wsp>
                  </a:graphicData>
                </a:graphic>
              </wp:anchor>
            </w:drawing>
          </mc:Choice>
          <mc:Fallback>
            <w:pict>
              <v:rect id="0001fe" o:spid="_x0000_s1026" o:spt="1" style="position:absolute;left:0pt;margin-left:-10.5pt;margin-top:0.5pt;height:54.6pt;width:72pt;z-index:251963392;mso-width-relative:page;mso-height-relative:page;" filled="f" stroked="f" coordsize="21600,21600" o:gfxdata="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&#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H6PgdXXAAAACQEAAA8AAAAAAAAAAQAgAAAAIgAAAGRy&#10;cy9kb3ducmV2LnhtbFBLAQIUABQAAAAIAIdO4kA5J3ielAEAADgDAAAOAAAAAAAAAAEAIAAAACYB&#10;AABkcnMvZTJvRG9jLnhtbFBLBQYAAAAABgAGAFkBAAAsBQAAAAA=&#10;">
                <v:fill on="f" focussize="0,0"/>
                <v:stroke on="f"/>
                <v:imagedata o:title=""/>
                <o:lock v:ext="edit" aspectratio="f"/>
                <v:textbox>
                  <w:txbxContent>
                    <w:p w14:paraId="21318A44">
                      <w:pPr>
                        <w:pStyle w:val="16"/>
                        <w:spacing w:line="200" w:lineRule="exact"/>
                        <w:rPr>
                          <w:rFonts w:hint="eastAsia"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清单缺陷漏项的价款调整</w:t>
                      </w:r>
                    </w:p>
                  </w:txbxContent>
                </v:textbox>
              </v:rect>
            </w:pict>
          </mc:Fallback>
        </mc:AlternateContent>
      </w:r>
      <w:r>
        <w:rPr>
          <w:rFonts w:hint="eastAsia" w:hAnsi="宋体" w:eastAsia="宋体" w:cs="宋体"/>
          <w:color w:val="auto"/>
          <w:sz w:val="24"/>
          <w:szCs w:val="24"/>
          <w:highlight w:val="none"/>
        </w:rPr>
        <w:t>合同履行期间，出现工程量清单中分部分项工程缺项漏项事件的，合同双方当事人应调整合同价款。</w:t>
      </w:r>
    </w:p>
    <w:p w14:paraId="13BFE13B">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71.2   </w:t>
      </w:r>
      <w:r>
        <w:rPr>
          <w:rFonts w:hint="eastAsia" w:hAnsi="宋体" w:eastAsia="宋体" w:cs="宋体"/>
          <w:b/>
          <w:bCs/>
          <w:color w:val="auto"/>
          <w:sz w:val="24"/>
          <w:szCs w:val="24"/>
          <w:highlight w:val="none"/>
          <w:u w:val="dotted"/>
        </w:rPr>
        <w:t xml:space="preserve">                                                                               </w:t>
      </w:r>
    </w:p>
    <w:p w14:paraId="23510F1E">
      <w:pPr>
        <w:pStyle w:val="22"/>
        <w:adjustRightInd w:val="0"/>
        <w:snapToGrid w:val="0"/>
        <w:spacing w:line="300" w:lineRule="auto"/>
        <w:ind w:left="1619" w:leftChars="771" w:firstLine="1"/>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64416"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1324" name="0001ff"/>
                <wp:cNvGraphicFramePr/>
                <a:graphic xmlns:a="http://schemas.openxmlformats.org/drawingml/2006/main">
                  <a:graphicData uri="http://schemas.microsoft.com/office/word/2010/wordprocessingShape">
                    <wps:wsp>
                      <wps:cNvSpPr/>
                      <wps:spPr>
                        <a:xfrm>
                          <a:off x="0" y="0"/>
                          <a:ext cx="914400" cy="692150"/>
                        </a:xfrm>
                        <a:prstGeom prst="rect">
                          <a:avLst/>
                        </a:prstGeom>
                        <a:ln>
                          <a:noFill/>
                        </a:ln>
                      </wps:spPr>
                      <wps:txbx>
                        <w:txbxContent>
                          <w:p w14:paraId="64AF2683">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14:paraId="7FE60382">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分部分项工程费的方法</w:t>
                            </w:r>
                          </w:p>
                          <w:p w14:paraId="72440BD2">
                            <w:pPr>
                              <w:spacing w:line="240" w:lineRule="exact"/>
                              <w:rPr>
                                <w:rFonts w:hint="eastAsia"/>
                                <w:sz w:val="18"/>
                                <w:szCs w:val="18"/>
                              </w:rPr>
                            </w:pPr>
                          </w:p>
                        </w:txbxContent>
                      </wps:txbx>
                      <wps:bodyPr wrap="square"/>
                    </wps:wsp>
                  </a:graphicData>
                </a:graphic>
              </wp:anchor>
            </w:drawing>
          </mc:Choice>
          <mc:Fallback>
            <w:pict>
              <v:rect id="0001ff" o:spid="_x0000_s1026" o:spt="1" style="position:absolute;left:0pt;margin-left:-5.25pt;margin-top:0.7pt;height:54.5pt;width:72pt;z-index:251964416;mso-width-relative:page;mso-height-relative:page;" filled="f" stroked="f" coordsize="21600,21600" o:gfxdata="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KBlSLzYAAAACQEAAA8AAAAAAAAAAQAgAAAAIgAA&#10;AGRycy9kb3ducmV2LnhtbFBLAQIUABQAAAAIAIdO4kCWYuVUlgEAADgDAAAOAAAAAAAAAAEAIAAA&#10;ACcBAABkcnMvZTJvRG9jLnhtbFBLBQYAAAAABgAGAFkBAAAvBQAAAAA=&#10;">
                <v:fill on="f" focussize="0,0"/>
                <v:stroke on="f"/>
                <v:imagedata o:title=""/>
                <o:lock v:ext="edit" aspectratio="f"/>
                <v:textbox>
                  <w:txbxContent>
                    <w:p w14:paraId="64AF2683">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14:paraId="7FE60382">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分部分项工程费的方法</w:t>
                      </w:r>
                    </w:p>
                    <w:p w14:paraId="72440BD2">
                      <w:pPr>
                        <w:spacing w:line="240" w:lineRule="exact"/>
                        <w:rPr>
                          <w:rFonts w:hint="eastAsia"/>
                          <w:sz w:val="18"/>
                          <w:szCs w:val="18"/>
                        </w:rPr>
                      </w:pPr>
                    </w:p>
                  </w:txbxContent>
                </v:textbox>
              </v:rect>
            </w:pict>
          </mc:Fallback>
        </mc:AlternateContent>
      </w:r>
      <w:r>
        <w:rPr>
          <w:rFonts w:hint="eastAsia" w:hAnsi="宋体" w:eastAsia="宋体" w:cs="宋体"/>
          <w:color w:val="auto"/>
          <w:sz w:val="24"/>
          <w:szCs w:val="24"/>
          <w:highlight w:val="none"/>
        </w:rPr>
        <w:t>工程量清单中分部分项工程出现缺项漏项，造成新增工程量清单项目的，应按照第72.2款规定计算调整的分部分项工程费。</w:t>
      </w:r>
    </w:p>
    <w:p w14:paraId="7D355ABF">
      <w:pPr>
        <w:pStyle w:val="22"/>
        <w:tabs>
          <w:tab w:val="left" w:pos="540"/>
        </w:tabs>
        <w:adjustRightInd w:val="0"/>
        <w:snapToGrid w:val="0"/>
        <w:spacing w:before="240" w:beforeLines="100" w:line="300" w:lineRule="auto"/>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 xml:space="preserve">71.3  </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7B1EA654">
      <w:pPr>
        <w:pStyle w:val="22"/>
        <w:adjustRightInd w:val="0"/>
        <w:snapToGrid w:val="0"/>
        <w:spacing w:line="300" w:lineRule="auto"/>
        <w:ind w:left="1619" w:leftChars="771" w:firstLine="2"/>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65440"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1325" name="000200"/>
                <wp:cNvGraphicFramePr/>
                <a:graphic xmlns:a="http://schemas.openxmlformats.org/drawingml/2006/main">
                  <a:graphicData uri="http://schemas.microsoft.com/office/word/2010/wordprocessingShape">
                    <wps:wsp>
                      <wps:cNvSpPr/>
                      <wps:spPr>
                        <a:xfrm>
                          <a:off x="0" y="0"/>
                          <a:ext cx="914400" cy="692150"/>
                        </a:xfrm>
                        <a:prstGeom prst="rect">
                          <a:avLst/>
                        </a:prstGeom>
                        <a:ln>
                          <a:noFill/>
                        </a:ln>
                      </wps:spPr>
                      <wps:txbx>
                        <w:txbxContent>
                          <w:p w14:paraId="687877AA">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14:paraId="40AB26D7">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p w14:paraId="3E6FCD6E">
                            <w:pPr>
                              <w:spacing w:line="240" w:lineRule="exact"/>
                              <w:rPr>
                                <w:rFonts w:hint="eastAsia"/>
                                <w:sz w:val="18"/>
                                <w:szCs w:val="18"/>
                              </w:rPr>
                            </w:pPr>
                          </w:p>
                        </w:txbxContent>
                      </wps:txbx>
                      <wps:bodyPr wrap="square"/>
                    </wps:wsp>
                  </a:graphicData>
                </a:graphic>
              </wp:anchor>
            </w:drawing>
          </mc:Choice>
          <mc:Fallback>
            <w:pict>
              <v:rect id="000200" o:spid="_x0000_s1026" o:spt="1" style="position:absolute;left:0pt;margin-left:-10.5pt;margin-top:0.4pt;height:54.5pt;width:72pt;z-index:251965440;mso-width-relative:page;mso-height-relative:page;" filled="f" stroked="f" coordsize="21600,21600" o:gfxdata="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meadttgAAAAIAQAADwAAAAAAAAABACAAAAAiAAAA&#10;ZHJzL2Rvd25yZXYueG1sUEsBAhQAFAAAAAgAh07iQPh1esGVAQAAOAMAAA4AAAAAAAAAAQAgAAAA&#10;JwEAAGRycy9lMm9Eb2MueG1sUEsFBgAAAAAGAAYAWQEAAC4FAAAAAA==&#10;">
                <v:fill on="f" focussize="0,0"/>
                <v:stroke on="f"/>
                <v:imagedata o:title=""/>
                <o:lock v:ext="edit" aspectratio="f"/>
                <v:textbox>
                  <w:txbxContent>
                    <w:p w14:paraId="687877AA">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14:paraId="40AB26D7">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p w14:paraId="3E6FCD6E">
                      <w:pPr>
                        <w:spacing w:line="240" w:lineRule="exact"/>
                        <w:rPr>
                          <w:rFonts w:hint="eastAsia"/>
                          <w:sz w:val="18"/>
                          <w:szCs w:val="18"/>
                        </w:rPr>
                      </w:pPr>
                    </w:p>
                  </w:txbxContent>
                </v:textbox>
              </v:rect>
            </w:pict>
          </mc:Fallback>
        </mc:AlternateContent>
      </w:r>
      <w:r>
        <w:rPr>
          <w:rFonts w:hint="eastAsia" w:hAnsi="宋体" w:eastAsia="宋体" w:cs="宋体"/>
          <w:color w:val="auto"/>
          <w:sz w:val="24"/>
          <w:szCs w:val="24"/>
          <w:highlight w:val="none"/>
        </w:rPr>
        <w:t>工程量清单中分部分项工程出现缺项漏项，引起增加措施项目的，应按照第72.3款规定在提交的实施方案被批准后计算调整的措施项目费。</w:t>
      </w:r>
    </w:p>
    <w:p w14:paraId="4635A27F">
      <w:pPr>
        <w:pStyle w:val="22"/>
        <w:adjustRightInd w:val="0"/>
        <w:snapToGrid w:val="0"/>
        <w:spacing w:line="300" w:lineRule="auto"/>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298148CA">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169" w:name="_Toc46860877"/>
      <w:bookmarkStart w:id="170" w:name="_Toc469384056"/>
      <w:r>
        <w:rPr>
          <w:rFonts w:hint="eastAsia" w:hAnsi="宋体" w:eastAsia="宋体" w:cs="宋体"/>
          <w:b/>
          <w:bCs/>
          <w:color w:val="auto"/>
          <w:sz w:val="24"/>
          <w:szCs w:val="24"/>
          <w:highlight w:val="none"/>
        </w:rPr>
        <w:t>★72  工程变更事件</w:t>
      </w:r>
      <w:bookmarkEnd w:id="169"/>
      <w:bookmarkEnd w:id="170"/>
    </w:p>
    <w:p w14:paraId="5F8E720F">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66464"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1326" name="000201"/>
                <wp:cNvGraphicFramePr/>
                <a:graphic xmlns:a="http://schemas.openxmlformats.org/drawingml/2006/main">
                  <a:graphicData uri="http://schemas.microsoft.com/office/word/2010/wordprocessingShape">
                    <wps:wsp>
                      <wps:cNvSpPr/>
                      <wps:spPr>
                        <a:xfrm>
                          <a:off x="0" y="0"/>
                          <a:ext cx="1028700" cy="396240"/>
                        </a:xfrm>
                        <a:prstGeom prst="rect">
                          <a:avLst/>
                        </a:prstGeom>
                        <a:ln>
                          <a:noFill/>
                        </a:ln>
                      </wps:spPr>
                      <wps:txbx>
                        <w:txbxContent>
                          <w:p w14:paraId="2F63A433">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工工程变更的价</w:t>
                            </w:r>
                          </w:p>
                          <w:p w14:paraId="2FD93610">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p w14:paraId="42C47DE8">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变更的价</w:t>
                            </w:r>
                          </w:p>
                          <w:p w14:paraId="385281C8">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wps:wsp>
                  </a:graphicData>
                </a:graphic>
              </wp:anchor>
            </w:drawing>
          </mc:Choice>
          <mc:Fallback>
            <w:pict>
              <v:rect id="000201" o:spid="_x0000_s1026" o:spt="1" style="position:absolute;left:0pt;margin-left:-9pt;margin-top:14.6pt;height:31.2pt;width:81pt;z-index:251966464;mso-width-relative:page;mso-height-relative:page;" filled="f" stroked="f" coordsize="21600,21600" o:gfxdata="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ckPU29oAAAAJAQAADwAAAAAAAAABACAAAAAi&#10;AAAAZHJzL2Rvd25yZXYueG1sUEsBAhQAFAAAAAgAh07iQDzPMG6WAQAAOQMAAA4AAAAAAAAAAQAg&#10;AAAAKQEAAGRycy9lMm9Eb2MueG1sUEsFBgAAAAAGAAYAWQEAADEFAAAAAA==&#10;">
                <v:fill on="f" focussize="0,0"/>
                <v:stroke on="f"/>
                <v:imagedata o:title=""/>
                <o:lock v:ext="edit" aspectratio="f"/>
                <v:textbox>
                  <w:txbxContent>
                    <w:p w14:paraId="2F63A433">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工工程变更的价</w:t>
                      </w:r>
                    </w:p>
                    <w:p w14:paraId="2FD93610">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p w14:paraId="42C47DE8">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变更的价</w:t>
                      </w:r>
                    </w:p>
                    <w:p w14:paraId="385281C8">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rect>
            </w:pict>
          </mc:Fallback>
        </mc:AlternateContent>
      </w:r>
      <w:r>
        <w:rPr>
          <w:rFonts w:hint="eastAsia" w:hAnsi="宋体" w:eastAsia="宋体" w:cs="宋体"/>
          <w:b/>
          <w:bCs/>
          <w:color w:val="auto"/>
          <w:sz w:val="24"/>
          <w:szCs w:val="24"/>
          <w:highlight w:val="none"/>
        </w:rPr>
        <w:t xml:space="preserve">72.1      </w:t>
      </w:r>
    </w:p>
    <w:p w14:paraId="79A9A943">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合同履行期间，出现第56条工程变更事件的，合同双方当事人应调整合同价款。</w:t>
      </w:r>
    </w:p>
    <w:p w14:paraId="5E904081">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72.2   </w:t>
      </w:r>
      <w:r>
        <w:rPr>
          <w:rFonts w:hint="eastAsia" w:hAnsi="宋体" w:eastAsia="宋体" w:cs="宋体"/>
          <w:b/>
          <w:bCs/>
          <w:color w:val="auto"/>
          <w:sz w:val="24"/>
          <w:szCs w:val="24"/>
          <w:highlight w:val="none"/>
          <w:u w:val="dotted"/>
        </w:rPr>
        <w:t xml:space="preserve">                                                                               </w:t>
      </w:r>
      <w:r>
        <w:rPr>
          <w:rFonts w:hint="eastAsia" w:hAnsi="宋体" w:eastAsia="宋体" w:cs="宋体"/>
          <w:b/>
          <w:bCs/>
          <w:color w:val="auto"/>
          <w:sz w:val="24"/>
          <w:szCs w:val="24"/>
          <w:highlight w:val="none"/>
        </w:rPr>
        <w:t xml:space="preserve">    </w:t>
      </w:r>
    </w:p>
    <w:p w14:paraId="39922780">
      <w:pPr>
        <w:pStyle w:val="22"/>
        <w:adjustRightInd w:val="0"/>
        <w:snapToGrid w:val="0"/>
        <w:spacing w:line="300" w:lineRule="auto"/>
        <w:ind w:left="1620"/>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67488"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1327" name="000202"/>
                <wp:cNvGraphicFramePr/>
                <a:graphic xmlns:a="http://schemas.openxmlformats.org/drawingml/2006/main">
                  <a:graphicData uri="http://schemas.microsoft.com/office/word/2010/wordprocessingShape">
                    <wps:wsp>
                      <wps:cNvSpPr/>
                      <wps:spPr>
                        <a:xfrm>
                          <a:off x="0" y="0"/>
                          <a:ext cx="914400" cy="593090"/>
                        </a:xfrm>
                        <a:prstGeom prst="rect">
                          <a:avLst/>
                        </a:prstGeom>
                        <a:ln>
                          <a:noFill/>
                        </a:ln>
                      </wps:spPr>
                      <wps:txbx>
                        <w:txbxContent>
                          <w:p w14:paraId="5C8BC30D">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14:paraId="6025FDEF">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分部分项工程费的方法</w:t>
                            </w:r>
                          </w:p>
                        </w:txbxContent>
                      </wps:txbx>
                      <wps:bodyPr wrap="square"/>
                    </wps:wsp>
                  </a:graphicData>
                </a:graphic>
              </wp:anchor>
            </w:drawing>
          </mc:Choice>
          <mc:Fallback>
            <w:pict>
              <v:rect id="000202" o:spid="_x0000_s1026" o:spt="1" style="position:absolute;left:0pt;margin-left:-9pt;margin-top:0.5pt;height:46.7pt;width:72pt;z-index:251967488;mso-width-relative:page;mso-height-relative:page;" filled="f" stroked="f" coordsize="21600,21600" o:gfxdata="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DJaDnPYAAAACAEAAA8AAAAAAAAAAQAgAAAAIgAA&#10;AGRycy9kb3ducmV2LnhtbFBLAQIUABQAAAAIAIdO4kDPSfaQlgEAADgDAAAOAAAAAAAAAAEAIAAA&#10;ACcBAABkcnMvZTJvRG9jLnhtbFBLBQYAAAAABgAGAFkBAAAvBQAAAAA=&#10;">
                <v:fill on="f" focussize="0,0"/>
                <v:stroke on="f"/>
                <v:imagedata o:title=""/>
                <o:lock v:ext="edit" aspectratio="f"/>
                <v:textbox>
                  <w:txbxContent>
                    <w:p w14:paraId="5C8BC30D">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14:paraId="6025FDEF">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分部分项工程费的方法</w:t>
                      </w:r>
                    </w:p>
                  </w:txbxContent>
                </v:textbox>
              </v:rect>
            </w:pict>
          </mc:Fallback>
        </mc:AlternateContent>
      </w:r>
      <w:r>
        <w:rPr>
          <w:rFonts w:hint="eastAsia" w:hAnsi="宋体" w:eastAsia="宋体" w:cs="宋体"/>
          <w:color w:val="auto"/>
          <w:sz w:val="24"/>
          <w:szCs w:val="24"/>
          <w:highlight w:val="none"/>
        </w:rPr>
        <w:t>工程变更引起分部分项工程项目发生变化，属于第73.2款规定情况的，按照其规定调整；否则按照下列规定调整分部分项工程费：</w:t>
      </w:r>
    </w:p>
    <w:p w14:paraId="214A2CE2">
      <w:pPr>
        <w:pStyle w:val="22"/>
        <w:tabs>
          <w:tab w:val="left" w:pos="1380"/>
          <w:tab w:val="left" w:pos="2160"/>
        </w:tabs>
        <w:adjustRightInd w:val="0"/>
        <w:snapToGrid w:val="0"/>
        <w:spacing w:line="300" w:lineRule="auto"/>
        <w:ind w:left="1590" w:leftChars="757"/>
        <w:rPr>
          <w:rFonts w:hint="eastAsia" w:hAnsi="宋体" w:eastAsia="宋体" w:cs="宋体"/>
          <w:color w:val="auto"/>
          <w:sz w:val="24"/>
          <w:szCs w:val="24"/>
          <w:highlight w:val="none"/>
        </w:rPr>
      </w:pPr>
      <w:r>
        <w:rPr>
          <w:rFonts w:hint="eastAsia" w:hAnsi="宋体" w:eastAsia="宋体" w:cs="宋体"/>
          <w:color w:val="auto"/>
          <w:sz w:val="24"/>
          <w:szCs w:val="24"/>
          <w:highlight w:val="none"/>
        </w:rPr>
        <w:t>(1)合同中有适用于变更工程项目的，按照该项目的单价或合价调整;</w:t>
      </w:r>
    </w:p>
    <w:p w14:paraId="521D6523">
      <w:pPr>
        <w:pStyle w:val="22"/>
        <w:tabs>
          <w:tab w:val="left" w:pos="1620"/>
          <w:tab w:val="left" w:pos="2160"/>
        </w:tabs>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(2)合同中没有适用、只有类似于变更工程项目的，可在合理范围内参照类似项目的单价或合价调整;</w:t>
      </w:r>
    </w:p>
    <w:p w14:paraId="70FAEBF7">
      <w:pPr>
        <w:pStyle w:val="22"/>
        <w:tabs>
          <w:tab w:val="left" w:pos="1380"/>
          <w:tab w:val="left" w:pos="2160"/>
        </w:tabs>
        <w:adjustRightInd w:val="0"/>
        <w:snapToGrid w:val="0"/>
        <w:spacing w:line="300" w:lineRule="auto"/>
        <w:ind w:left="1619"/>
        <w:rPr>
          <w:rFonts w:hint="eastAsia" w:hAnsi="宋体" w:eastAsia="宋体" w:cs="宋体"/>
          <w:color w:val="auto"/>
          <w:sz w:val="24"/>
          <w:szCs w:val="24"/>
          <w:highlight w:val="none"/>
        </w:rPr>
      </w:pPr>
      <w:r>
        <w:rPr>
          <w:rFonts w:hint="eastAsia" w:hAnsi="宋体" w:eastAsia="宋体" w:cs="宋体"/>
          <w:color w:val="auto"/>
          <w:sz w:val="24"/>
          <w:szCs w:val="24"/>
          <w:highlight w:val="none"/>
        </w:rPr>
        <w:t>(3)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p>
    <w:p w14:paraId="5C86C469">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其中，招标工程：承包人报价浮动率L=（1—中标价格/招标控制价）×100%；</w:t>
      </w:r>
    </w:p>
    <w:p w14:paraId="3B9FF78E">
      <w:pPr>
        <w:pStyle w:val="22"/>
        <w:adjustRightInd w:val="0"/>
        <w:snapToGrid w:val="0"/>
        <w:spacing w:line="300" w:lineRule="auto"/>
        <w:ind w:left="1676" w:leftChars="798"/>
        <w:rPr>
          <w:rFonts w:hint="eastAsia" w:hAnsi="宋体" w:eastAsia="宋体" w:cs="宋体"/>
          <w:color w:val="auto"/>
          <w:sz w:val="24"/>
          <w:szCs w:val="24"/>
          <w:highlight w:val="none"/>
        </w:rPr>
      </w:pPr>
      <w:r>
        <w:rPr>
          <w:rFonts w:hint="eastAsia" w:hAnsi="宋体" w:eastAsia="宋体" w:cs="宋体"/>
          <w:color w:val="auto"/>
          <w:sz w:val="24"/>
          <w:szCs w:val="24"/>
          <w:highlight w:val="none"/>
        </w:rPr>
        <w:t>非招标工程：承包人报价浮动率L=（1—报价值/施工图预算）×100%。</w:t>
      </w:r>
    </w:p>
    <w:p w14:paraId="43863D08">
      <w:pPr>
        <w:pStyle w:val="22"/>
        <w:adjustRightInd w:val="0"/>
        <w:snapToGrid w:val="0"/>
        <w:spacing w:line="300" w:lineRule="auto"/>
        <w:ind w:left="1619" w:leftChars="771" w:firstLine="1"/>
        <w:rPr>
          <w:rFonts w:hint="eastAsia" w:hAnsi="宋体" w:eastAsia="宋体" w:cs="宋体"/>
          <w:color w:val="auto"/>
          <w:sz w:val="24"/>
          <w:szCs w:val="24"/>
          <w:highlight w:val="none"/>
        </w:rPr>
      </w:pPr>
      <w:r>
        <w:rPr>
          <w:rFonts w:hint="eastAsia" w:hAnsi="宋体" w:eastAsia="宋体" w:cs="宋体"/>
          <w:color w:val="auto"/>
          <w:sz w:val="24"/>
          <w:szCs w:val="24"/>
          <w:highlight w:val="none"/>
        </w:rPr>
        <w:t>式中：中标价格、招标控制价或报价值、施工图预算，均不含绿色施工安全防护费。</w:t>
      </w:r>
    </w:p>
    <w:p w14:paraId="77A18D2A">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(4) 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14:paraId="1A454EAF">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72.3  </w:t>
      </w:r>
      <w:r>
        <w:rPr>
          <w:rFonts w:hint="eastAsia" w:hAnsi="宋体" w:eastAsia="宋体" w:cs="宋体"/>
          <w:b/>
          <w:bCs/>
          <w:color w:val="auto"/>
          <w:sz w:val="24"/>
          <w:szCs w:val="24"/>
          <w:highlight w:val="none"/>
          <w:u w:val="dotted"/>
        </w:rPr>
        <w:t xml:space="preserve">                                                                                                       </w:t>
      </w:r>
    </w:p>
    <w:p w14:paraId="2781FB6D">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68512"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1328" name="000203"/>
                <wp:cNvGraphicFramePr/>
                <a:graphic xmlns:a="http://schemas.openxmlformats.org/drawingml/2006/main">
                  <a:graphicData uri="http://schemas.microsoft.com/office/word/2010/wordprocessingShape">
                    <wps:wsp>
                      <wps:cNvSpPr/>
                      <wps:spPr>
                        <a:xfrm>
                          <a:off x="0" y="0"/>
                          <a:ext cx="914400" cy="396239"/>
                        </a:xfrm>
                        <a:prstGeom prst="rect">
                          <a:avLst/>
                        </a:prstGeom>
                        <a:ln>
                          <a:noFill/>
                        </a:ln>
                      </wps:spPr>
                      <wps:txbx>
                        <w:txbxContent>
                          <w:p w14:paraId="6C3CFA80">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14:paraId="2B7E6123">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txbxContent>
                      </wps:txbx>
                      <wps:bodyPr wrap="square"/>
                    </wps:wsp>
                  </a:graphicData>
                </a:graphic>
              </wp:anchor>
            </w:drawing>
          </mc:Choice>
          <mc:Fallback>
            <w:pict>
              <v:rect id="000203" o:spid="_x0000_s1026" o:spt="1" style="position:absolute;left:0pt;margin-left:-9pt;margin-top:3.6pt;height:31.2pt;width:72pt;z-index:251968512;mso-width-relative:page;mso-height-relative:page;" filled="f" stroked="f" coordsize="21600,21600" o:gfxdata="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6wSsuNgAAAAIAQAADwAAAAAAAAABACAAAAAiAAAA&#10;ZHJzL2Rvd25yZXYueG1sUEsBAhQAFAAAAAgAh07iQOXb9lGVAQAAOAMAAA4AAAAAAAAAAQAgAAAA&#10;JwEAAGRycy9lMm9Eb2MueG1sUEsFBgAAAAAGAAYAWQEAAC4FAAAAAA==&#10;">
                <v:fill on="f" focussize="0,0"/>
                <v:stroke on="f"/>
                <v:imagedata o:title=""/>
                <o:lock v:ext="edit" aspectratio="f"/>
                <v:textbox>
                  <w:txbxContent>
                    <w:p w14:paraId="6C3CFA80">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14:paraId="2B7E6123">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txbxContent>
                </v:textbox>
              </v:rect>
            </w:pict>
          </mc:Fallback>
        </mc:AlternateContent>
      </w:r>
      <w:r>
        <w:rPr>
          <w:rFonts w:hint="eastAsia" w:hAnsi="宋体" w:eastAsia="宋体" w:cs="宋体"/>
          <w:color w:val="auto"/>
          <w:sz w:val="24"/>
          <w:szCs w:val="24"/>
          <w:highlight w:val="none"/>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14:paraId="596281F5">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(1) 绿色施工安全防护费，按照实际发生变化的措施项目调整，不得浮动。</w:t>
      </w:r>
    </w:p>
    <w:p w14:paraId="7B40B47E">
      <w:pPr>
        <w:pStyle w:val="22"/>
        <w:adjustRightInd w:val="0"/>
        <w:snapToGrid w:val="0"/>
        <w:spacing w:line="300" w:lineRule="auto"/>
        <w:ind w:left="1630" w:leftChars="776"/>
        <w:rPr>
          <w:rFonts w:hint="eastAsia" w:hAnsi="宋体" w:eastAsia="宋体" w:cs="宋体"/>
          <w:color w:val="auto"/>
          <w:sz w:val="24"/>
          <w:szCs w:val="24"/>
          <w:highlight w:val="none"/>
        </w:rPr>
      </w:pPr>
      <w:r>
        <w:rPr>
          <w:rFonts w:hint="eastAsia" w:hAnsi="宋体" w:eastAsia="宋体" w:cs="宋体"/>
          <w:color w:val="auto"/>
          <w:sz w:val="24"/>
          <w:szCs w:val="24"/>
          <w:highlight w:val="none"/>
        </w:rPr>
        <w:t>(2)凡可计算工程量的措施项目费，按照实际发生变化的措施项目的工程量乘以第72.2款规定的单价或合价调整。</w:t>
      </w:r>
    </w:p>
    <w:p w14:paraId="51DBD198">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(3)凡按系数计算的措施项目费，除本款第(1)点情形外，按照实际发生变化的措施项目调整，但应考虑承包人报价浮动因素，即调整金额按照实际调整金额乘以第72.2款规定的承包人报价浮动率计算。</w:t>
      </w:r>
    </w:p>
    <w:p w14:paraId="495B9B2C">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如果不利一方当事人未按本款规定事先将拟实施的方案提交给另一方当事人，则认为工程变更不引起措施项目费的调整或不利一方当事人放弃调整措施项目费的权利。</w:t>
      </w:r>
    </w:p>
    <w:p w14:paraId="12063679">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72.4  </w:t>
      </w:r>
      <w:r>
        <w:rPr>
          <w:rFonts w:hint="eastAsia" w:hAnsi="宋体" w:eastAsia="宋体" w:cs="宋体"/>
          <w:b/>
          <w:bCs/>
          <w:color w:val="auto"/>
          <w:sz w:val="24"/>
          <w:szCs w:val="24"/>
          <w:highlight w:val="none"/>
          <w:u w:val="dotted"/>
        </w:rPr>
        <w:t xml:space="preserve">                                                                                                       </w:t>
      </w:r>
    </w:p>
    <w:p w14:paraId="4C6D4F4B">
      <w:pPr>
        <w:spacing w:line="300" w:lineRule="auto"/>
        <w:ind w:left="1676" w:leftChars="798"/>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969536" behindDoc="0" locked="0" layoutInCell="1" allowOverlap="1">
                <wp:simplePos x="0" y="0"/>
                <wp:positionH relativeFrom="column">
                  <wp:posOffset>-114300</wp:posOffset>
                </wp:positionH>
                <wp:positionV relativeFrom="paragraph">
                  <wp:posOffset>12700</wp:posOffset>
                </wp:positionV>
                <wp:extent cx="1028700" cy="766445"/>
                <wp:effectExtent l="0" t="0" r="0" b="0"/>
                <wp:wrapNone/>
                <wp:docPr id="1329" name="000204"/>
                <wp:cNvGraphicFramePr/>
                <a:graphic xmlns:a="http://schemas.openxmlformats.org/drawingml/2006/main">
                  <a:graphicData uri="http://schemas.microsoft.com/office/word/2010/wordprocessingShape">
                    <wps:wsp>
                      <wps:cNvSpPr/>
                      <wps:spPr>
                        <a:xfrm>
                          <a:off x="0" y="0"/>
                          <a:ext cx="1028700" cy="766445"/>
                        </a:xfrm>
                        <a:prstGeom prst="rect">
                          <a:avLst/>
                        </a:prstGeom>
                        <a:ln>
                          <a:noFill/>
                        </a:ln>
                      </wps:spPr>
                      <wps:txbx>
                        <w:txbxContent>
                          <w:p w14:paraId="753BAE1C">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14:paraId="5CD6DBDC">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p w14:paraId="4332A426">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整承包人报</w:t>
                            </w:r>
                          </w:p>
                          <w:p w14:paraId="7925A1EA">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wps:txbx>
                      <wps:bodyPr wrap="square"/>
                    </wps:wsp>
                  </a:graphicData>
                </a:graphic>
              </wp:anchor>
            </w:drawing>
          </mc:Choice>
          <mc:Fallback>
            <w:pict>
              <v:rect id="000204" o:spid="_x0000_s1026" o:spt="1" style="position:absolute;left:0pt;margin-left:-9pt;margin-top:1pt;height:60.35pt;width:81pt;z-index:251969536;mso-width-relative:page;mso-height-relative:page;" filled="f" stroked="f" coordsize="21600,21600" o:gfxdata="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fYD1T2QAAAAkBAAAPAAAAAAAAAAEAIAAAACIA&#10;AABkcnMvZG93bnJldi54bWxQSwECFAAUAAAACACHTuJAnxONEZYBAAA5AwAADgAAAAAAAAABACAA&#10;AAAoAQAAZHJzL2Uyb0RvYy54bWxQSwUGAAAAAAYABgBZAQAAMAUAAAAA&#10;">
                <v:fill on="f" focussize="0,0"/>
                <v:stroke on="f"/>
                <v:imagedata o:title=""/>
                <o:lock v:ext="edit" aspectratio="f"/>
                <v:textbox>
                  <w:txbxContent>
                    <w:p w14:paraId="753BAE1C">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14:paraId="5CD6DBDC">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p w14:paraId="4332A426">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整承包人报</w:t>
                      </w:r>
                    </w:p>
                    <w:p w14:paraId="7925A1EA">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v:textbox>
              </v:rect>
            </w:pict>
          </mc:Fallback>
        </mc:AlternateContent>
      </w:r>
      <w:r>
        <w:rPr>
          <w:rFonts w:hint="eastAsia" w:ascii="宋体" w:hAnsi="宋体" w:eastAsia="宋体" w:cs="宋体"/>
          <w:color w:val="auto"/>
          <w:sz w:val="24"/>
          <w:highlight w:val="none"/>
        </w:rPr>
        <w:t>工程量发生变化的分部分项工程项目，如承包人投标价分部分项清单项目填报的综合单价与发包人招标控制价或预算价相应清单项目的综合单价偏差超过一定幅度时，合同双方当事人应调整合同价款。调整工程价款时，合同双方当事人不利一方应事先向另一方提出，经合同双方当事人确认后执行。除专用条款另有约定外，应按照下列规定调整分部分项工程费：</w:t>
      </w:r>
    </w:p>
    <w:p w14:paraId="6494C000">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(1)当P</w:t>
      </w:r>
      <w:r>
        <w:rPr>
          <w:rFonts w:hint="eastAsia" w:hAnsi="宋体" w:eastAsia="宋体" w:cs="宋体"/>
          <w:color w:val="auto"/>
          <w:sz w:val="24"/>
          <w:szCs w:val="24"/>
          <w:highlight w:val="none"/>
          <w:vertAlign w:val="subscript"/>
        </w:rPr>
        <w:t xml:space="preserve">0 </w:t>
      </w:r>
      <w:r>
        <w:rPr>
          <w:rFonts w:hint="eastAsia" w:hAnsi="宋体" w:eastAsia="宋体" w:cs="宋体"/>
          <w:color w:val="auto"/>
          <w:sz w:val="24"/>
          <w:szCs w:val="24"/>
          <w:highlight w:val="none"/>
        </w:rPr>
        <w:t>&lt;P</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 xml:space="preserve"> ×(1-L)×(1-15%)时，该类项目的综合单价按照P</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 xml:space="preserve"> ×(1-L)×(1-15%)调整。 </w:t>
      </w:r>
    </w:p>
    <w:p w14:paraId="00D2A648">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(2)当P</w:t>
      </w:r>
      <w:r>
        <w:rPr>
          <w:rFonts w:hint="eastAsia" w:hAnsi="宋体" w:eastAsia="宋体" w:cs="宋体"/>
          <w:color w:val="auto"/>
          <w:sz w:val="24"/>
          <w:szCs w:val="24"/>
          <w:highlight w:val="none"/>
          <w:vertAlign w:val="subscript"/>
        </w:rPr>
        <w:t xml:space="preserve">0 </w:t>
      </w:r>
      <w:r>
        <w:rPr>
          <w:rFonts w:hint="eastAsia" w:hAnsi="宋体" w:eastAsia="宋体" w:cs="宋体"/>
          <w:color w:val="auto"/>
          <w:sz w:val="24"/>
          <w:szCs w:val="24"/>
          <w:highlight w:val="none"/>
        </w:rPr>
        <w:t>&gt;P</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 xml:space="preserve"> × (1+15%)时，该类项目的综合单价按照P</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 xml:space="preserve"> ×（1+15%)调整。 </w:t>
      </w:r>
    </w:p>
    <w:p w14:paraId="15DFB85C">
      <w:pPr>
        <w:pStyle w:val="22"/>
        <w:adjustRightInd w:val="0"/>
        <w:snapToGrid w:val="0"/>
        <w:spacing w:line="300" w:lineRule="auto"/>
        <w:ind w:firstLine="1620" w:firstLineChars="675"/>
        <w:rPr>
          <w:rFonts w:hint="eastAsia" w:hAnsi="宋体" w:eastAsia="宋体" w:cs="宋体"/>
          <w:color w:val="auto"/>
          <w:sz w:val="24"/>
          <w:szCs w:val="24"/>
          <w:highlight w:val="none"/>
        </w:rPr>
      </w:pPr>
      <w:r>
        <w:rPr>
          <w:rFonts w:hint="eastAsia" w:hAnsi="宋体" w:eastAsia="宋体" w:cs="宋体"/>
          <w:color w:val="auto"/>
          <w:sz w:val="24"/>
          <w:szCs w:val="24"/>
          <w:highlight w:val="none"/>
        </w:rPr>
        <w:t>式中：P</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——承包人在工程量清单中填报的综合单价。</w:t>
      </w:r>
    </w:p>
    <w:p w14:paraId="303A5CB6">
      <w:pPr>
        <w:pStyle w:val="22"/>
        <w:adjustRightInd w:val="0"/>
        <w:snapToGrid w:val="0"/>
        <w:spacing w:line="300" w:lineRule="auto"/>
        <w:ind w:left="3049" w:leftChars="1109" w:hanging="720" w:hangingChars="300"/>
        <w:rPr>
          <w:rFonts w:hint="eastAsia" w:hAnsi="宋体" w:eastAsia="宋体" w:cs="宋体"/>
          <w:color w:val="auto"/>
          <w:sz w:val="24"/>
          <w:szCs w:val="24"/>
          <w:highlight w:val="none"/>
        </w:rPr>
      </w:pPr>
      <w:r>
        <w:rPr>
          <w:rFonts w:hint="eastAsia" w:hAnsi="宋体" w:eastAsia="宋体" w:cs="宋体"/>
          <w:color w:val="auto"/>
          <w:sz w:val="24"/>
          <w:szCs w:val="24"/>
          <w:highlight w:val="none"/>
        </w:rPr>
        <w:t>P</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——发包人招标控制价或施工预算相应清单项目的综 合单价。</w:t>
      </w:r>
    </w:p>
    <w:p w14:paraId="751276D6">
      <w:pPr>
        <w:pStyle w:val="22"/>
        <w:adjustRightInd w:val="0"/>
        <w:snapToGrid w:val="0"/>
        <w:spacing w:line="300" w:lineRule="auto"/>
        <w:ind w:firstLine="2340" w:firstLineChars="975"/>
        <w:rPr>
          <w:rFonts w:hint="eastAsia" w:hAnsi="宋体" w:eastAsia="宋体" w:cs="宋体"/>
          <w:color w:val="auto"/>
          <w:sz w:val="24"/>
          <w:szCs w:val="24"/>
          <w:highlight w:val="none"/>
        </w:rPr>
      </w:pPr>
      <w:r>
        <w:rPr>
          <w:rFonts w:hint="eastAsia" w:hAnsi="宋体" w:eastAsia="宋体" w:cs="宋体"/>
          <w:color w:val="auto"/>
          <w:sz w:val="24"/>
          <w:szCs w:val="24"/>
          <w:highlight w:val="none"/>
        </w:rPr>
        <w:t>L——第72.2款规定的承包人报价浮动率。</w:t>
      </w:r>
    </w:p>
    <w:p w14:paraId="223B8871">
      <w:pPr>
        <w:pStyle w:val="22"/>
        <w:adjustRightInd w:val="0"/>
        <w:snapToGrid w:val="0"/>
        <w:spacing w:line="300" w:lineRule="auto"/>
        <w:ind w:firstLine="2349" w:firstLineChars="975"/>
        <w:rPr>
          <w:rFonts w:hint="eastAsia" w:hAnsi="宋体" w:eastAsia="宋体" w:cs="宋体"/>
          <w:b/>
          <w:bCs/>
          <w:color w:val="auto"/>
          <w:sz w:val="24"/>
          <w:szCs w:val="24"/>
          <w:highlight w:val="none"/>
        </w:rPr>
      </w:pPr>
    </w:p>
    <w:p w14:paraId="47BF4533">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72.5  </w:t>
      </w:r>
      <w:r>
        <w:rPr>
          <w:rFonts w:hint="eastAsia" w:hAnsi="宋体" w:eastAsia="宋体" w:cs="宋体"/>
          <w:b/>
          <w:bCs/>
          <w:color w:val="auto"/>
          <w:sz w:val="24"/>
          <w:szCs w:val="24"/>
          <w:highlight w:val="none"/>
          <w:u w:val="dotted"/>
        </w:rPr>
        <w:t xml:space="preserve">                                                                                                       </w:t>
      </w:r>
    </w:p>
    <w:p w14:paraId="49B371B3">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70560"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1330" name="000205"/>
                <wp:cNvGraphicFramePr/>
                <a:graphic xmlns:a="http://schemas.openxmlformats.org/drawingml/2006/main">
                  <a:graphicData uri="http://schemas.microsoft.com/office/word/2010/wordprocessingShape">
                    <wps:wsp>
                      <wps:cNvSpPr/>
                      <wps:spPr>
                        <a:xfrm>
                          <a:off x="0" y="0"/>
                          <a:ext cx="914400" cy="396239"/>
                        </a:xfrm>
                        <a:prstGeom prst="rect">
                          <a:avLst/>
                        </a:prstGeom>
                        <a:ln>
                          <a:noFill/>
                        </a:ln>
                      </wps:spPr>
                      <wps:txbx>
                        <w:txbxContent>
                          <w:p w14:paraId="06D17062">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p w14:paraId="0347B919">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减工作或工程的补偿</w:t>
                            </w:r>
                          </w:p>
                        </w:txbxContent>
                      </wps:txbx>
                      <wps:bodyPr wrap="square"/>
                    </wps:wsp>
                  </a:graphicData>
                </a:graphic>
              </wp:anchor>
            </w:drawing>
          </mc:Choice>
          <mc:Fallback>
            <w:pict>
              <v:rect id="000205" o:spid="_x0000_s1026" o:spt="1" style="position:absolute;left:0pt;margin-left:-9pt;margin-top:3.6pt;height:31.2pt;width:72pt;z-index:251970560;mso-width-relative:page;mso-height-relative:page;" filled="f" stroked="f" coordsize="21600,21600" o:gfxdata="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6wSsuNgAAAAIAQAADwAAAAAAAAABACAAAAAiAAAA&#10;ZHJzL2Rvd25yZXYueG1sUEsBAhQAFAAAAAgAh07iQFXuc2qVAQAAOAMAAA4AAAAAAAAAAQAgAAAA&#10;JwEAAGRycy9lMm9Eb2MueG1sUEsFBgAAAAAGAAYAWQEAAC4FAAAAAA==&#10;">
                <v:fill on="f" focussize="0,0"/>
                <v:stroke on="f"/>
                <v:imagedata o:title=""/>
                <o:lock v:ext="edit" aspectratio="f"/>
                <v:textbox>
                  <w:txbxContent>
                    <w:p w14:paraId="06D17062">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p w14:paraId="0347B919">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减工作或工程的补偿</w:t>
                      </w:r>
                    </w:p>
                  </w:txbxContent>
                </v:textbox>
              </v:rect>
            </w:pict>
          </mc:Fallback>
        </mc:AlternateContent>
      </w:r>
      <w:r>
        <w:rPr>
          <w:rFonts w:hint="eastAsia" w:hAnsi="宋体" w:eastAsia="宋体" w:cs="宋体"/>
          <w:color w:val="auto"/>
          <w:sz w:val="24"/>
          <w:szCs w:val="24"/>
          <w:highlight w:val="none"/>
        </w:rPr>
        <w:t>如果因为非承包人原因删减了合同中的某项原定工作或工程，致使承包人发生的费用或(和)得到的收益不能被包括在其他已支付或应支付的项目中，也未被包含在任何替代的工作或工程中，则承包人有权按照本条规定提出并得到补偿。</w:t>
      </w:r>
    </w:p>
    <w:p w14:paraId="66ADAAEF">
      <w:pPr>
        <w:pStyle w:val="22"/>
        <w:adjustRightInd w:val="0"/>
        <w:snapToGrid w:val="0"/>
        <w:spacing w:line="300" w:lineRule="auto"/>
        <w:ind w:right="-238"/>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51F987CD">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171" w:name="_Toc469384057"/>
      <w:bookmarkStart w:id="172" w:name="_Toc46860878"/>
      <w:r>
        <w:rPr>
          <w:rFonts w:hint="eastAsia" w:hAnsi="宋体" w:eastAsia="宋体" w:cs="宋体"/>
          <w:b/>
          <w:bCs/>
          <w:color w:val="auto"/>
          <w:sz w:val="24"/>
          <w:szCs w:val="24"/>
          <w:highlight w:val="none"/>
        </w:rPr>
        <w:t>★73  工程量偏差事件</w:t>
      </w:r>
      <w:bookmarkEnd w:id="171"/>
      <w:bookmarkEnd w:id="172"/>
    </w:p>
    <w:p w14:paraId="1AA8FBBB">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73.1</w:t>
      </w:r>
    </w:p>
    <w:p w14:paraId="3150ADAC">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71584"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1331" name="000206"/>
                <wp:cNvGraphicFramePr/>
                <a:graphic xmlns:a="http://schemas.openxmlformats.org/drawingml/2006/main">
                  <a:graphicData uri="http://schemas.microsoft.com/office/word/2010/wordprocessingShape">
                    <wps:wsp>
                      <wps:cNvSpPr/>
                      <wps:spPr>
                        <a:xfrm>
                          <a:off x="0" y="0"/>
                          <a:ext cx="1028700" cy="760095"/>
                        </a:xfrm>
                        <a:prstGeom prst="rect">
                          <a:avLst/>
                        </a:prstGeom>
                        <a:ln>
                          <a:noFill/>
                        </a:ln>
                      </wps:spPr>
                      <wps:txbx>
                        <w:txbxContent>
                          <w:p w14:paraId="0AB620D0">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14:paraId="0FF1BA41">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p w14:paraId="3FD781B7">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程量偏差价</w:t>
                            </w:r>
                          </w:p>
                          <w:p w14:paraId="511D6B33">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wps:wsp>
                  </a:graphicData>
                </a:graphic>
              </wp:anchor>
            </w:drawing>
          </mc:Choice>
          <mc:Fallback>
            <w:pict>
              <v:rect id="000206" o:spid="_x0000_s1026" o:spt="1" style="position:absolute;left:0pt;margin-left:-9pt;margin-top:0.15pt;height:59.85pt;width:81pt;z-index:251971584;mso-width-relative:page;mso-height-relative:page;" filled="f" stroked="f" coordsize="21600,21600" o:gfxdata="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oEV0wdcAAAAIAQAADwAAAAAAAAABACAAAAAiAAAA&#10;ZHJzL2Rvd25yZXYueG1sUEsBAhQAFAAAAAgAh07iQG2ocqOWAQAAOQMAAA4AAAAAAAAAAQAgAAAA&#10;JgEAAGRycy9lMm9Eb2MueG1sUEsFBgAAAAAGAAYAWQEAAC4FAAAAAA==&#10;">
                <v:fill on="f" focussize="0,0"/>
                <v:stroke on="f"/>
                <v:imagedata o:title=""/>
                <o:lock v:ext="edit" aspectratio="f"/>
                <v:textbox>
                  <w:txbxContent>
                    <w:p w14:paraId="0AB620D0">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14:paraId="0FF1BA41">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p w14:paraId="3FD781B7">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程量偏差价</w:t>
                      </w:r>
                    </w:p>
                    <w:p w14:paraId="511D6B33">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rect>
            </w:pict>
          </mc:Fallback>
        </mc:AlternateContent>
      </w:r>
      <w:r>
        <w:rPr>
          <w:rFonts w:hint="eastAsia" w:hAnsi="宋体" w:eastAsia="宋体" w:cs="宋体"/>
          <w:color w:val="auto"/>
          <w:sz w:val="24"/>
          <w:szCs w:val="24"/>
          <w:highlight w:val="none"/>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14:paraId="6C03DF5C">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合同履行期间，出现工程量偏差，且符合第73.2款、第73.3款规定事件的，合同双方当事人应调整合同价款。调整合同价款时，出现第72.4款情形的，应先按照其规定调整，再按照本条规定调整。</w:t>
      </w:r>
    </w:p>
    <w:p w14:paraId="1ABD0C6F">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73.2  </w:t>
      </w:r>
      <w:r>
        <w:rPr>
          <w:rFonts w:hint="eastAsia" w:hAnsi="宋体" w:eastAsia="宋体" w:cs="宋体"/>
          <w:b/>
          <w:bCs/>
          <w:color w:val="auto"/>
          <w:sz w:val="24"/>
          <w:szCs w:val="24"/>
          <w:highlight w:val="none"/>
          <w:u w:val="dotted"/>
        </w:rPr>
        <w:t xml:space="preserve">                                                                                                        </w:t>
      </w:r>
    </w:p>
    <w:p w14:paraId="0FE325BE">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72608" behindDoc="0" locked="0" layoutInCell="1" allowOverlap="1">
                <wp:simplePos x="0" y="0"/>
                <wp:positionH relativeFrom="column">
                  <wp:posOffset>-114300</wp:posOffset>
                </wp:positionH>
                <wp:positionV relativeFrom="paragraph">
                  <wp:posOffset>26035</wp:posOffset>
                </wp:positionV>
                <wp:extent cx="914400" cy="444500"/>
                <wp:effectExtent l="0" t="0" r="0" b="0"/>
                <wp:wrapNone/>
                <wp:docPr id="1332" name="000207"/>
                <wp:cNvGraphicFramePr/>
                <a:graphic xmlns:a="http://schemas.openxmlformats.org/drawingml/2006/main">
                  <a:graphicData uri="http://schemas.microsoft.com/office/word/2010/wordprocessingShape">
                    <wps:wsp>
                      <wps:cNvSpPr/>
                      <wps:spPr>
                        <a:xfrm>
                          <a:off x="0" y="0"/>
                          <a:ext cx="914400" cy="444500"/>
                        </a:xfrm>
                        <a:prstGeom prst="rect">
                          <a:avLst/>
                        </a:prstGeom>
                        <a:ln>
                          <a:noFill/>
                        </a:ln>
                      </wps:spPr>
                      <wps:txbx>
                        <w:txbxContent>
                          <w:p w14:paraId="5FB47E44">
                            <w:pPr>
                              <w:pStyle w:val="16"/>
                              <w:spacing w:line="200" w:lineRule="exact"/>
                              <w:rPr>
                                <w:rFonts w:hint="eastAsia" w:ascii="宋体"/>
                                <w:sz w:val="18"/>
                                <w:szCs w:val="18"/>
                              </w:rPr>
                            </w:pPr>
                            <w:r>
                              <w:rPr>
                                <w:rFonts w:hint="eastAsia" w:ascii="楷体_GB2312" w:hAnsi="宋体" w:eastAsia="楷体_GB2312" w:cs="楷体_GB2312"/>
                                <w:b/>
                                <w:bCs/>
                                <w:color w:val="000000"/>
                                <w:sz w:val="18"/>
                                <w:szCs w:val="18"/>
                              </w:rPr>
                              <w:t>调整分部分项工程费的方法</w:t>
                            </w:r>
                          </w:p>
                          <w:p w14:paraId="6F9233E3">
                            <w:pPr>
                              <w:pStyle w:val="16"/>
                              <w:spacing w:line="200" w:lineRule="exact"/>
                              <w:ind w:left="5250"/>
                              <w:rPr>
                                <w:rFonts w:hint="eastAsia" w:ascii="宋体"/>
                                <w:sz w:val="18"/>
                                <w:szCs w:val="18"/>
                              </w:rPr>
                            </w:pPr>
                            <w:r>
                              <w:rPr>
                                <w:rFonts w:hint="eastAsia" w:ascii="楷体_GB2312" w:hAnsi="宋体" w:eastAsia="楷体_GB2312" w:cs="楷体_GB2312"/>
                                <w:b/>
                                <w:bCs/>
                                <w:color w:val="000000"/>
                                <w:sz w:val="18"/>
                                <w:szCs w:val="18"/>
                              </w:rPr>
                              <w:t>分部分项工程费的方法</w:t>
                            </w:r>
                          </w:p>
                        </w:txbxContent>
                      </wps:txbx>
                      <wps:bodyPr wrap="square"/>
                    </wps:wsp>
                  </a:graphicData>
                </a:graphic>
              </wp:anchor>
            </w:drawing>
          </mc:Choice>
          <mc:Fallback>
            <w:pict>
              <v:rect id="000207" o:spid="_x0000_s1026" o:spt="1" style="position:absolute;left:0pt;margin-left:-9pt;margin-top:2.05pt;height:35pt;width:72pt;z-index:251972608;mso-width-relative:page;mso-height-relative:page;" filled="f" stroked="f" coordsize="21600,21600" o:gfxdata="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DU6Y5dgAAAAIAQAADwAAAAAAAAABACAAAAAiAAAA&#10;ZHJzL2Rvd25yZXYueG1sUEsBAhQAFAAAAAgAh07iQHPMssyVAQAAOAMAAA4AAAAAAAAAAQAgAAAA&#10;JwEAAGRycy9lMm9Eb2MueG1sUEsFBgAAAAAGAAYAWQEAAC4FAAAAAA==&#10;">
                <v:fill on="f" focussize="0,0"/>
                <v:stroke on="f"/>
                <v:imagedata o:title=""/>
                <o:lock v:ext="edit" aspectratio="f"/>
                <v:textbox>
                  <w:txbxContent>
                    <w:p w14:paraId="5FB47E44">
                      <w:pPr>
                        <w:pStyle w:val="16"/>
                        <w:spacing w:line="200" w:lineRule="exact"/>
                        <w:rPr>
                          <w:rFonts w:hint="eastAsia" w:ascii="宋体"/>
                          <w:sz w:val="18"/>
                          <w:szCs w:val="18"/>
                        </w:rPr>
                      </w:pPr>
                      <w:r>
                        <w:rPr>
                          <w:rFonts w:hint="eastAsia" w:ascii="楷体_GB2312" w:hAnsi="宋体" w:eastAsia="楷体_GB2312" w:cs="楷体_GB2312"/>
                          <w:b/>
                          <w:bCs/>
                          <w:color w:val="000000"/>
                          <w:sz w:val="18"/>
                          <w:szCs w:val="18"/>
                        </w:rPr>
                        <w:t>调整分部分项工程费的方法</w:t>
                      </w:r>
                    </w:p>
                    <w:p w14:paraId="6F9233E3">
                      <w:pPr>
                        <w:pStyle w:val="16"/>
                        <w:spacing w:line="200" w:lineRule="exact"/>
                        <w:ind w:left="5250"/>
                        <w:rPr>
                          <w:rFonts w:hint="eastAsia" w:ascii="宋体"/>
                          <w:sz w:val="18"/>
                          <w:szCs w:val="18"/>
                        </w:rPr>
                      </w:pPr>
                      <w:r>
                        <w:rPr>
                          <w:rFonts w:hint="eastAsia" w:ascii="楷体_GB2312" w:hAnsi="宋体" w:eastAsia="楷体_GB2312" w:cs="楷体_GB2312"/>
                          <w:b/>
                          <w:bCs/>
                          <w:color w:val="000000"/>
                          <w:sz w:val="18"/>
                          <w:szCs w:val="18"/>
                        </w:rPr>
                        <w:t>分部分项工程费的方法</w:t>
                      </w:r>
                    </w:p>
                  </w:txbxContent>
                </v:textbox>
              </v:rect>
            </w:pict>
          </mc:Fallback>
        </mc:AlternateContent>
      </w:r>
      <w:r>
        <w:rPr>
          <w:rFonts w:hint="eastAsia" w:hAnsi="宋体" w:eastAsia="宋体" w:cs="宋体"/>
          <w:color w:val="auto"/>
          <w:sz w:val="24"/>
          <w:szCs w:val="24"/>
          <w:highlight w:val="none"/>
        </w:rPr>
        <w:t>对于某一分部分项工程项目，如果因本条规定工程量偏差和第56条规定工程变更等原因导致工程量偏差超过10%，且该变化使其分部分项工程费变化超过0.1%，则超过10%部分的综合单价应予调整。除专用条款另有约定外，应按照下列规定调整该分部分项工程费结算价：</w:t>
      </w:r>
    </w:p>
    <w:p w14:paraId="210567C1">
      <w:pPr>
        <w:pStyle w:val="22"/>
        <w:adjustRightInd w:val="0"/>
        <w:snapToGrid w:val="0"/>
        <w:spacing w:line="300" w:lineRule="auto"/>
        <w:ind w:left="2145" w:leftChars="707" w:hanging="660" w:hangingChars="275"/>
        <w:rPr>
          <w:rFonts w:hint="eastAsia" w:hAnsi="宋体" w:eastAsia="宋体" w:cs="宋体"/>
          <w:color w:val="auto"/>
          <w:sz w:val="24"/>
          <w:szCs w:val="24"/>
          <w:highlight w:val="none"/>
        </w:rPr>
      </w:pPr>
      <w:r>
        <w:rPr>
          <w:rFonts w:hint="eastAsia" w:hAnsi="宋体" w:eastAsia="宋体" w:cs="宋体"/>
          <w:color w:val="auto"/>
          <w:sz w:val="24"/>
          <w:szCs w:val="24"/>
          <w:highlight w:val="none"/>
        </w:rPr>
        <w:t>（1）当Q</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﹥1.1Q</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时，S=1.1Q</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×P</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+（Q</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-1.1Q</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）×P</w:t>
      </w:r>
      <w:r>
        <w:rPr>
          <w:rFonts w:hint="eastAsia" w:hAnsi="宋体" w:eastAsia="宋体" w:cs="宋体"/>
          <w:color w:val="auto"/>
          <w:sz w:val="24"/>
          <w:szCs w:val="24"/>
          <w:highlight w:val="none"/>
          <w:vertAlign w:val="subscript"/>
        </w:rPr>
        <w:t>1</w:t>
      </w:r>
    </w:p>
    <w:p w14:paraId="258960EE">
      <w:pPr>
        <w:pStyle w:val="22"/>
        <w:adjustRightInd w:val="0"/>
        <w:snapToGrid w:val="0"/>
        <w:spacing w:line="300" w:lineRule="auto"/>
        <w:ind w:left="2057" w:leftChars="694" w:hanging="600" w:hangingChars="250"/>
        <w:rPr>
          <w:rFonts w:hint="eastAsia" w:hAnsi="宋体" w:eastAsia="宋体" w:cs="宋体"/>
          <w:color w:val="auto"/>
          <w:sz w:val="24"/>
          <w:szCs w:val="24"/>
          <w:highlight w:val="none"/>
          <w:vertAlign w:val="subscript"/>
        </w:rPr>
      </w:pPr>
      <w:r>
        <w:rPr>
          <w:rFonts w:hint="eastAsia" w:hAnsi="宋体" w:eastAsia="宋体" w:cs="宋体"/>
          <w:color w:val="auto"/>
          <w:sz w:val="24"/>
          <w:szCs w:val="24"/>
          <w:highlight w:val="none"/>
        </w:rPr>
        <w:t>（2）当Q</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﹤0.9Q</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时，S=0.9Q</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×P</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-（0.9Q</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-Q</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）×P</w:t>
      </w:r>
      <w:r>
        <w:rPr>
          <w:rFonts w:hint="eastAsia" w:hAnsi="宋体" w:eastAsia="宋体" w:cs="宋体"/>
          <w:color w:val="auto"/>
          <w:sz w:val="24"/>
          <w:szCs w:val="24"/>
          <w:highlight w:val="none"/>
          <w:vertAlign w:val="subscript"/>
        </w:rPr>
        <w:t>1</w:t>
      </w:r>
    </w:p>
    <w:p w14:paraId="515290DE">
      <w:pPr>
        <w:pStyle w:val="22"/>
        <w:adjustRightInd w:val="0"/>
        <w:snapToGrid w:val="0"/>
        <w:spacing w:line="300" w:lineRule="auto"/>
        <w:ind w:firstLine="1620" w:firstLineChars="675"/>
        <w:rPr>
          <w:rFonts w:hint="eastAsia" w:hAnsi="宋体" w:eastAsia="宋体" w:cs="宋体"/>
          <w:color w:val="auto"/>
          <w:sz w:val="24"/>
          <w:szCs w:val="24"/>
          <w:highlight w:val="none"/>
        </w:rPr>
      </w:pPr>
      <w:r>
        <w:rPr>
          <w:rFonts w:hint="eastAsia" w:hAnsi="宋体" w:eastAsia="宋体" w:cs="宋体"/>
          <w:color w:val="auto"/>
          <w:sz w:val="24"/>
          <w:szCs w:val="24"/>
          <w:highlight w:val="none"/>
        </w:rPr>
        <w:t>式中S——调整后的某一分部分项工程费结算价；</w:t>
      </w:r>
    </w:p>
    <w:p w14:paraId="73C2F013">
      <w:pPr>
        <w:pStyle w:val="22"/>
        <w:adjustRightInd w:val="0"/>
        <w:snapToGrid w:val="0"/>
        <w:spacing w:line="300" w:lineRule="auto"/>
        <w:ind w:firstLine="2160" w:firstLineChars="900"/>
        <w:rPr>
          <w:rFonts w:hint="eastAsia" w:hAnsi="宋体" w:eastAsia="宋体" w:cs="宋体"/>
          <w:color w:val="auto"/>
          <w:sz w:val="24"/>
          <w:szCs w:val="24"/>
          <w:highlight w:val="none"/>
        </w:rPr>
      </w:pPr>
      <w:r>
        <w:rPr>
          <w:rFonts w:hint="eastAsia" w:hAnsi="宋体" w:eastAsia="宋体" w:cs="宋体"/>
          <w:color w:val="auto"/>
          <w:sz w:val="24"/>
          <w:szCs w:val="24"/>
          <w:highlight w:val="none"/>
        </w:rPr>
        <w:t>Q</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——最终完成的工程量；</w:t>
      </w:r>
    </w:p>
    <w:p w14:paraId="44C4414A">
      <w:pPr>
        <w:pStyle w:val="22"/>
        <w:adjustRightInd w:val="0"/>
        <w:snapToGrid w:val="0"/>
        <w:spacing w:line="300" w:lineRule="auto"/>
        <w:ind w:firstLine="2160" w:firstLineChars="900"/>
        <w:rPr>
          <w:rFonts w:hint="eastAsia" w:hAnsi="宋体" w:eastAsia="宋体" w:cs="宋体"/>
          <w:color w:val="auto"/>
          <w:sz w:val="24"/>
          <w:szCs w:val="24"/>
          <w:highlight w:val="none"/>
        </w:rPr>
      </w:pPr>
      <w:r>
        <w:rPr>
          <w:rFonts w:hint="eastAsia" w:hAnsi="宋体" w:eastAsia="宋体" w:cs="宋体"/>
          <w:color w:val="auto"/>
          <w:sz w:val="24"/>
          <w:szCs w:val="24"/>
          <w:highlight w:val="none"/>
        </w:rPr>
        <w:t>Q</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——工程量清单中开列的工程量；</w:t>
      </w:r>
    </w:p>
    <w:p w14:paraId="0E6338B7">
      <w:pPr>
        <w:pStyle w:val="22"/>
        <w:adjustRightInd w:val="0"/>
        <w:snapToGrid w:val="0"/>
        <w:spacing w:line="300" w:lineRule="auto"/>
        <w:ind w:firstLine="2160" w:firstLineChars="900"/>
        <w:rPr>
          <w:rFonts w:hint="eastAsia" w:hAnsi="宋体" w:eastAsia="宋体" w:cs="宋体"/>
          <w:color w:val="auto"/>
          <w:sz w:val="24"/>
          <w:szCs w:val="24"/>
          <w:highlight w:val="none"/>
        </w:rPr>
      </w:pPr>
      <w:r>
        <w:rPr>
          <w:rFonts w:hint="eastAsia" w:hAnsi="宋体" w:eastAsia="宋体" w:cs="宋体"/>
          <w:color w:val="auto"/>
          <w:sz w:val="24"/>
          <w:szCs w:val="24"/>
          <w:highlight w:val="none"/>
        </w:rPr>
        <w:t>P</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——按照最终完成工程量重新调整后的综合单价；</w:t>
      </w:r>
    </w:p>
    <w:p w14:paraId="3BB270E1">
      <w:pPr>
        <w:pStyle w:val="22"/>
        <w:adjustRightInd w:val="0"/>
        <w:snapToGrid w:val="0"/>
        <w:spacing w:line="300" w:lineRule="auto"/>
        <w:ind w:firstLine="2160" w:firstLineChars="900"/>
        <w:rPr>
          <w:rFonts w:hint="eastAsia" w:hAnsi="宋体" w:eastAsia="宋体" w:cs="宋体"/>
          <w:b/>
          <w:bCs/>
          <w:color w:val="auto"/>
          <w:sz w:val="24"/>
          <w:szCs w:val="24"/>
          <w:highlight w:val="none"/>
        </w:rPr>
      </w:pPr>
      <w:r>
        <w:rPr>
          <w:rFonts w:hint="eastAsia" w:hAnsi="宋体" w:eastAsia="宋体" w:cs="宋体"/>
          <w:color w:val="auto"/>
          <w:sz w:val="24"/>
          <w:szCs w:val="24"/>
          <w:highlight w:val="none"/>
        </w:rPr>
        <w:t>P</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——承包人在工程量清单中填报的综合单价。</w:t>
      </w:r>
    </w:p>
    <w:p w14:paraId="6B83F4F6">
      <w:pPr>
        <w:pStyle w:val="22"/>
        <w:adjustRightInd w:val="0"/>
        <w:snapToGrid w:val="0"/>
        <w:spacing w:line="300" w:lineRule="auto"/>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73.3</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443FC304">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73632" behindDoc="0" locked="0" layoutInCell="1" allowOverlap="1">
                <wp:simplePos x="0" y="0"/>
                <wp:positionH relativeFrom="column">
                  <wp:posOffset>-114300</wp:posOffset>
                </wp:positionH>
                <wp:positionV relativeFrom="paragraph">
                  <wp:posOffset>50800</wp:posOffset>
                </wp:positionV>
                <wp:extent cx="914400" cy="505460"/>
                <wp:effectExtent l="0" t="0" r="0" b="0"/>
                <wp:wrapNone/>
                <wp:docPr id="1333" name="000208"/>
                <wp:cNvGraphicFramePr/>
                <a:graphic xmlns:a="http://schemas.openxmlformats.org/drawingml/2006/main">
                  <a:graphicData uri="http://schemas.microsoft.com/office/word/2010/wordprocessingShape">
                    <wps:wsp>
                      <wps:cNvSpPr/>
                      <wps:spPr>
                        <a:xfrm>
                          <a:off x="0" y="0"/>
                          <a:ext cx="914400" cy="505460"/>
                        </a:xfrm>
                        <a:prstGeom prst="rect">
                          <a:avLst/>
                        </a:prstGeom>
                        <a:ln>
                          <a:noFill/>
                        </a:ln>
                      </wps:spPr>
                      <wps:txbx>
                        <w:txbxContent>
                          <w:p w14:paraId="3CC8219B">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14:paraId="13B3ABB3">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txbxContent>
                      </wps:txbx>
                      <wps:bodyPr wrap="square"/>
                    </wps:wsp>
                  </a:graphicData>
                </a:graphic>
              </wp:anchor>
            </w:drawing>
          </mc:Choice>
          <mc:Fallback>
            <w:pict>
              <v:rect id="000208" o:spid="_x0000_s1026" o:spt="1" style="position:absolute;left:0pt;margin-left:-9pt;margin-top:4pt;height:39.8pt;width:72pt;z-index:251973632;mso-width-relative:page;mso-height-relative:page;" filled="f" stroked="f" coordsize="21600,21600" o:gfxdata="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9iifa9cAAAAIAQAADwAAAAAAAAABACAAAAAiAAAA&#10;ZHJzL2Rvd25yZXYueG1sUEsBAhQAFAAAAAgAh07iQIu9T2qWAQAAOAMAAA4AAAAAAAAAAQAgAAAA&#10;JgEAAGRycy9lMm9Eb2MueG1sUEsFBgAAAAAGAAYAWQEAAC4FAAAAAA==&#10;">
                <v:fill on="f" focussize="0,0"/>
                <v:stroke on="f"/>
                <v:imagedata o:title=""/>
                <o:lock v:ext="edit" aspectratio="f"/>
                <v:textbox>
                  <w:txbxContent>
                    <w:p w14:paraId="3CC8219B">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14:paraId="13B3ABB3">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txbxContent>
                </v:textbox>
              </v:rect>
            </w:pict>
          </mc:Fallback>
        </mc:AlternateContent>
      </w:r>
      <w:r>
        <w:rPr>
          <w:rFonts w:hint="eastAsia" w:hAnsi="宋体" w:eastAsia="宋体" w:cs="宋体"/>
          <w:color w:val="auto"/>
          <w:sz w:val="24"/>
          <w:szCs w:val="24"/>
          <w:highlight w:val="none"/>
        </w:rPr>
        <w:t>如果因本条规定工程量偏差使某一分部分项工程费的变化超过10%，且该变化引起措施项目相应发生变化，则发生变化部分的措施项目费应按照第72.3款规定调整。除专用条款另有约定外，应按照下列规定调整发生变化的措施项目费结算价：</w:t>
      </w:r>
    </w:p>
    <w:p w14:paraId="0D762024">
      <w:pPr>
        <w:pStyle w:val="22"/>
        <w:tabs>
          <w:tab w:val="left" w:pos="900"/>
        </w:tabs>
        <w:adjustRightInd w:val="0"/>
        <w:snapToGrid w:val="0"/>
        <w:spacing w:line="300" w:lineRule="auto"/>
        <w:ind w:left="2240" w:leftChars="781" w:hanging="600" w:hangingChars="250"/>
        <w:rPr>
          <w:rFonts w:hint="eastAsia" w:hAnsi="宋体" w:eastAsia="宋体" w:cs="宋体"/>
          <w:color w:val="auto"/>
          <w:sz w:val="24"/>
          <w:szCs w:val="24"/>
          <w:highlight w:val="none"/>
        </w:rPr>
      </w:pPr>
      <w:r>
        <w:rPr>
          <w:rFonts w:hint="eastAsia" w:hAnsi="宋体" w:eastAsia="宋体" w:cs="宋体"/>
          <w:color w:val="auto"/>
          <w:sz w:val="24"/>
          <w:szCs w:val="24"/>
          <w:highlight w:val="none"/>
        </w:rPr>
        <w:t>（1）当S</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﹥1.1S</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时，M</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=M</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+△M</w:t>
      </w:r>
    </w:p>
    <w:p w14:paraId="072DC71F">
      <w:pPr>
        <w:pStyle w:val="22"/>
        <w:adjustRightInd w:val="0"/>
        <w:snapToGrid w:val="0"/>
        <w:spacing w:line="300" w:lineRule="auto"/>
        <w:ind w:left="2240" w:leftChars="781" w:hanging="600" w:hangingChars="250"/>
        <w:rPr>
          <w:rFonts w:hint="eastAsia" w:hAnsi="宋体" w:eastAsia="宋体" w:cs="宋体"/>
          <w:color w:val="auto"/>
          <w:sz w:val="24"/>
          <w:szCs w:val="24"/>
          <w:highlight w:val="none"/>
        </w:rPr>
      </w:pPr>
      <w:r>
        <w:rPr>
          <w:rFonts w:hint="eastAsia" w:hAnsi="宋体" w:eastAsia="宋体" w:cs="宋体"/>
          <w:color w:val="auto"/>
          <w:sz w:val="24"/>
          <w:szCs w:val="24"/>
          <w:highlight w:val="none"/>
        </w:rPr>
        <w:t>（2）当S</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﹤0.9S</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时，M</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=M</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–△M</w:t>
      </w:r>
    </w:p>
    <w:p w14:paraId="57827053">
      <w:pPr>
        <w:pStyle w:val="22"/>
        <w:adjustRightInd w:val="0"/>
        <w:snapToGrid w:val="0"/>
        <w:spacing w:line="300" w:lineRule="auto"/>
        <w:ind w:firstLine="1800" w:firstLineChars="750"/>
        <w:rPr>
          <w:rFonts w:hint="eastAsia" w:hAnsi="宋体" w:eastAsia="宋体" w:cs="宋体"/>
          <w:color w:val="auto"/>
          <w:sz w:val="24"/>
          <w:szCs w:val="24"/>
          <w:highlight w:val="none"/>
        </w:rPr>
      </w:pPr>
      <w:r>
        <w:rPr>
          <w:rFonts w:hint="eastAsia" w:hAnsi="宋体" w:eastAsia="宋体" w:cs="宋体"/>
          <w:color w:val="auto"/>
          <w:sz w:val="24"/>
          <w:szCs w:val="24"/>
          <w:highlight w:val="none"/>
        </w:rPr>
        <w:t>式中M</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——调整后的发生变化措施项目费结算价；</w:t>
      </w:r>
    </w:p>
    <w:p w14:paraId="77729D80">
      <w:pPr>
        <w:pStyle w:val="22"/>
        <w:adjustRightInd w:val="0"/>
        <w:snapToGrid w:val="0"/>
        <w:spacing w:line="300" w:lineRule="auto"/>
        <w:ind w:firstLine="2280" w:firstLineChars="950"/>
        <w:rPr>
          <w:rFonts w:hint="eastAsia" w:hAnsi="宋体" w:eastAsia="宋体" w:cs="宋体"/>
          <w:color w:val="auto"/>
          <w:sz w:val="24"/>
          <w:szCs w:val="24"/>
          <w:highlight w:val="none"/>
        </w:rPr>
      </w:pPr>
      <w:r>
        <w:rPr>
          <w:rFonts w:hint="eastAsia" w:hAnsi="宋体" w:eastAsia="宋体" w:cs="宋体"/>
          <w:color w:val="auto"/>
          <w:sz w:val="24"/>
          <w:szCs w:val="24"/>
          <w:highlight w:val="none"/>
        </w:rPr>
        <w:t>M</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——承包人在工程量清单中填报的措施项目费；</w:t>
      </w:r>
    </w:p>
    <w:p w14:paraId="126B27EA">
      <w:pPr>
        <w:pStyle w:val="22"/>
        <w:adjustRightInd w:val="0"/>
        <w:snapToGrid w:val="0"/>
        <w:spacing w:line="300" w:lineRule="auto"/>
        <w:ind w:left="960" w:leftChars="457" w:firstLine="1320" w:firstLineChars="550"/>
        <w:rPr>
          <w:rFonts w:hint="eastAsia" w:hAnsi="宋体" w:eastAsia="宋体" w:cs="宋体"/>
          <w:color w:val="auto"/>
          <w:sz w:val="24"/>
          <w:szCs w:val="24"/>
          <w:highlight w:val="none"/>
        </w:rPr>
      </w:pPr>
      <w:r>
        <w:rPr>
          <w:rFonts w:hint="eastAsia" w:hAnsi="宋体" w:eastAsia="宋体" w:cs="宋体"/>
          <w:color w:val="auto"/>
          <w:sz w:val="24"/>
          <w:szCs w:val="24"/>
          <w:highlight w:val="none"/>
        </w:rPr>
        <w:t>∆M——按照第72.3款规定调整的发生变化部分的措施项</w:t>
      </w:r>
    </w:p>
    <w:p w14:paraId="45675D50">
      <w:pPr>
        <w:pStyle w:val="22"/>
        <w:adjustRightInd w:val="0"/>
        <w:snapToGrid w:val="0"/>
        <w:spacing w:line="300" w:lineRule="auto"/>
        <w:ind w:left="960" w:leftChars="457" w:firstLine="1320" w:firstLineChars="550"/>
        <w:rPr>
          <w:rFonts w:hint="eastAsia" w:hAnsi="宋体" w:eastAsia="宋体" w:cs="宋体"/>
          <w:color w:val="auto"/>
          <w:sz w:val="24"/>
          <w:szCs w:val="24"/>
          <w:highlight w:val="none"/>
        </w:rPr>
      </w:pPr>
      <w:r>
        <w:rPr>
          <w:rFonts w:hint="eastAsia" w:hAnsi="宋体" w:eastAsia="宋体" w:cs="宋体"/>
          <w:color w:val="auto"/>
          <w:sz w:val="24"/>
          <w:szCs w:val="24"/>
          <w:highlight w:val="none"/>
        </w:rPr>
        <w:t>目费；</w:t>
      </w:r>
    </w:p>
    <w:p w14:paraId="14754774">
      <w:pPr>
        <w:pStyle w:val="22"/>
        <w:adjustRightInd w:val="0"/>
        <w:snapToGrid w:val="0"/>
        <w:spacing w:line="300" w:lineRule="auto"/>
        <w:ind w:firstLine="2280" w:firstLineChars="950"/>
        <w:rPr>
          <w:rFonts w:hint="eastAsia" w:hAnsi="宋体" w:eastAsia="宋体" w:cs="宋体"/>
          <w:color w:val="auto"/>
          <w:sz w:val="24"/>
          <w:szCs w:val="24"/>
          <w:highlight w:val="none"/>
        </w:rPr>
      </w:pPr>
      <w:r>
        <w:rPr>
          <w:rFonts w:hint="eastAsia" w:hAnsi="宋体" w:eastAsia="宋体" w:cs="宋体"/>
          <w:color w:val="auto"/>
          <w:sz w:val="24"/>
          <w:szCs w:val="24"/>
          <w:highlight w:val="none"/>
        </w:rPr>
        <w:t>S</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——调整后的某一分部分项工程费结算价；</w:t>
      </w:r>
    </w:p>
    <w:p w14:paraId="4784C855">
      <w:pPr>
        <w:pStyle w:val="22"/>
        <w:adjustRightInd w:val="0"/>
        <w:snapToGrid w:val="0"/>
        <w:spacing w:line="300" w:lineRule="auto"/>
        <w:ind w:firstLine="2280" w:firstLineChars="950"/>
        <w:rPr>
          <w:rFonts w:hint="eastAsia" w:hAnsi="宋体" w:eastAsia="宋体" w:cs="宋体"/>
          <w:color w:val="auto"/>
          <w:sz w:val="24"/>
          <w:szCs w:val="24"/>
          <w:highlight w:val="none"/>
        </w:rPr>
      </w:pPr>
      <w:r>
        <w:rPr>
          <w:rFonts w:hint="eastAsia" w:hAnsi="宋体" w:eastAsia="宋体" w:cs="宋体"/>
          <w:color w:val="auto"/>
          <w:sz w:val="24"/>
          <w:szCs w:val="24"/>
          <w:highlight w:val="none"/>
        </w:rPr>
        <w:t>S</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——承包人报价文件对应的某一分部分项工程费。</w:t>
      </w:r>
    </w:p>
    <w:p w14:paraId="3971E736">
      <w:pPr>
        <w:tabs>
          <w:tab w:val="left" w:pos="1620"/>
        </w:tabs>
        <w:spacing w:line="300" w:lineRule="auto"/>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423B2115">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173" w:name="_Toc46860879"/>
      <w:bookmarkStart w:id="174" w:name="_Toc469384058"/>
      <w:r>
        <w:rPr>
          <w:rFonts w:hint="eastAsia" w:hAnsi="宋体" w:eastAsia="宋体" w:cs="宋体"/>
          <w:b/>
          <w:bCs/>
          <w:color w:val="auto"/>
          <w:sz w:val="24"/>
          <w:szCs w:val="24"/>
          <w:highlight w:val="none"/>
        </w:rPr>
        <w:t>★74  费用索赔事件</w:t>
      </w:r>
      <w:bookmarkEnd w:id="173"/>
      <w:bookmarkEnd w:id="174"/>
    </w:p>
    <w:p w14:paraId="2530E5CC">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74.1      </w:t>
      </w:r>
    </w:p>
    <w:p w14:paraId="7ABF8AAD">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7465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334" name="000209"/>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7FD68C29">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p w14:paraId="0FF6F0BD">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赔的价款调整</w:t>
                            </w:r>
                          </w:p>
                        </w:txbxContent>
                      </wps:txbx>
                      <wps:bodyPr wrap="square"/>
                    </wps:wsp>
                  </a:graphicData>
                </a:graphic>
              </wp:anchor>
            </w:drawing>
          </mc:Choice>
          <mc:Fallback>
            <w:pict>
              <v:rect id="000209" o:spid="_x0000_s1026" o:spt="1" style="position:absolute;left:0pt;margin-left:-9pt;margin-top:1.25pt;height:31.2pt;width:72pt;z-index:251974656;mso-width-relative:page;mso-height-relative:page;" filled="f" stroked="f" coordsize="21600,21600" o:gfxdata="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EH2cf/YAAAACAEAAA8AAAAAAAAAAQAgAAAAIgAA&#10;AGRycy9kb3ducmV2LnhtbFBLAQIUABQAAAAIAIdO4kB3mneElgEAADgDAAAOAAAAAAAAAAEAIAAA&#10;ACcBAABkcnMvZTJvRG9jLnhtbFBLBQYAAAAABgAGAFkBAAAvBQAAAAA=&#10;">
                <v:fill on="f" focussize="0,0"/>
                <v:stroke on="f"/>
                <v:imagedata o:title=""/>
                <o:lock v:ext="edit" aspectratio="f"/>
                <v:textbox>
                  <w:txbxContent>
                    <w:p w14:paraId="7FD68C29">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p w14:paraId="0FF6F0BD">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赔的价款调整</w:t>
                      </w:r>
                    </w:p>
                  </w:txbxContent>
                </v:textbox>
              </v:rect>
            </w:pict>
          </mc:Fallback>
        </mc:AlternateContent>
      </w:r>
      <w:r>
        <w:rPr>
          <w:rFonts w:hint="eastAsia" w:hAnsi="宋体" w:eastAsia="宋体" w:cs="宋体"/>
          <w:color w:val="auto"/>
          <w:sz w:val="24"/>
          <w:szCs w:val="24"/>
          <w:highlight w:val="none"/>
        </w:rPr>
        <w:t>费用索赔是指合同履行期间，对于非自己过错而应由对方当事人承担责任的情况造成的损失，向对方当事人提出经济补偿要求的行为。</w:t>
      </w:r>
    </w:p>
    <w:p w14:paraId="730BD6C8">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合同履行期间，出现费用索赔事件的，合同双方当事人应调整合同价款。</w:t>
      </w:r>
    </w:p>
    <w:p w14:paraId="708BD76B">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74.2  </w:t>
      </w:r>
      <w:r>
        <w:rPr>
          <w:rFonts w:hint="eastAsia" w:hAnsi="宋体" w:eastAsia="宋体" w:cs="宋体"/>
          <w:b/>
          <w:bCs/>
          <w:color w:val="auto"/>
          <w:sz w:val="24"/>
          <w:szCs w:val="24"/>
          <w:highlight w:val="none"/>
          <w:u w:val="dotted"/>
        </w:rPr>
        <w:t xml:space="preserve">                                                                                      </w:t>
      </w:r>
      <w:r>
        <w:rPr>
          <w:rFonts w:hint="eastAsia" w:hAnsi="宋体" w:eastAsia="宋体" w:cs="宋体"/>
          <w:b/>
          <w:bCs/>
          <w:color w:val="auto"/>
          <w:sz w:val="24"/>
          <w:szCs w:val="24"/>
          <w:highlight w:val="none"/>
        </w:rPr>
        <w:t xml:space="preserve">      </w:t>
      </w:r>
    </w:p>
    <w:p w14:paraId="6B034571">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7568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335" name="00020a"/>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4F75B135">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发发出索赔意向书</w:t>
                            </w:r>
                          </w:p>
                          <w:p w14:paraId="16145EAB">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索赔意向书</w:t>
                            </w:r>
                          </w:p>
                        </w:txbxContent>
                      </wps:txbx>
                      <wps:bodyPr wrap="square"/>
                    </wps:wsp>
                  </a:graphicData>
                </a:graphic>
              </wp:anchor>
            </w:drawing>
          </mc:Choice>
          <mc:Fallback>
            <w:pict>
              <v:rect id="00020a" o:spid="_x0000_s1026" o:spt="1" style="position:absolute;left:0pt;margin-left:-9pt;margin-top:1.25pt;height:31.2pt;width:72pt;z-index:251975680;mso-width-relative:page;mso-height-relative:page;" filled="f" stroked="f" coordsize="21600,21600" o:gfxdata="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EH2cf/YAAAACAEAAA8AAAAAAAAAAQAgAAAAIgAA&#10;AGRycy9kb3ducmV2LnhtbFBLAQIUABQAAAAIAIdO4kDV/LqIlgEAADgDAAAOAAAAAAAAAAEAIAAA&#10;ACcBAABkcnMvZTJvRG9jLnhtbFBLBQYAAAAABgAGAFkBAAAvBQAAAAA=&#10;">
                <v:fill on="f" focussize="0,0"/>
                <v:stroke on="f"/>
                <v:imagedata o:title=""/>
                <o:lock v:ext="edit" aspectratio="f"/>
                <v:textbox>
                  <w:txbxContent>
                    <w:p w14:paraId="4F75B135">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发发出索赔意向书</w:t>
                      </w:r>
                    </w:p>
                    <w:p w14:paraId="16145EAB">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索赔意向书</w:t>
                      </w:r>
                    </w:p>
                  </w:txbxContent>
                </v:textbox>
              </v:rect>
            </w:pict>
          </mc:Fallback>
        </mc:AlternateContent>
      </w:r>
      <w:r>
        <w:rPr>
          <w:rFonts w:hint="eastAsia" w:hAnsi="宋体" w:eastAsia="宋体" w:cs="宋体"/>
          <w:color w:val="auto"/>
          <w:sz w:val="24"/>
          <w:szCs w:val="24"/>
          <w:highlight w:val="none"/>
        </w:rPr>
        <w:t>如果承包人根据合同约定提出任何费用或其它形式的损失索赔时，应在该索赔事件首次发生之后的14天内向造价工程师发出索赔意向书，并抄送发包人。</w:t>
      </w:r>
    </w:p>
    <w:p w14:paraId="48131D34">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74.3  </w:t>
      </w:r>
      <w:r>
        <w:rPr>
          <w:rFonts w:hint="eastAsia" w:hAnsi="宋体" w:eastAsia="宋体" w:cs="宋体"/>
          <w:b/>
          <w:bCs/>
          <w:color w:val="auto"/>
          <w:sz w:val="24"/>
          <w:szCs w:val="24"/>
          <w:highlight w:val="none"/>
          <w:u w:val="dotted"/>
        </w:rPr>
        <w:t xml:space="preserve">                                                                                                        </w:t>
      </w:r>
    </w:p>
    <w:p w14:paraId="1B98EA61">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76704"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1336" name="00020b"/>
                <wp:cNvGraphicFramePr/>
                <a:graphic xmlns:a="http://schemas.openxmlformats.org/drawingml/2006/main">
                  <a:graphicData uri="http://schemas.microsoft.com/office/word/2010/wordprocessingShape">
                    <wps:wsp>
                      <wps:cNvSpPr/>
                      <wps:spPr>
                        <a:xfrm>
                          <a:off x="0" y="0"/>
                          <a:ext cx="914400" cy="522605"/>
                        </a:xfrm>
                        <a:prstGeom prst="rect">
                          <a:avLst/>
                        </a:prstGeom>
                        <a:ln>
                          <a:noFill/>
                        </a:ln>
                      </wps:spPr>
                      <wps:txbx>
                        <w:txbxContent>
                          <w:p w14:paraId="1A317366">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p w14:paraId="79455E71">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赔记录的保存和审查</w:t>
                            </w:r>
                          </w:p>
                        </w:txbxContent>
                      </wps:txbx>
                      <wps:bodyPr wrap="square"/>
                    </wps:wsp>
                  </a:graphicData>
                </a:graphic>
              </wp:anchor>
            </w:drawing>
          </mc:Choice>
          <mc:Fallback>
            <w:pict>
              <v:rect id="00020b" o:spid="_x0000_s1026" o:spt="1" style="position:absolute;left:0pt;margin-left:-9pt;margin-top:0.05pt;height:41.15pt;width:72pt;z-index:251976704;mso-width-relative:page;mso-height-relative:page;" filled="f" stroked="f" coordsize="21600,21600" o:gfxdata="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&#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Cv8N83WAAAABwEAAA8AAAAAAAAAAQAgAAAAIgAAAGRy&#10;cy9kb3ducmV2LnhtbFBLAQIUABQAAAAIAIdO4kDR2eFslQEAADgDAAAOAAAAAAAAAAEAIAAAACUB&#10;AABkcnMvZTJvRG9jLnhtbFBLBQYAAAAABgAGAFkBAAAsBQAAAAA=&#10;">
                <v:fill on="f" focussize="0,0"/>
                <v:stroke on="f"/>
                <v:imagedata o:title=""/>
                <o:lock v:ext="edit" aspectratio="f"/>
                <v:textbox>
                  <w:txbxContent>
                    <w:p w14:paraId="1A317366">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p w14:paraId="79455E71">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赔记录的保存和审查</w:t>
                      </w:r>
                    </w:p>
                  </w:txbxContent>
                </v:textbox>
              </v:rect>
            </w:pict>
          </mc:Fallback>
        </mc:AlternateContent>
      </w:r>
      <w:r>
        <w:rPr>
          <w:rFonts w:hint="eastAsia" w:hAnsi="宋体" w:eastAsia="宋体" w:cs="宋体"/>
          <w:color w:val="auto"/>
          <w:sz w:val="24"/>
          <w:szCs w:val="24"/>
          <w:highlight w:val="none"/>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14:paraId="7986817F">
      <w:pPr>
        <w:pStyle w:val="22"/>
        <w:adjustRightInd w:val="0"/>
        <w:snapToGrid w:val="0"/>
        <w:spacing w:line="300" w:lineRule="auto"/>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 xml:space="preserve">74.4 </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77CA831A">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77728"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1337" name="00020c"/>
                <wp:cNvGraphicFramePr/>
                <a:graphic xmlns:a="http://schemas.openxmlformats.org/drawingml/2006/main">
                  <a:graphicData uri="http://schemas.microsoft.com/office/word/2010/wordprocessingShape">
                    <wps:wsp>
                      <wps:cNvSpPr/>
                      <wps:spPr>
                        <a:xfrm>
                          <a:off x="0" y="0"/>
                          <a:ext cx="1028700" cy="480059"/>
                        </a:xfrm>
                        <a:prstGeom prst="rect">
                          <a:avLst/>
                        </a:prstGeom>
                        <a:ln>
                          <a:noFill/>
                        </a:ln>
                      </wps:spPr>
                      <wps:txbx>
                        <w:txbxContent>
                          <w:p w14:paraId="0AF63846">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14:paraId="668D99E1">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p w14:paraId="3038D894">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交费用索赔</w:t>
                            </w:r>
                          </w:p>
                          <w:p w14:paraId="46D4DA24">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wps:txbx>
                      <wps:bodyPr wrap="square"/>
                    </wps:wsp>
                  </a:graphicData>
                </a:graphic>
              </wp:anchor>
            </w:drawing>
          </mc:Choice>
          <mc:Fallback>
            <w:pict>
              <v:rect id="00020c" o:spid="_x0000_s1026" o:spt="1" style="position:absolute;left:0pt;margin-left:-9pt;margin-top:0.4pt;height:37.8pt;width:81pt;z-index:251977728;mso-width-relative:page;mso-height-relative:page;" filled="f" stroked="f" coordsize="21600,21600" o:gfxdata="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RNcVuNcAAAAHAQAADwAAAAAAAAABACAAAAAiAAAA&#10;ZHJzL2Rvd25yZXYueG1sUEsBAhQAFAAAAAgAh07iQJKrcB6WAQAAOQMAAA4AAAAAAAAAAQAgAAAA&#10;JgEAAGRycy9lMm9Eb2MueG1sUEsFBgAAAAAGAAYAWQEAAC4FAAAAAA==&#10;">
                <v:fill on="f" focussize="0,0"/>
                <v:stroke on="f"/>
                <v:imagedata o:title=""/>
                <o:lock v:ext="edit" aspectratio="f"/>
                <v:textbox>
                  <w:txbxContent>
                    <w:p w14:paraId="0AF63846">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14:paraId="668D99E1">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p w14:paraId="3038D894">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交费用索赔</w:t>
                      </w:r>
                    </w:p>
                    <w:p w14:paraId="46D4DA24">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v:textbox>
              </v:rect>
            </w:pict>
          </mc:Fallback>
        </mc:AlternateContent>
      </w:r>
      <w:r>
        <w:rPr>
          <w:rFonts w:hint="eastAsia" w:hAnsi="宋体" w:eastAsia="宋体" w:cs="宋体"/>
          <w:color w:val="auto"/>
          <w:sz w:val="24"/>
          <w:szCs w:val="24"/>
          <w:highlight w:val="none"/>
        </w:rPr>
        <w:t>在发出索赔意向书后的14天内，承包人应向造价工程师提交费用索赔报告和有关资料。如果索赔事件持续进行，承包人应每隔7天向造价工程师发出索赔意向书，在索赔事件终结后的14天内，提交最终费用索赔报告和有关资料。</w:t>
      </w:r>
    </w:p>
    <w:p w14:paraId="138D2BEE">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78752"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1338" name="00020d"/>
                <wp:cNvGraphicFramePr/>
                <a:graphic xmlns:a="http://schemas.openxmlformats.org/drawingml/2006/main">
                  <a:graphicData uri="http://schemas.microsoft.com/office/word/2010/wordprocessingShape">
                    <wps:wsp>
                      <wps:cNvSpPr/>
                      <wps:spPr>
                        <a:xfrm>
                          <a:off x="0" y="0"/>
                          <a:ext cx="800100" cy="324485"/>
                        </a:xfrm>
                        <a:prstGeom prst="rect">
                          <a:avLst/>
                        </a:prstGeom>
                        <a:ln>
                          <a:noFill/>
                        </a:ln>
                      </wps:spPr>
                      <wps:txbx>
                        <w:txbxContent>
                          <w:p w14:paraId="7AC7E0A0">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p w14:paraId="03D37B78">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w:t>
                            </w:r>
                          </w:p>
                        </w:txbxContent>
                      </wps:txbx>
                      <wps:bodyPr wrap="square"/>
                    </wps:wsp>
                  </a:graphicData>
                </a:graphic>
              </wp:anchor>
            </w:drawing>
          </mc:Choice>
          <mc:Fallback>
            <w:pict>
              <v:rect id="00020d" o:spid="_x0000_s1026" o:spt="1" style="position:absolute;left:0pt;margin-left:-9pt;margin-top:19.75pt;height:25.55pt;width:63pt;z-index:251978752;mso-width-relative:page;mso-height-relative:page;" filled="f" stroked="f" coordsize="21600,21600" o:gfxdata="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8tidM9kAAAAJAQAADwAAAAAAAAABACAAAAAiAAAA&#10;ZHJzL2Rvd25yZXYueG1sUEsBAhQAFAAAAAgAh07iQExV5BKUAQAAOAMAAA4AAAAAAAAAAQAgAAAA&#10;KAEAAGRycy9lMm9Eb2MueG1sUEsFBgAAAAAGAAYAWQEAAC4FAAAAAA==&#10;">
                <v:fill on="f" focussize="0,0"/>
                <v:stroke on="f"/>
                <v:imagedata o:title=""/>
                <o:lock v:ext="edit" aspectratio="f"/>
                <v:textbox>
                  <w:txbxContent>
                    <w:p w14:paraId="7AC7E0A0">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p w14:paraId="03D37B78">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w:t>
                      </w:r>
                    </w:p>
                  </w:txbxContent>
                </v:textbox>
              </v:rect>
            </w:pict>
          </mc:Fallback>
        </mc:AlternateContent>
      </w:r>
      <w:r>
        <w:rPr>
          <w:rFonts w:hint="eastAsia" w:hAnsi="宋体" w:eastAsia="宋体" w:cs="宋体"/>
          <w:b/>
          <w:bCs/>
          <w:color w:val="auto"/>
          <w:sz w:val="24"/>
          <w:szCs w:val="24"/>
          <w:highlight w:val="none"/>
        </w:rPr>
        <w:t xml:space="preserve">74.5  </w:t>
      </w:r>
      <w:r>
        <w:rPr>
          <w:rFonts w:hint="eastAsia" w:hAnsi="宋体" w:eastAsia="宋体" w:cs="宋体"/>
          <w:b/>
          <w:bCs/>
          <w:color w:val="auto"/>
          <w:sz w:val="24"/>
          <w:szCs w:val="24"/>
          <w:highlight w:val="none"/>
          <w:u w:val="dotted"/>
        </w:rPr>
        <w:t xml:space="preserve">                                                                                                        </w:t>
      </w:r>
    </w:p>
    <w:p w14:paraId="0616F4DF">
      <w:pPr>
        <w:pStyle w:val="22"/>
        <w:adjustRightInd w:val="0"/>
        <w:snapToGrid w:val="0"/>
        <w:spacing w:line="300" w:lineRule="auto"/>
        <w:ind w:left="1619" w:leftChars="771"/>
        <w:rPr>
          <w:rFonts w:hint="eastAsia" w:hAnsi="宋体" w:eastAsia="宋体" w:cs="宋体"/>
          <w:b/>
          <w:bCs/>
          <w:color w:val="auto"/>
          <w:sz w:val="24"/>
          <w:szCs w:val="24"/>
          <w:highlight w:val="none"/>
        </w:rPr>
      </w:pPr>
      <w:r>
        <w:rPr>
          <w:rFonts w:hint="eastAsia" w:hAnsi="宋体" w:eastAsia="宋体" w:cs="宋体"/>
          <w:color w:val="auto"/>
          <w:sz w:val="24"/>
          <w:szCs w:val="24"/>
          <w:highlight w:val="none"/>
        </w:rPr>
        <w:t>如果承包人提出的索赔未能遵守第74.2款至第74.4款规定，则承包人无权获得索赔或只限于获得由造价工程师按照提供记录予以核实的部分款额。</w:t>
      </w:r>
    </w:p>
    <w:p w14:paraId="27B10073">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74.6  </w:t>
      </w:r>
      <w:r>
        <w:rPr>
          <w:rFonts w:hint="eastAsia" w:hAnsi="宋体" w:eastAsia="宋体" w:cs="宋体"/>
          <w:b/>
          <w:bCs/>
          <w:color w:val="auto"/>
          <w:sz w:val="24"/>
          <w:szCs w:val="24"/>
          <w:highlight w:val="none"/>
          <w:u w:val="dotted"/>
        </w:rPr>
        <w:t xml:space="preserve">                                                                                                        </w:t>
      </w:r>
    </w:p>
    <w:p w14:paraId="344B63EC">
      <w:pPr>
        <w:pStyle w:val="22"/>
        <w:adjustRightInd w:val="0"/>
        <w:snapToGrid w:val="0"/>
        <w:spacing w:line="300" w:lineRule="auto"/>
        <w:ind w:left="1619" w:leftChars="771"/>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79776"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1339" name="00020e"/>
                <wp:cNvGraphicFramePr/>
                <a:graphic xmlns:a="http://schemas.openxmlformats.org/drawingml/2006/main">
                  <a:graphicData uri="http://schemas.microsoft.com/office/word/2010/wordprocessingShape">
                    <wps:wsp>
                      <wps:cNvSpPr/>
                      <wps:spPr>
                        <a:xfrm>
                          <a:off x="0" y="0"/>
                          <a:ext cx="914400" cy="438785"/>
                        </a:xfrm>
                        <a:prstGeom prst="rect">
                          <a:avLst/>
                        </a:prstGeom>
                        <a:ln>
                          <a:noFill/>
                        </a:ln>
                      </wps:spPr>
                      <wps:txbx>
                        <w:txbxContent>
                          <w:p w14:paraId="0B1B1FB9">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p w14:paraId="23306570">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费用索赔报告的限制</w:t>
                            </w:r>
                          </w:p>
                        </w:txbxContent>
                      </wps:txbx>
                      <wps:bodyPr wrap="square"/>
                    </wps:wsp>
                  </a:graphicData>
                </a:graphic>
              </wp:anchor>
            </w:drawing>
          </mc:Choice>
          <mc:Fallback>
            <w:pict>
              <v:rect id="00020e" o:spid="_x0000_s1026" o:spt="1" style="position:absolute;left:0pt;margin-left:-9pt;margin-top:0.65pt;height:34.55pt;width:72pt;z-index:251979776;mso-width-relative:page;mso-height-relative:page;" filled="f" stroked="f" coordsize="21600,21600" o:gfxdata="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JcbMitgAAAAIAQAADwAAAAAAAAABACAAAAAiAAAA&#10;ZHJzL2Rvd25yZXYueG1sUEsBAhQAFAAAAAgAh07iQNgG+x+VAQAAOAMAAA4AAAAAAAAAAQAgAAAA&#10;JwEAAGRycy9lMm9Eb2MueG1sUEsFBgAAAAAGAAYAWQEAAC4FAAAAAA==&#10;">
                <v:fill on="f" focussize="0,0"/>
                <v:stroke on="f"/>
                <v:imagedata o:title=""/>
                <o:lock v:ext="edit" aspectratio="f"/>
                <v:textbox>
                  <w:txbxContent>
                    <w:p w14:paraId="0B1B1FB9">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p w14:paraId="23306570">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费用索赔报告的限制</w:t>
                      </w:r>
                    </w:p>
                  </w:txbxContent>
                </v:textbox>
              </v:rect>
            </w:pict>
          </mc:Fallback>
        </mc:AlternateContent>
      </w:r>
      <w:r>
        <w:rPr>
          <w:rFonts w:hint="eastAsia" w:hAnsi="宋体" w:eastAsia="宋体" w:cs="宋体"/>
          <w:color w:val="auto"/>
          <w:sz w:val="24"/>
          <w:szCs w:val="24"/>
          <w:highlight w:val="none"/>
        </w:rPr>
        <w:t>造价工程师应在收到承包人提交的费用索赔报告和有关资料后的28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14:paraId="34E18F4F">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74.7  </w:t>
      </w:r>
      <w:r>
        <w:rPr>
          <w:rFonts w:hint="eastAsia" w:hAnsi="宋体" w:eastAsia="宋体" w:cs="宋体"/>
          <w:b/>
          <w:bCs/>
          <w:color w:val="auto"/>
          <w:sz w:val="24"/>
          <w:szCs w:val="24"/>
          <w:highlight w:val="none"/>
          <w:u w:val="dotted"/>
        </w:rPr>
        <w:t xml:space="preserve">                                                                                                        </w:t>
      </w:r>
    </w:p>
    <w:p w14:paraId="06E0B01F">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80800"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1340" name="00020f"/>
                <wp:cNvGraphicFramePr/>
                <a:graphic xmlns:a="http://schemas.openxmlformats.org/drawingml/2006/main">
                  <a:graphicData uri="http://schemas.microsoft.com/office/word/2010/wordprocessingShape">
                    <wps:wsp>
                      <wps:cNvSpPr/>
                      <wps:spPr>
                        <a:xfrm>
                          <a:off x="0" y="0"/>
                          <a:ext cx="800100" cy="349885"/>
                        </a:xfrm>
                        <a:prstGeom prst="rect">
                          <a:avLst/>
                        </a:prstGeom>
                        <a:ln>
                          <a:noFill/>
                        </a:ln>
                      </wps:spPr>
                      <wps:txbx>
                        <w:txbxContent>
                          <w:p w14:paraId="5CE52629">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p w14:paraId="38233562">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w:t>
                            </w:r>
                          </w:p>
                        </w:txbxContent>
                      </wps:txbx>
                      <wps:bodyPr wrap="square"/>
                    </wps:wsp>
                  </a:graphicData>
                </a:graphic>
              </wp:anchor>
            </w:drawing>
          </mc:Choice>
          <mc:Fallback>
            <w:pict>
              <v:rect id="00020f" o:spid="_x0000_s1026" o:spt="1" style="position:absolute;left:0pt;margin-left:-9pt;margin-top:3.05pt;height:27.55pt;width:63pt;z-index:251980800;mso-width-relative:page;mso-height-relative:page;" filled="f" stroked="f" coordsize="21600,21600" o:gfxdata="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LTnE+bVAAAACAEAAA8AAAAAAAAAAQAgAAAAIgAAAGRycy9k&#10;b3ducmV2LnhtbFBLAQIUABQAAAAIAIdO4kB3j2bIkwEAADgDAAAOAAAAAAAAAAEAIAAAACQBAABk&#10;cnMvZTJvRG9jLnhtbFBLBQYAAAAABgAGAFkBAAApBQAAAAA=&#10;">
                <v:fill on="f" focussize="0,0"/>
                <v:stroke on="f"/>
                <v:imagedata o:title=""/>
                <o:lock v:ext="edit" aspectratio="f"/>
                <v:textbox>
                  <w:txbxContent>
                    <w:p w14:paraId="5CE52629">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p w14:paraId="38233562">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w:t>
                      </w:r>
                    </w:p>
                  </w:txbxContent>
                </v:textbox>
              </v:rect>
            </w:pict>
          </mc:Fallback>
        </mc:AlternateContent>
      </w:r>
      <w:r>
        <w:rPr>
          <w:rFonts w:hint="eastAsia" w:hAnsi="宋体" w:eastAsia="宋体" w:cs="宋体"/>
          <w:color w:val="auto"/>
          <w:sz w:val="24"/>
          <w:szCs w:val="24"/>
          <w:highlight w:val="none"/>
        </w:rPr>
        <w:t>承包人未能按照合同约定履行各项义务或发生错误，给发包人造成损失，发包人可按照本条规定的时限和要求向承包人提出索赔。</w:t>
      </w:r>
    </w:p>
    <w:p w14:paraId="6B1A5077">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74.8  </w:t>
      </w:r>
      <w:r>
        <w:rPr>
          <w:rFonts w:hint="eastAsia" w:hAnsi="宋体" w:eastAsia="宋体" w:cs="宋体"/>
          <w:b/>
          <w:bCs/>
          <w:color w:val="auto"/>
          <w:sz w:val="24"/>
          <w:szCs w:val="24"/>
          <w:highlight w:val="none"/>
          <w:u w:val="dotted"/>
        </w:rPr>
        <w:t xml:space="preserve">                                                                                                        </w:t>
      </w:r>
    </w:p>
    <w:p w14:paraId="4F059565">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81824"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1341" name="000210"/>
                <wp:cNvGraphicFramePr/>
                <a:graphic xmlns:a="http://schemas.openxmlformats.org/drawingml/2006/main">
                  <a:graphicData uri="http://schemas.microsoft.com/office/word/2010/wordprocessingShape">
                    <wps:wsp>
                      <wps:cNvSpPr/>
                      <wps:spPr>
                        <a:xfrm>
                          <a:off x="0" y="0"/>
                          <a:ext cx="914400" cy="622300"/>
                        </a:xfrm>
                        <a:prstGeom prst="rect">
                          <a:avLst/>
                        </a:prstGeom>
                        <a:ln>
                          <a:noFill/>
                        </a:ln>
                      </wps:spPr>
                      <wps:txbx>
                        <w:txbxContent>
                          <w:p w14:paraId="18808526">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14:paraId="3D1E9B64">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整价款的确认与支付</w:t>
                            </w:r>
                          </w:p>
                        </w:txbxContent>
                      </wps:txbx>
                      <wps:bodyPr wrap="square"/>
                    </wps:wsp>
                  </a:graphicData>
                </a:graphic>
              </wp:anchor>
            </w:drawing>
          </mc:Choice>
          <mc:Fallback>
            <w:pict>
              <v:rect id="000210" o:spid="_x0000_s1026" o:spt="1" style="position:absolute;left:0pt;margin-left:-9pt;margin-top:1.45pt;height:49pt;width:72pt;z-index:251981824;mso-width-relative:page;mso-height-relative:page;" filled="f" stroked="f" coordsize="21600,21600" o:gfxdata="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hQ1H62QAAAAkBAAAPAAAAAAAAAAEAIAAAACIAAABk&#10;cnMvZG93bnJldi54bWxQSwECFAAUAAAACACHTuJAYBeij5MBAAA4AwAADgAAAAAAAAABACAAAAAo&#10;AQAAZHJzL2Uyb0RvYy54bWxQSwUGAAAAAAYABgBZAQAALQUAAAAA&#10;">
                <v:fill on="f" focussize="0,0"/>
                <v:stroke on="f"/>
                <v:imagedata o:title=""/>
                <o:lock v:ext="edit" aspectratio="f"/>
                <v:textbox>
                  <w:txbxContent>
                    <w:p w14:paraId="18808526">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14:paraId="3D1E9B64">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整价款的确认与支付</w:t>
                      </w:r>
                    </w:p>
                  </w:txbxContent>
                </v:textbox>
              </v:rect>
            </w:pict>
          </mc:Fallback>
        </mc:AlternateContent>
      </w:r>
      <w:r>
        <w:rPr>
          <w:rFonts w:hint="eastAsia" w:hAnsi="宋体" w:eastAsia="宋体" w:cs="宋体"/>
          <w:color w:val="auto"/>
          <w:sz w:val="24"/>
          <w:szCs w:val="24"/>
          <w:highlight w:val="none"/>
        </w:rPr>
        <w:t>费用索赔报告被认可，则表明该事件已索赔成功，合同双方当事人应确认由此引起调整的合同价款，并作为追加（减）合同价款，与工程进度款或结算款同期支付。</w:t>
      </w:r>
    </w:p>
    <w:p w14:paraId="6D7C5A7D">
      <w:pPr>
        <w:pStyle w:val="22"/>
        <w:adjustRightInd w:val="0"/>
        <w:snapToGrid w:val="0"/>
        <w:spacing w:line="300" w:lineRule="auto"/>
        <w:ind w:right="-238"/>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7D56743E">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175" w:name="_Toc469384059"/>
      <w:bookmarkStart w:id="176" w:name="_Toc46860880"/>
      <w:r>
        <w:rPr>
          <w:rFonts w:hint="eastAsia" w:hAnsi="宋体" w:eastAsia="宋体" w:cs="宋体"/>
          <w:b/>
          <w:bCs/>
          <w:color w:val="auto"/>
          <w:sz w:val="24"/>
          <w:szCs w:val="24"/>
          <w:highlight w:val="none"/>
        </w:rPr>
        <w:t>★75  现场签证事件</w:t>
      </w:r>
      <w:bookmarkEnd w:id="175"/>
      <w:bookmarkEnd w:id="176"/>
    </w:p>
    <w:p w14:paraId="09438E62">
      <w:pPr>
        <w:pStyle w:val="22"/>
        <w:adjustRightInd w:val="0"/>
        <w:snapToGrid w:val="0"/>
        <w:spacing w:line="300" w:lineRule="auto"/>
        <w:rPr>
          <w:rFonts w:hint="eastAsia"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75.1 </w:t>
      </w:r>
    </w:p>
    <w:p w14:paraId="2244FF09">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82848"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1342" name="000211"/>
                <wp:cNvGraphicFramePr/>
                <a:graphic xmlns:a="http://schemas.openxmlformats.org/drawingml/2006/main">
                  <a:graphicData uri="http://schemas.microsoft.com/office/word/2010/wordprocessingShape">
                    <wps:wsp>
                      <wps:cNvSpPr/>
                      <wps:spPr>
                        <a:xfrm>
                          <a:off x="0" y="0"/>
                          <a:ext cx="914400" cy="510540"/>
                        </a:xfrm>
                        <a:prstGeom prst="rect">
                          <a:avLst/>
                        </a:prstGeom>
                        <a:ln>
                          <a:noFill/>
                        </a:ln>
                      </wps:spPr>
                      <wps:txbx>
                        <w:txbxContent>
                          <w:p w14:paraId="0E3822C1">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14:paraId="0975C8BB">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场签证的价款调整</w:t>
                            </w:r>
                          </w:p>
                          <w:p w14:paraId="506035F7">
                            <w:pPr>
                              <w:rPr>
                                <w:rFonts w:hint="eastAsia"/>
                              </w:rPr>
                            </w:pPr>
                          </w:p>
                        </w:txbxContent>
                      </wps:txbx>
                      <wps:bodyPr wrap="square"/>
                    </wps:wsp>
                  </a:graphicData>
                </a:graphic>
              </wp:anchor>
            </w:drawing>
          </mc:Choice>
          <mc:Fallback>
            <w:pict>
              <v:rect id="000211" o:spid="_x0000_s1026" o:spt="1" style="position:absolute;left:0pt;margin-left:-9pt;margin-top:0.4pt;height:40.2pt;width:72pt;z-index:251982848;mso-width-relative:page;mso-height-relative:page;" filled="f" stroked="f" coordsize="21600,21600" o:gfxdata="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&#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EnfkhrVAAAABwEAAA8AAAAAAAAAAQAgAAAAIgAAAGRy&#10;cy9kb3ducmV2LnhtbFBLAQIUABQAAAAIAIdO4kAgKTz8lgEAADgDAAAOAAAAAAAAAAEAIAAAACQB&#10;AABkcnMvZTJvRG9jLnhtbFBLBQYAAAAABgAGAFkBAAAsBQAAAAA=&#10;">
                <v:fill on="f" focussize="0,0"/>
                <v:stroke on="f"/>
                <v:imagedata o:title=""/>
                <o:lock v:ext="edit" aspectratio="f"/>
                <v:textbox>
                  <w:txbxContent>
                    <w:p w14:paraId="0E3822C1">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14:paraId="0975C8BB">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场签证的价款调整</w:t>
                      </w:r>
                    </w:p>
                    <w:p w14:paraId="506035F7">
                      <w:pPr>
                        <w:rPr>
                          <w:rFonts w:hint="eastAsia"/>
                        </w:rPr>
                      </w:pPr>
                    </w:p>
                  </w:txbxContent>
                </v:textbox>
              </v:rect>
            </w:pict>
          </mc:Fallback>
        </mc:AlternateContent>
      </w:r>
      <w:r>
        <w:rPr>
          <w:rFonts w:hint="eastAsia" w:hAnsi="宋体" w:eastAsia="宋体" w:cs="宋体"/>
          <w:color w:val="auto"/>
          <w:sz w:val="24"/>
          <w:szCs w:val="24"/>
          <w:highlight w:val="none"/>
        </w:rPr>
        <w:t>现场签证是指合同双方当事人就施工过程中涉及的责任事件所作的签认证明。</w:t>
      </w:r>
    </w:p>
    <w:p w14:paraId="75878A23">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合同履行期间，出现现场签证事件的，合同双方当事人应调整合同价款。</w:t>
      </w:r>
    </w:p>
    <w:p w14:paraId="298267C1">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75.2  </w:t>
      </w:r>
      <w:r>
        <w:rPr>
          <w:rFonts w:hint="eastAsia" w:hAnsi="宋体" w:eastAsia="宋体" w:cs="宋体"/>
          <w:b/>
          <w:bCs/>
          <w:color w:val="auto"/>
          <w:sz w:val="24"/>
          <w:szCs w:val="24"/>
          <w:highlight w:val="none"/>
          <w:u w:val="dotted"/>
        </w:rPr>
        <w:t xml:space="preserve">                                                                          </w:t>
      </w:r>
    </w:p>
    <w:p w14:paraId="3EC9AC8A">
      <w:pPr>
        <w:pStyle w:val="22"/>
        <w:adjustRightInd w:val="0"/>
        <w:snapToGrid w:val="0"/>
        <w:spacing w:line="300" w:lineRule="auto"/>
        <w:ind w:left="1617" w:leftChars="770" w:firstLine="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83872"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1343" name="000212"/>
                <wp:cNvGraphicFramePr/>
                <a:graphic xmlns:a="http://schemas.openxmlformats.org/drawingml/2006/main">
                  <a:graphicData uri="http://schemas.microsoft.com/office/word/2010/wordprocessingShape">
                    <wps:wsp>
                      <wps:cNvSpPr/>
                      <wps:spPr>
                        <a:xfrm>
                          <a:off x="0" y="0"/>
                          <a:ext cx="914400" cy="510540"/>
                        </a:xfrm>
                        <a:prstGeom prst="rect">
                          <a:avLst/>
                        </a:prstGeom>
                        <a:ln>
                          <a:noFill/>
                        </a:ln>
                      </wps:spPr>
                      <wps:txbx>
                        <w:txbxContent>
                          <w:p w14:paraId="72053607">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14:paraId="5EBBE8C5">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场签证的提出</w:t>
                            </w:r>
                          </w:p>
                          <w:p w14:paraId="38117845">
                            <w:pPr>
                              <w:rPr>
                                <w:rFonts w:hint="eastAsia"/>
                              </w:rPr>
                            </w:pPr>
                          </w:p>
                        </w:txbxContent>
                      </wps:txbx>
                      <wps:bodyPr wrap="square"/>
                    </wps:wsp>
                  </a:graphicData>
                </a:graphic>
              </wp:anchor>
            </w:drawing>
          </mc:Choice>
          <mc:Fallback>
            <w:pict>
              <v:rect id="000212" o:spid="_x0000_s1026" o:spt="1" style="position:absolute;left:0pt;margin-left:-9pt;margin-top:1.45pt;height:40.2pt;width:72pt;z-index:251983872;mso-width-relative:page;mso-height-relative:page;" filled="f" stroked="f" coordsize="21600,21600" o:gfxdata="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K+uH/jYAAAACAEAAA8AAAAAAAAAAQAgAAAAIgAA&#10;AGRycy9kb3ducmV2LnhtbFBLAQIUABQAAAAIAIdO4kBpvnFjlgEAADgDAAAOAAAAAAAAAAEAIAAA&#10;ACcBAABkcnMvZTJvRG9jLnhtbFBLBQYAAAAABgAGAFkBAAAvBQAAAAA=&#10;">
                <v:fill on="f" focussize="0,0"/>
                <v:stroke on="f"/>
                <v:imagedata o:title=""/>
                <o:lock v:ext="edit" aspectratio="f"/>
                <v:textbox>
                  <w:txbxContent>
                    <w:p w14:paraId="72053607">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14:paraId="5EBBE8C5">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场签证的提出</w:t>
                      </w:r>
                    </w:p>
                    <w:p w14:paraId="38117845">
                      <w:pPr>
                        <w:rPr>
                          <w:rFonts w:hint="eastAsia"/>
                        </w:rPr>
                      </w:pPr>
                    </w:p>
                  </w:txbxContent>
                </v:textbox>
              </v:rect>
            </w:pict>
          </mc:Fallback>
        </mc:AlternateContent>
      </w:r>
      <w:r>
        <w:rPr>
          <w:rFonts w:hint="eastAsia" w:hAnsi="宋体" w:eastAsia="宋体" w:cs="宋体"/>
          <w:color w:val="auto"/>
          <w:sz w:val="24"/>
          <w:szCs w:val="24"/>
          <w:highlight w:val="none"/>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14:paraId="35822733">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75.3  </w:t>
      </w:r>
      <w:r>
        <w:rPr>
          <w:rFonts w:hint="eastAsia" w:hAnsi="宋体" w:eastAsia="宋体" w:cs="宋体"/>
          <w:b/>
          <w:bCs/>
          <w:color w:val="auto"/>
          <w:sz w:val="24"/>
          <w:szCs w:val="24"/>
          <w:highlight w:val="none"/>
          <w:u w:val="dotted"/>
        </w:rPr>
        <w:t xml:space="preserve">                                                                          </w:t>
      </w:r>
    </w:p>
    <w:p w14:paraId="34C54304">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84896"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1344" name="000213"/>
                <wp:cNvGraphicFramePr/>
                <a:graphic xmlns:a="http://schemas.openxmlformats.org/drawingml/2006/main">
                  <a:graphicData uri="http://schemas.microsoft.com/office/word/2010/wordprocessingShape">
                    <wps:wsp>
                      <wps:cNvSpPr/>
                      <wps:spPr>
                        <a:xfrm>
                          <a:off x="0" y="0"/>
                          <a:ext cx="914400" cy="510540"/>
                        </a:xfrm>
                        <a:prstGeom prst="rect">
                          <a:avLst/>
                        </a:prstGeom>
                        <a:ln>
                          <a:noFill/>
                        </a:ln>
                      </wps:spPr>
                      <wps:txbx>
                        <w:txbxContent>
                          <w:p w14:paraId="42EAD133">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14:paraId="3303FB8A">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场签证报告的确认</w:t>
                            </w:r>
                          </w:p>
                          <w:p w14:paraId="1060914D">
                            <w:pPr>
                              <w:rPr>
                                <w:rFonts w:hint="eastAsia"/>
                              </w:rPr>
                            </w:pPr>
                          </w:p>
                        </w:txbxContent>
                      </wps:txbx>
                      <wps:bodyPr wrap="square"/>
                    </wps:wsp>
                  </a:graphicData>
                </a:graphic>
              </wp:anchor>
            </w:drawing>
          </mc:Choice>
          <mc:Fallback>
            <w:pict>
              <v:rect id="000213" o:spid="_x0000_s1026" o:spt="1" style="position:absolute;left:0pt;margin-left:-9pt;margin-top:0.4pt;height:40.2pt;width:72pt;z-index:251984896;mso-width-relative:page;mso-height-relative:page;" filled="f" stroked="f" coordsize="21600,21600" o:gfxdata="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&#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EnfkhrVAAAABwEAAA8AAAAAAAAAAQAgAAAAIgAAAGRy&#10;cy9kb3ducmV2LnhtbFBLAQIUABQAAAAIAIdO4kB+cVJolgEAADgDAAAOAAAAAAAAAAEAIAAAACQB&#10;AABkcnMvZTJvRG9jLnhtbFBLBQYAAAAABgAGAFkBAAAsBQAAAAA=&#10;">
                <v:fill on="f" focussize="0,0"/>
                <v:stroke on="f"/>
                <v:imagedata o:title=""/>
                <o:lock v:ext="edit" aspectratio="f"/>
                <v:textbox>
                  <w:txbxContent>
                    <w:p w14:paraId="42EAD133">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14:paraId="3303FB8A">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场签证报告的确认</w:t>
                      </w:r>
                    </w:p>
                    <w:p w14:paraId="1060914D">
                      <w:pPr>
                        <w:rPr>
                          <w:rFonts w:hint="eastAsia"/>
                        </w:rPr>
                      </w:pPr>
                    </w:p>
                  </w:txbxContent>
                </v:textbox>
              </v:rect>
            </w:pict>
          </mc:Fallback>
        </mc:AlternateContent>
      </w:r>
      <w:r>
        <w:rPr>
          <w:rFonts w:hint="eastAsia" w:hAnsi="宋体" w:eastAsia="宋体" w:cs="宋体"/>
          <w:color w:val="auto"/>
          <w:sz w:val="24"/>
          <w:szCs w:val="24"/>
          <w:highlight w:val="none"/>
        </w:rPr>
        <w:t>除专用条款另有约定外，承包人应在收到监理工程师书面通知后的7天内，向发包人提交现场签证报告，并抄送监理工程师、造价工程师。发包人在收到承包人的现场签证报告后，应通知监理工程师、造价工程师对报告内容予以核实，并在收到现场签证报告后的48小时内予以确认或提出修改意见。发包人在收到承包人现场签证报告后的48小时内未确认也未提出修改意见的，视为承包人提交的现场签证报告已被认可。</w:t>
      </w:r>
    </w:p>
    <w:p w14:paraId="0C25CA83">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75.4  </w:t>
      </w:r>
      <w:r>
        <w:rPr>
          <w:rFonts w:hint="eastAsia" w:hAnsi="宋体" w:eastAsia="宋体" w:cs="宋体"/>
          <w:b/>
          <w:bCs/>
          <w:color w:val="auto"/>
          <w:sz w:val="24"/>
          <w:szCs w:val="24"/>
          <w:highlight w:val="none"/>
          <w:u w:val="dotted"/>
        </w:rPr>
        <w:t xml:space="preserve">                                                                          </w:t>
      </w:r>
    </w:p>
    <w:p w14:paraId="541F1DA5">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85920"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1345" name="000214"/>
                <wp:cNvGraphicFramePr/>
                <a:graphic xmlns:a="http://schemas.openxmlformats.org/drawingml/2006/main">
                  <a:graphicData uri="http://schemas.microsoft.com/office/word/2010/wordprocessingShape">
                    <wps:wsp>
                      <wps:cNvSpPr/>
                      <wps:spPr>
                        <a:xfrm>
                          <a:off x="0" y="0"/>
                          <a:ext cx="914400" cy="480059"/>
                        </a:xfrm>
                        <a:prstGeom prst="rect">
                          <a:avLst/>
                        </a:prstGeom>
                        <a:ln>
                          <a:noFill/>
                        </a:ln>
                      </wps:spPr>
                      <wps:txbx>
                        <w:txbxContent>
                          <w:p w14:paraId="2F41AEDA">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14:paraId="36BBA12A">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签证的要求</w:t>
                            </w:r>
                          </w:p>
                          <w:p w14:paraId="3FBD5E3C">
                            <w:pPr>
                              <w:pStyle w:val="22"/>
                              <w:adjustRightInd w:val="0"/>
                              <w:snapToGrid w:val="0"/>
                              <w:spacing w:line="360" w:lineRule="auto"/>
                              <w:rPr>
                                <w:rFonts w:ascii="Times New Roman" w:hAnsi="Times New Roman"/>
                                <w:b/>
                                <w:bCs/>
                                <w:sz w:val="18"/>
                                <w:szCs w:val="18"/>
                              </w:rPr>
                            </w:pPr>
                          </w:p>
                          <w:p w14:paraId="33E52F0F">
                            <w:pPr>
                              <w:rPr>
                                <w:rFonts w:hint="eastAsia"/>
                              </w:rPr>
                            </w:pPr>
                          </w:p>
                        </w:txbxContent>
                      </wps:txbx>
                      <wps:bodyPr wrap="square"/>
                    </wps:wsp>
                  </a:graphicData>
                </a:graphic>
              </wp:anchor>
            </w:drawing>
          </mc:Choice>
          <mc:Fallback>
            <w:pict>
              <v:rect id="000214" o:spid="_x0000_s1026" o:spt="1" style="position:absolute;left:0pt;margin-left:-9pt;margin-top:2.7pt;height:37.8pt;width:72pt;z-index:251985920;mso-width-relative:page;mso-height-relative:page;" filled="f" stroked="f" coordsize="21600,21600" o:gfxdata="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eQo1eNgAAAAIAQAADwAAAAAAAAABACAAAAAiAAAA&#10;ZHJzL2Rvd25yZXYueG1sUEsBAhQAFAAAAAgAh07iQK2u1/mVAQAAOAMAAA4AAAAAAAAAAQAgAAAA&#10;JwEAAGRycy9lMm9Eb2MueG1sUEsFBgAAAAAGAAYAWQEAAC4FAAAAAA==&#10;">
                <v:fill on="f" focussize="0,0"/>
                <v:stroke on="f"/>
                <v:imagedata o:title=""/>
                <o:lock v:ext="edit" aspectratio="f"/>
                <v:textbox>
                  <w:txbxContent>
                    <w:p w14:paraId="2F41AEDA">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14:paraId="36BBA12A">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签证的要求</w:t>
                      </w:r>
                    </w:p>
                    <w:p w14:paraId="3FBD5E3C">
                      <w:pPr>
                        <w:pStyle w:val="22"/>
                        <w:adjustRightInd w:val="0"/>
                        <w:snapToGrid w:val="0"/>
                        <w:spacing w:line="360" w:lineRule="auto"/>
                        <w:rPr>
                          <w:rFonts w:ascii="Times New Roman" w:hAnsi="Times New Roman"/>
                          <w:b/>
                          <w:bCs/>
                          <w:sz w:val="18"/>
                          <w:szCs w:val="18"/>
                        </w:rPr>
                      </w:pPr>
                    </w:p>
                    <w:p w14:paraId="33E52F0F">
                      <w:pPr>
                        <w:rPr>
                          <w:rFonts w:hint="eastAsia"/>
                        </w:rPr>
                      </w:pPr>
                    </w:p>
                  </w:txbxContent>
                </v:textbox>
              </v:rect>
            </w:pict>
          </mc:Fallback>
        </mc:AlternateContent>
      </w:r>
      <w:r>
        <w:rPr>
          <w:rFonts w:hint="eastAsia" w:hAnsi="宋体" w:eastAsia="宋体" w:cs="宋体"/>
          <w:color w:val="auto"/>
          <w:sz w:val="24"/>
          <w:szCs w:val="24"/>
          <w:highlight w:val="none"/>
        </w:rPr>
        <w:t>计日工有相应单价或合同中有适用单价的项目，合同双方当事人仅在现场签证报告中列明完成该类项目所需的人工、材料、工程设备和施工设备机械台班的数量。</w:t>
      </w:r>
    </w:p>
    <w:p w14:paraId="14EDCDCF">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计日工没有相应单价或合同中没有适用单价的项目，合同双方当事人应在现场签证报告中列明完成这类项目所需的人工、材料、工程设备和施工设备机械台班的数量和单价。</w:t>
      </w:r>
    </w:p>
    <w:p w14:paraId="148BC173">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75.5  </w:t>
      </w:r>
      <w:r>
        <w:rPr>
          <w:rFonts w:hint="eastAsia" w:hAnsi="宋体" w:eastAsia="宋体" w:cs="宋体"/>
          <w:b/>
          <w:bCs/>
          <w:color w:val="auto"/>
          <w:sz w:val="24"/>
          <w:szCs w:val="24"/>
          <w:highlight w:val="none"/>
          <w:u w:val="dotted"/>
        </w:rPr>
        <w:t xml:space="preserve">                                                                          </w:t>
      </w:r>
    </w:p>
    <w:p w14:paraId="28B3966B">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86944"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1346" name="000215"/>
                <wp:cNvGraphicFramePr/>
                <a:graphic xmlns:a="http://schemas.openxmlformats.org/drawingml/2006/main">
                  <a:graphicData uri="http://schemas.microsoft.com/office/word/2010/wordprocessingShape">
                    <wps:wsp>
                      <wps:cNvSpPr/>
                      <wps:spPr>
                        <a:xfrm>
                          <a:off x="0" y="0"/>
                          <a:ext cx="914400" cy="480059"/>
                        </a:xfrm>
                        <a:prstGeom prst="rect">
                          <a:avLst/>
                        </a:prstGeom>
                        <a:ln>
                          <a:noFill/>
                        </a:ln>
                      </wps:spPr>
                      <wps:txbx>
                        <w:txbxContent>
                          <w:p w14:paraId="42F6FDDD">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14:paraId="5A5EC062">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场签证工作的实施</w:t>
                            </w:r>
                          </w:p>
                          <w:p w14:paraId="2E18513E">
                            <w:pPr>
                              <w:pStyle w:val="22"/>
                              <w:adjustRightInd w:val="0"/>
                              <w:snapToGrid w:val="0"/>
                              <w:rPr>
                                <w:rFonts w:ascii="Times New Roman" w:hAnsi="Times New Roman"/>
                                <w:b/>
                                <w:bCs/>
                                <w:sz w:val="18"/>
                                <w:szCs w:val="18"/>
                              </w:rPr>
                            </w:pPr>
                          </w:p>
                          <w:p w14:paraId="1046506D">
                            <w:pPr>
                              <w:pStyle w:val="22"/>
                              <w:adjustRightInd w:val="0"/>
                              <w:snapToGrid w:val="0"/>
                              <w:spacing w:line="360" w:lineRule="auto"/>
                              <w:rPr>
                                <w:rFonts w:ascii="Times New Roman" w:hAnsi="Times New Roman"/>
                                <w:b/>
                                <w:bCs/>
                                <w:sz w:val="18"/>
                                <w:szCs w:val="18"/>
                              </w:rPr>
                            </w:pPr>
                          </w:p>
                          <w:p w14:paraId="4B6784BD">
                            <w:pPr>
                              <w:rPr>
                                <w:rFonts w:hint="eastAsia"/>
                              </w:rPr>
                            </w:pPr>
                          </w:p>
                        </w:txbxContent>
                      </wps:txbx>
                      <wps:bodyPr wrap="square"/>
                    </wps:wsp>
                  </a:graphicData>
                </a:graphic>
              </wp:anchor>
            </w:drawing>
          </mc:Choice>
          <mc:Fallback>
            <w:pict>
              <v:rect id="000215" o:spid="_x0000_s1026" o:spt="1" style="position:absolute;left:0pt;margin-left:-9pt;margin-top:6.1pt;height:37.8pt;width:72pt;z-index:251986944;mso-width-relative:page;mso-height-relative:page;" filled="f" stroked="f" coordsize="21600,21600" o:gfxdata="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HXzdQ3ZAAAACQEAAA8AAAAAAAAAAQAgAAAAIgAA&#10;AGRycy9kb3ducmV2LnhtbFBLAQIUABQAAAAIAIdO4kCCguCzlQEAADgDAAAOAAAAAAAAAAEAIAAA&#10;ACgBAABkcnMvZTJvRG9jLnhtbFBLBQYAAAAABgAGAFkBAAAvBQAAAAA=&#10;">
                <v:fill on="f" focussize="0,0"/>
                <v:stroke on="f"/>
                <v:imagedata o:title=""/>
                <o:lock v:ext="edit" aspectratio="f"/>
                <v:textbox>
                  <w:txbxContent>
                    <w:p w14:paraId="42F6FDDD">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14:paraId="5A5EC062">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场签证工作的实施</w:t>
                      </w:r>
                    </w:p>
                    <w:p w14:paraId="2E18513E">
                      <w:pPr>
                        <w:pStyle w:val="22"/>
                        <w:adjustRightInd w:val="0"/>
                        <w:snapToGrid w:val="0"/>
                        <w:rPr>
                          <w:rFonts w:ascii="Times New Roman" w:hAnsi="Times New Roman"/>
                          <w:b/>
                          <w:bCs/>
                          <w:sz w:val="18"/>
                          <w:szCs w:val="18"/>
                        </w:rPr>
                      </w:pPr>
                    </w:p>
                    <w:p w14:paraId="1046506D">
                      <w:pPr>
                        <w:pStyle w:val="22"/>
                        <w:adjustRightInd w:val="0"/>
                        <w:snapToGrid w:val="0"/>
                        <w:spacing w:line="360" w:lineRule="auto"/>
                        <w:rPr>
                          <w:rFonts w:ascii="Times New Roman" w:hAnsi="Times New Roman"/>
                          <w:b/>
                          <w:bCs/>
                          <w:sz w:val="18"/>
                          <w:szCs w:val="18"/>
                        </w:rPr>
                      </w:pPr>
                    </w:p>
                    <w:p w14:paraId="4B6784BD">
                      <w:pPr>
                        <w:rPr>
                          <w:rFonts w:hint="eastAsia"/>
                        </w:rPr>
                      </w:pPr>
                    </w:p>
                  </w:txbxContent>
                </v:textbox>
              </v:rect>
            </w:pict>
          </mc:Fallback>
        </mc:AlternateContent>
      </w:r>
      <w:r>
        <w:rPr>
          <w:rFonts w:hint="eastAsia" w:hAnsi="宋体" w:eastAsia="宋体" w:cs="宋体"/>
          <w:color w:val="auto"/>
          <w:sz w:val="24"/>
          <w:szCs w:val="24"/>
          <w:highlight w:val="none"/>
        </w:rPr>
        <w:t>承包人应在发包人确认现场签证报告后的48小时内，按照监理工程师发出的工作指令及时组织实施相关工作。否则，由此引起的损失和（或）延误的工期由承包人承担。</w:t>
      </w:r>
    </w:p>
    <w:p w14:paraId="4766AD3F">
      <w:pPr>
        <w:pStyle w:val="22"/>
        <w:adjustRightInd w:val="0"/>
        <w:snapToGrid w:val="0"/>
        <w:spacing w:line="300" w:lineRule="auto"/>
        <w:rPr>
          <w:rFonts w:hint="eastAsia"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75.6  </w:t>
      </w:r>
      <w:r>
        <w:rPr>
          <w:rFonts w:hint="eastAsia" w:hAnsi="宋体" w:eastAsia="宋体" w:cs="宋体"/>
          <w:b/>
          <w:bCs/>
          <w:color w:val="auto"/>
          <w:sz w:val="24"/>
          <w:szCs w:val="24"/>
          <w:highlight w:val="none"/>
          <w:u w:val="dotted"/>
        </w:rPr>
        <w:t xml:space="preserve">                                                                           </w:t>
      </w:r>
    </w:p>
    <w:p w14:paraId="259127D1">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87968"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1347" name="000216"/>
                <wp:cNvGraphicFramePr/>
                <a:graphic xmlns:a="http://schemas.openxmlformats.org/drawingml/2006/main">
                  <a:graphicData uri="http://schemas.microsoft.com/office/word/2010/wordprocessingShape">
                    <wps:wsp>
                      <wps:cNvSpPr/>
                      <wps:spPr>
                        <a:xfrm>
                          <a:off x="0" y="0"/>
                          <a:ext cx="914400" cy="480059"/>
                        </a:xfrm>
                        <a:prstGeom prst="rect">
                          <a:avLst/>
                        </a:prstGeom>
                        <a:ln>
                          <a:noFill/>
                        </a:ln>
                      </wps:spPr>
                      <wps:txbx>
                        <w:txbxContent>
                          <w:p w14:paraId="126EB535">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14:paraId="663E6017">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签证的限制</w:t>
                            </w:r>
                          </w:p>
                          <w:p w14:paraId="78E3041D">
                            <w:pPr>
                              <w:pStyle w:val="16"/>
                              <w:spacing w:line="200" w:lineRule="exact"/>
                              <w:ind w:left="5250"/>
                              <w:rPr>
                                <w:rFonts w:hint="eastAsia" w:ascii="楷体_GB2312" w:hAnsi="宋体" w:eastAsia="楷体_GB2312"/>
                                <w:b/>
                                <w:bCs/>
                                <w:color w:val="000000"/>
                                <w:sz w:val="18"/>
                                <w:szCs w:val="18"/>
                              </w:rPr>
                            </w:pPr>
                          </w:p>
                          <w:p w14:paraId="591151DA">
                            <w:pPr>
                              <w:pStyle w:val="22"/>
                              <w:adjustRightInd w:val="0"/>
                              <w:snapToGrid w:val="0"/>
                              <w:spacing w:line="360" w:lineRule="auto"/>
                              <w:rPr>
                                <w:rFonts w:ascii="Times New Roman" w:hAnsi="Times New Roman"/>
                                <w:b/>
                                <w:bCs/>
                                <w:sz w:val="18"/>
                                <w:szCs w:val="18"/>
                              </w:rPr>
                            </w:pPr>
                          </w:p>
                          <w:p w14:paraId="7353266A">
                            <w:pPr>
                              <w:rPr>
                                <w:rFonts w:hint="eastAsia"/>
                              </w:rPr>
                            </w:pPr>
                          </w:p>
                        </w:txbxContent>
                      </wps:txbx>
                      <wps:bodyPr wrap="square"/>
                    </wps:wsp>
                  </a:graphicData>
                </a:graphic>
              </wp:anchor>
            </w:drawing>
          </mc:Choice>
          <mc:Fallback>
            <w:pict>
              <v:rect id="000216" o:spid="_x0000_s1026" o:spt="1" style="position:absolute;left:0pt;margin-left:-9pt;margin-top:6.1pt;height:37.8pt;width:72pt;z-index:251987968;mso-width-relative:page;mso-height-relative:page;" filled="f" stroked="f" coordsize="21600,21600" o:gfxdata="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183UN2QAAAAkBAAAPAAAAAAAAAAEAIAAAACIA&#10;AABkcnMvZG93bnJldi54bWxQSwECFAAUAAAACACHTuJAyxWtLJYBAAA4AwAADgAAAAAAAAABACAA&#10;AAAoAQAAZHJzL2Uyb0RvYy54bWxQSwUGAAAAAAYABgBZAQAAMAUAAAAA&#10;">
                <v:fill on="f" focussize="0,0"/>
                <v:stroke on="f"/>
                <v:imagedata o:title=""/>
                <o:lock v:ext="edit" aspectratio="f"/>
                <v:textbox>
                  <w:txbxContent>
                    <w:p w14:paraId="126EB535">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14:paraId="663E6017">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签证的限制</w:t>
                      </w:r>
                    </w:p>
                    <w:p w14:paraId="78E3041D">
                      <w:pPr>
                        <w:pStyle w:val="16"/>
                        <w:spacing w:line="200" w:lineRule="exact"/>
                        <w:ind w:left="5250"/>
                        <w:rPr>
                          <w:rFonts w:hint="eastAsia" w:ascii="楷体_GB2312" w:hAnsi="宋体" w:eastAsia="楷体_GB2312"/>
                          <w:b/>
                          <w:bCs/>
                          <w:color w:val="000000"/>
                          <w:sz w:val="18"/>
                          <w:szCs w:val="18"/>
                        </w:rPr>
                      </w:pPr>
                    </w:p>
                    <w:p w14:paraId="591151DA">
                      <w:pPr>
                        <w:pStyle w:val="22"/>
                        <w:adjustRightInd w:val="0"/>
                        <w:snapToGrid w:val="0"/>
                        <w:spacing w:line="360" w:lineRule="auto"/>
                        <w:rPr>
                          <w:rFonts w:ascii="Times New Roman" w:hAnsi="Times New Roman"/>
                          <w:b/>
                          <w:bCs/>
                          <w:sz w:val="18"/>
                          <w:szCs w:val="18"/>
                        </w:rPr>
                      </w:pPr>
                    </w:p>
                    <w:p w14:paraId="7353266A">
                      <w:pPr>
                        <w:rPr>
                          <w:rFonts w:hint="eastAsia"/>
                        </w:rPr>
                      </w:pPr>
                    </w:p>
                  </w:txbxContent>
                </v:textbox>
              </v:rect>
            </w:pict>
          </mc:Fallback>
        </mc:AlternateContent>
      </w:r>
      <w:r>
        <w:rPr>
          <w:rFonts w:hint="eastAsia" w:hAnsi="宋体" w:eastAsia="宋体" w:cs="宋体"/>
          <w:color w:val="auto"/>
          <w:sz w:val="24"/>
          <w:szCs w:val="24"/>
          <w:highlight w:val="none"/>
        </w:rPr>
        <w:t>合同工程发生现场签证事件，未经发包人签证、确认，承包人便擅自实施相关工作的，除非征得发包人同意，否则发生的费用由承包人承担。</w:t>
      </w:r>
    </w:p>
    <w:p w14:paraId="173915CD">
      <w:pPr>
        <w:pStyle w:val="22"/>
        <w:adjustRightInd w:val="0"/>
        <w:snapToGrid w:val="0"/>
        <w:spacing w:line="300" w:lineRule="auto"/>
        <w:rPr>
          <w:rFonts w:hint="eastAsia"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75.7  </w:t>
      </w:r>
      <w:r>
        <w:rPr>
          <w:rFonts w:hint="eastAsia" w:hAnsi="宋体" w:eastAsia="宋体" w:cs="宋体"/>
          <w:b/>
          <w:bCs/>
          <w:color w:val="auto"/>
          <w:sz w:val="24"/>
          <w:szCs w:val="24"/>
          <w:highlight w:val="none"/>
          <w:u w:val="dotted"/>
        </w:rPr>
        <w:t xml:space="preserve">                                                                           </w:t>
      </w:r>
    </w:p>
    <w:p w14:paraId="0EBAE7B9">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88992"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1348" name="000217"/>
                <wp:cNvGraphicFramePr/>
                <a:graphic xmlns:a="http://schemas.openxmlformats.org/drawingml/2006/main">
                  <a:graphicData uri="http://schemas.microsoft.com/office/word/2010/wordprocessingShape">
                    <wps:wsp>
                      <wps:cNvSpPr/>
                      <wps:spPr>
                        <a:xfrm>
                          <a:off x="0" y="0"/>
                          <a:ext cx="914400" cy="480059"/>
                        </a:xfrm>
                        <a:prstGeom prst="rect">
                          <a:avLst/>
                        </a:prstGeom>
                        <a:ln>
                          <a:noFill/>
                        </a:ln>
                      </wps:spPr>
                      <wps:txbx>
                        <w:txbxContent>
                          <w:p w14:paraId="4D4D9C6D">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14:paraId="294F087B">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整价款的确认与支付</w:t>
                            </w:r>
                          </w:p>
                          <w:p w14:paraId="37A7C3A7">
                            <w:pPr>
                              <w:pStyle w:val="22"/>
                              <w:adjustRightInd w:val="0"/>
                              <w:snapToGrid w:val="0"/>
                              <w:rPr>
                                <w:rFonts w:ascii="Times New Roman" w:hAnsi="Times New Roman"/>
                                <w:b/>
                                <w:bCs/>
                                <w:sz w:val="18"/>
                                <w:szCs w:val="18"/>
                              </w:rPr>
                            </w:pPr>
                          </w:p>
                          <w:p w14:paraId="40D8A0D7">
                            <w:pPr>
                              <w:pStyle w:val="22"/>
                              <w:adjustRightInd w:val="0"/>
                              <w:snapToGrid w:val="0"/>
                              <w:spacing w:line="360" w:lineRule="auto"/>
                              <w:rPr>
                                <w:rFonts w:ascii="Times New Roman" w:hAnsi="Times New Roman"/>
                                <w:b/>
                                <w:bCs/>
                                <w:sz w:val="18"/>
                                <w:szCs w:val="18"/>
                              </w:rPr>
                            </w:pPr>
                          </w:p>
                          <w:p w14:paraId="0D3DF91A">
                            <w:pPr>
                              <w:rPr>
                                <w:rFonts w:hint="eastAsia"/>
                              </w:rPr>
                            </w:pPr>
                          </w:p>
                        </w:txbxContent>
                      </wps:txbx>
                      <wps:bodyPr wrap="square"/>
                    </wps:wsp>
                  </a:graphicData>
                </a:graphic>
              </wp:anchor>
            </w:drawing>
          </mc:Choice>
          <mc:Fallback>
            <w:pict>
              <v:rect id="000217" o:spid="_x0000_s1026" o:spt="1" style="position:absolute;left:0pt;margin-left:-9pt;margin-top:6.1pt;height:37.8pt;width:72pt;z-index:251988992;mso-width-relative:page;mso-height-relative:page;" filled="f" stroked="f" coordsize="21600,21600" o:gfxdata="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HXzdQ3ZAAAACQEAAA8AAAAAAAAAAQAgAAAAIgAA&#10;AGRycy9kb3ducmV2LnhtbFBLAQIUABQAAAAIAIdO4kCsHKellQEAADgDAAAOAAAAAAAAAAEAIAAA&#10;ACgBAABkcnMvZTJvRG9jLnhtbFBLBQYAAAAABgAGAFkBAAAvBQAAAAA=&#10;">
                <v:fill on="f" focussize="0,0"/>
                <v:stroke on="f"/>
                <v:imagedata o:title=""/>
                <o:lock v:ext="edit" aspectratio="f"/>
                <v:textbox>
                  <w:txbxContent>
                    <w:p w14:paraId="4D4D9C6D">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14:paraId="294F087B">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整价款的确认与支付</w:t>
                      </w:r>
                    </w:p>
                    <w:p w14:paraId="37A7C3A7">
                      <w:pPr>
                        <w:pStyle w:val="22"/>
                        <w:adjustRightInd w:val="0"/>
                        <w:snapToGrid w:val="0"/>
                        <w:rPr>
                          <w:rFonts w:ascii="Times New Roman" w:hAnsi="Times New Roman"/>
                          <w:b/>
                          <w:bCs/>
                          <w:sz w:val="18"/>
                          <w:szCs w:val="18"/>
                        </w:rPr>
                      </w:pPr>
                    </w:p>
                    <w:p w14:paraId="40D8A0D7">
                      <w:pPr>
                        <w:pStyle w:val="22"/>
                        <w:adjustRightInd w:val="0"/>
                        <w:snapToGrid w:val="0"/>
                        <w:spacing w:line="360" w:lineRule="auto"/>
                        <w:rPr>
                          <w:rFonts w:ascii="Times New Roman" w:hAnsi="Times New Roman"/>
                          <w:b/>
                          <w:bCs/>
                          <w:sz w:val="18"/>
                          <w:szCs w:val="18"/>
                        </w:rPr>
                      </w:pPr>
                    </w:p>
                    <w:p w14:paraId="0D3DF91A">
                      <w:pPr>
                        <w:rPr>
                          <w:rFonts w:hint="eastAsia"/>
                        </w:rPr>
                      </w:pPr>
                    </w:p>
                  </w:txbxContent>
                </v:textbox>
              </v:rect>
            </w:pict>
          </mc:Fallback>
        </mc:AlternateContent>
      </w:r>
      <w:r>
        <w:rPr>
          <w:rFonts w:hint="eastAsia" w:hAnsi="宋体" w:eastAsia="宋体" w:cs="宋体"/>
          <w:color w:val="auto"/>
          <w:sz w:val="24"/>
          <w:szCs w:val="24"/>
          <w:highlight w:val="none"/>
        </w:rPr>
        <w:t>现场签证工作完成后的48小时内，合同双方当事人应确认由此引起调整的合同价款，并作为追加合同价款，与工程进度款同期支付。</w:t>
      </w:r>
    </w:p>
    <w:p w14:paraId="7A44F9E2">
      <w:pPr>
        <w:pStyle w:val="22"/>
        <w:adjustRightInd w:val="0"/>
        <w:snapToGrid w:val="0"/>
        <w:spacing w:line="300" w:lineRule="auto"/>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42BA2AEE">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177" w:name="_Toc469384060"/>
      <w:bookmarkStart w:id="178" w:name="_Toc46860881"/>
      <w:r>
        <w:rPr>
          <w:rFonts w:hint="eastAsia" w:hAnsi="宋体" w:eastAsia="宋体" w:cs="宋体"/>
          <w:b/>
          <w:bCs/>
          <w:color w:val="auto"/>
          <w:sz w:val="24"/>
          <w:szCs w:val="24"/>
          <w:highlight w:val="none"/>
        </w:rPr>
        <w:t>★76  物价涨落事件</w:t>
      </w:r>
      <w:bookmarkEnd w:id="177"/>
      <w:bookmarkEnd w:id="178"/>
    </w:p>
    <w:p w14:paraId="2B365BAE">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90016"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1349" name="000218"/>
                <wp:cNvGraphicFramePr/>
                <a:graphic xmlns:a="http://schemas.openxmlformats.org/drawingml/2006/main">
                  <a:graphicData uri="http://schemas.microsoft.com/office/word/2010/wordprocessingShape">
                    <wps:wsp>
                      <wps:cNvSpPr/>
                      <wps:spPr>
                        <a:xfrm>
                          <a:off x="0" y="0"/>
                          <a:ext cx="914400" cy="591185"/>
                        </a:xfrm>
                        <a:prstGeom prst="rect">
                          <a:avLst/>
                        </a:prstGeom>
                        <a:ln>
                          <a:noFill/>
                        </a:ln>
                      </wps:spPr>
                      <wps:txbx>
                        <w:txbxContent>
                          <w:p w14:paraId="388B8092">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p w14:paraId="6A1D6F9F">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价涨落的价款调整</w:t>
                            </w:r>
                          </w:p>
                        </w:txbxContent>
                      </wps:txbx>
                      <wps:bodyPr wrap="square"/>
                    </wps:wsp>
                  </a:graphicData>
                </a:graphic>
              </wp:anchor>
            </w:drawing>
          </mc:Choice>
          <mc:Fallback>
            <w:pict>
              <v:rect id="000218" o:spid="_x0000_s1026" o:spt="1" style="position:absolute;left:0pt;margin-left:-9pt;margin-top:21.6pt;height:46.55pt;width:72pt;z-index:251990016;mso-width-relative:page;mso-height-relative:page;" filled="f" stroked="f" coordsize="21600,21600" o:gfxdata="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2VdVHNoAAAAKAQAADwAAAAAAAAABACAAAAAi&#10;AAAAZHJzL2Rvd25yZXYueG1sUEsBAhQAFAAAAAgAh07iQE7wlH2WAQAAOAMAAA4AAAAAAAAAAQAg&#10;AAAAKQEAAGRycy9lMm9Eb2MueG1sUEsFBgAAAAAGAAYAWQEAADEFAAAAAA==&#10;">
                <v:fill on="f" focussize="0,0"/>
                <v:stroke on="f"/>
                <v:imagedata o:title=""/>
                <o:lock v:ext="edit" aspectratio="f"/>
                <v:textbox>
                  <w:txbxContent>
                    <w:p w14:paraId="388B8092">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p w14:paraId="6A1D6F9F">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价涨落的价款调整</w:t>
                      </w:r>
                    </w:p>
                  </w:txbxContent>
                </v:textbox>
              </v:rect>
            </w:pict>
          </mc:Fallback>
        </mc:AlternateContent>
      </w:r>
      <w:r>
        <w:rPr>
          <w:rFonts w:hint="eastAsia" w:hAnsi="宋体" w:eastAsia="宋体" w:cs="宋体"/>
          <w:b/>
          <w:bCs/>
          <w:color w:val="auto"/>
          <w:sz w:val="24"/>
          <w:szCs w:val="24"/>
          <w:highlight w:val="none"/>
        </w:rPr>
        <w:t xml:space="preserve">76.1      </w:t>
      </w:r>
    </w:p>
    <w:p w14:paraId="354B95C5">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合同履行期间，除专用合同条款另有约定外，市场价格波动超过合同当事人约定的范围，合同价格应当调整。合同当事人可以在专用条款中约定按通用条款76.3款选择一种方式对合同价格进行调整。</w:t>
      </w:r>
    </w:p>
    <w:p w14:paraId="4B833CF3">
      <w:pPr>
        <w:spacing w:line="30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012E6E6">
      <w:pPr>
        <w:pStyle w:val="22"/>
        <w:tabs>
          <w:tab w:val="left" w:pos="540"/>
        </w:tabs>
        <w:adjustRightInd w:val="0"/>
        <w:snapToGrid w:val="0"/>
        <w:spacing w:line="300" w:lineRule="auto"/>
        <w:rPr>
          <w:rFonts w:hint="eastAsia" w:hAnsi="宋体" w:eastAsia="宋体" w:cs="宋体"/>
          <w:b/>
          <w:bCs/>
          <w:color w:val="auto"/>
          <w:sz w:val="24"/>
          <w:szCs w:val="24"/>
          <w:highlight w:val="none"/>
          <w:u w:val="dotted"/>
        </w:rPr>
      </w:pPr>
      <w:r>
        <w:rPr>
          <w:rFonts w:hint="eastAsia" w:hAnsi="宋体" w:eastAsia="宋体" w:cs="宋体"/>
          <w:color w:val="auto"/>
          <w:sz w:val="24"/>
          <w:szCs w:val="24"/>
          <w:highlight w:val="none"/>
        </w:rPr>
        <mc:AlternateContent>
          <mc:Choice Requires="wps">
            <w:drawing>
              <wp:anchor distT="0" distB="0" distL="0" distR="0" simplePos="0" relativeHeight="251991040"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1350" name="000219"/>
                <wp:cNvGraphicFramePr/>
                <a:graphic xmlns:a="http://schemas.openxmlformats.org/drawingml/2006/main">
                  <a:graphicData uri="http://schemas.microsoft.com/office/word/2010/wordprocessingShape">
                    <wps:wsp>
                      <wps:cNvSpPr/>
                      <wps:spPr>
                        <a:xfrm>
                          <a:off x="0" y="0"/>
                          <a:ext cx="914400" cy="619125"/>
                        </a:xfrm>
                        <a:prstGeom prst="rect">
                          <a:avLst/>
                        </a:prstGeom>
                        <a:ln>
                          <a:noFill/>
                        </a:ln>
                      </wps:spPr>
                      <wps:txbx>
                        <w:txbxContent>
                          <w:p w14:paraId="4096FC9F">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p w14:paraId="101BBE97">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工费的调整方法</w:t>
                            </w:r>
                          </w:p>
                        </w:txbxContent>
                      </wps:txbx>
                      <wps:bodyPr wrap="square"/>
                    </wps:wsp>
                  </a:graphicData>
                </a:graphic>
              </wp:anchor>
            </w:drawing>
          </mc:Choice>
          <mc:Fallback>
            <w:pict>
              <v:rect id="000219" o:spid="_x0000_s1026" o:spt="1" style="position:absolute;left:0pt;margin-left:-10.5pt;margin-top:19.5pt;height:48.75pt;width:72pt;z-index:251991040;mso-width-relative:page;mso-height-relative:page;" filled="f" stroked="f" coordsize="21600,21600" o:gfxdata="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rqlKm2gAAAAoBAAAPAAAAAAAAAAEAIAAAACIA&#10;AABkcnMvZG93bnJldi54bWxQSwECFAAUAAAACACHTuJAfk291ZUBAAA4AwAADgAAAAAAAAABACAA&#10;AAApAQAAZHJzL2Uyb0RvYy54bWxQSwUGAAAAAAYABgBZAQAAMAUAAAAA&#10;">
                <v:fill on="f" focussize="0,0"/>
                <v:stroke on="f"/>
                <v:imagedata o:title=""/>
                <o:lock v:ext="edit" aspectratio="f"/>
                <v:textbox>
                  <w:txbxContent>
                    <w:p w14:paraId="4096FC9F">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p w14:paraId="101BBE97">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工费的调整方法</w:t>
                      </w:r>
                    </w:p>
                  </w:txbxContent>
                </v:textbox>
              </v:rect>
            </w:pict>
          </mc:Fallback>
        </mc:AlternateContent>
      </w:r>
      <w:r>
        <w:rPr>
          <w:rFonts w:hint="eastAsia" w:hAnsi="宋体" w:eastAsia="宋体" w:cs="宋体"/>
          <w:b/>
          <w:bCs/>
          <w:color w:val="auto"/>
          <w:sz w:val="24"/>
          <w:szCs w:val="24"/>
          <w:highlight w:val="none"/>
        </w:rPr>
        <w:t xml:space="preserve">76.2  </w:t>
      </w:r>
      <w:r>
        <w:rPr>
          <w:rFonts w:hint="eastAsia" w:hAnsi="宋体" w:eastAsia="宋体" w:cs="宋体"/>
          <w:b/>
          <w:bCs/>
          <w:color w:val="auto"/>
          <w:sz w:val="24"/>
          <w:szCs w:val="24"/>
          <w:highlight w:val="none"/>
          <w:u w:val="dotted"/>
        </w:rPr>
        <w:t xml:space="preserve">                                                                                                        </w:t>
      </w:r>
    </w:p>
    <w:p w14:paraId="39DAB6B9">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执行第76.3款“第1种方式：采用造价信息进行价格调整”规定的，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14:paraId="31D93592">
      <w:pPr>
        <w:pStyle w:val="22"/>
        <w:tabs>
          <w:tab w:val="left" w:pos="540"/>
        </w:tabs>
        <w:adjustRightInd w:val="0"/>
        <w:snapToGrid w:val="0"/>
        <w:spacing w:line="300" w:lineRule="auto"/>
        <w:rPr>
          <w:rFonts w:hint="eastAsia"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76.3  </w:t>
      </w:r>
      <w:r>
        <w:rPr>
          <w:rFonts w:hint="eastAsia" w:hAnsi="宋体" w:eastAsia="宋体" w:cs="宋体"/>
          <w:b/>
          <w:bCs/>
          <w:color w:val="auto"/>
          <w:sz w:val="24"/>
          <w:szCs w:val="24"/>
          <w:highlight w:val="none"/>
          <w:u w:val="dotted"/>
        </w:rPr>
        <w:t xml:space="preserve">                                                                                                        </w:t>
      </w:r>
    </w:p>
    <w:p w14:paraId="3D158D07">
      <w:pPr>
        <w:spacing w:line="30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992064"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1351" name="00021a"/>
                <wp:cNvGraphicFramePr/>
                <a:graphic xmlns:a="http://schemas.openxmlformats.org/drawingml/2006/main">
                  <a:graphicData uri="http://schemas.microsoft.com/office/word/2010/wordprocessingShape">
                    <wps:wsp>
                      <wps:cNvSpPr/>
                      <wps:spPr>
                        <a:xfrm>
                          <a:off x="0" y="0"/>
                          <a:ext cx="914400" cy="1003300"/>
                        </a:xfrm>
                        <a:prstGeom prst="rect">
                          <a:avLst/>
                        </a:prstGeom>
                        <a:ln>
                          <a:noFill/>
                        </a:ln>
                      </wps:spPr>
                      <wps:txbx>
                        <w:txbxContent>
                          <w:p w14:paraId="189F2F58">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p w14:paraId="5F3AE486">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包人采购材料和工程设备的材料设备费、施工机械费调 整方法</w:t>
                            </w:r>
                          </w:p>
                        </w:txbxContent>
                      </wps:txbx>
                      <wps:bodyPr wrap="square"/>
                    </wps:wsp>
                  </a:graphicData>
                </a:graphic>
              </wp:anchor>
            </w:drawing>
          </mc:Choice>
          <mc:Fallback>
            <w:pict>
              <v:rect id="00021a" o:spid="_x0000_s1026" o:spt="1" style="position:absolute;left:0pt;margin-left:-9pt;margin-top:1.25pt;height:79pt;width:72pt;z-index:251992064;mso-width-relative:page;mso-height-relative:page;" filled="f" stroked="f" coordsize="21600,21600" o:gfxdata="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AGtUF7ZAAAACQEAAA8AAAAAAAAAAQAgAAAAIgAA&#10;AGRycy9kb3ducmV2LnhtbFBLAQIUABQAAAAIAIdO4kD+Rv4jlQEAADkDAAAOAAAAAAAAAAEAIAAA&#10;ACgBAABkcnMvZTJvRG9jLnhtbFBLBQYAAAAABgAGAFkBAAAvBQAAAAA=&#10;">
                <v:fill on="f" focussize="0,0"/>
                <v:stroke on="f"/>
                <v:imagedata o:title=""/>
                <o:lock v:ext="edit" aspectratio="f"/>
                <v:textbox>
                  <w:txbxContent>
                    <w:p w14:paraId="189F2F58">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p w14:paraId="5F3AE486">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包人采购材料和工程设备的材料设备费、施工机械费调 整方法</w:t>
                      </w:r>
                    </w:p>
                  </w:txbxContent>
                </v:textbox>
              </v:rect>
            </w:pict>
          </mc:Fallback>
        </mc:AlternateContent>
      </w:r>
      <w:r>
        <w:rPr>
          <w:rFonts w:hint="eastAsia" w:ascii="宋体" w:hAnsi="宋体" w:eastAsia="宋体" w:cs="宋体"/>
          <w:color w:val="auto"/>
          <w:sz w:val="24"/>
          <w:highlight w:val="none"/>
        </w:rPr>
        <w:t xml:space="preserve">         第1种方式：采用造价信息进行价格调整。</w:t>
      </w:r>
    </w:p>
    <w:p w14:paraId="7017B48E">
      <w:pPr>
        <w:spacing w:line="300" w:lineRule="auto"/>
        <w:ind w:left="1438" w:leftChars="685"/>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14:paraId="6BA7B0BB">
      <w:pPr>
        <w:spacing w:line="300" w:lineRule="auto"/>
        <w:ind w:left="1559" w:leftChars="628"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（1）材料、工程设备价格变化的价款调整按照发包人提供的基准价格，按以下风险范围规定执行：</w:t>
      </w:r>
    </w:p>
    <w:p w14:paraId="4E58FBED">
      <w:pPr>
        <w:spacing w:line="300" w:lineRule="auto"/>
        <w:ind w:left="1514" w:leftChars="721"/>
        <w:rPr>
          <w:rFonts w:hint="eastAsia" w:ascii="宋体" w:hAnsi="宋体" w:eastAsia="宋体" w:cs="宋体"/>
          <w:color w:val="auto"/>
          <w:sz w:val="24"/>
          <w:highlight w:val="none"/>
        </w:rPr>
      </w:pPr>
      <w:r>
        <w:rPr>
          <w:rFonts w:hint="eastAsia" w:ascii="宋体" w:hAnsi="宋体" w:eastAsia="宋体" w:cs="宋体"/>
          <w:color w:val="auto"/>
          <w:sz w:val="24"/>
          <w:highlight w:val="none"/>
        </w:rPr>
        <w:t>①承包人在已标价工程量清单或预算书中载明材料单价低于基准价格的：除专用合同条款另有约定外，合同履行期间材料单价涨幅以基准价格为基础超5%时，或材料单价跌幅以在已标价工程量清单或预算书中载明材料单价为基础超过5%时，其超过部分据实调整。</w:t>
      </w:r>
    </w:p>
    <w:p w14:paraId="5049C732">
      <w:pPr>
        <w:spacing w:line="300" w:lineRule="auto"/>
        <w:ind w:left="1514" w:leftChars="721"/>
        <w:rPr>
          <w:rFonts w:hint="eastAsia" w:ascii="宋体" w:hAnsi="宋体" w:eastAsia="宋体" w:cs="宋体"/>
          <w:color w:val="auto"/>
          <w:sz w:val="24"/>
          <w:highlight w:val="none"/>
        </w:rPr>
      </w:pPr>
      <w:r>
        <w:rPr>
          <w:rFonts w:hint="eastAsia" w:ascii="宋体" w:hAnsi="宋体" w:eastAsia="宋体" w:cs="宋体"/>
          <w:color w:val="auto"/>
          <w:sz w:val="24"/>
          <w:highlight w:val="none"/>
        </w:rPr>
        <w:t>②承包人在已标价工程量清单或预算书中载明材料单价高于基准价格的：除专用合同条款另有约定外，合同履行期间材料单价跌幅以基准价格为基础超过5%时，材料单价涨 幅以在已标价工程量清单或预算书中载明材料单价为基础超过5%时，其超过部分据实调整。</w:t>
      </w:r>
    </w:p>
    <w:p w14:paraId="2EC9DAFE">
      <w:pPr>
        <w:spacing w:line="300" w:lineRule="auto"/>
        <w:ind w:left="1514" w:leftChars="721"/>
        <w:rPr>
          <w:rFonts w:hint="eastAsia" w:ascii="宋体" w:hAnsi="宋体" w:eastAsia="宋体" w:cs="宋体"/>
          <w:color w:val="auto"/>
          <w:sz w:val="24"/>
          <w:highlight w:val="none"/>
        </w:rPr>
      </w:pPr>
      <w:r>
        <w:rPr>
          <w:rFonts w:hint="eastAsia" w:ascii="宋体" w:hAnsi="宋体" w:eastAsia="宋体" w:cs="宋体"/>
          <w:color w:val="auto"/>
          <w:sz w:val="24"/>
          <w:highlight w:val="none"/>
        </w:rPr>
        <w:t>③承包人在已标价工程量清单或预算书中载明材料单价等于基准价格的：除专用合同条款另有约定外，合同履行期间材料单价涨跌幅以基准价格为基础超过±5%时，其超过部分据实调整。</w:t>
      </w:r>
    </w:p>
    <w:p w14:paraId="3F6773A3">
      <w:pPr>
        <w:spacing w:line="300" w:lineRule="auto"/>
        <w:ind w:left="1529" w:leftChars="728"/>
        <w:rPr>
          <w:rFonts w:hint="eastAsia" w:ascii="宋体" w:hAnsi="宋体" w:eastAsia="宋体" w:cs="宋体"/>
          <w:color w:val="auto"/>
          <w:sz w:val="24"/>
          <w:highlight w:val="none"/>
        </w:rPr>
      </w:pPr>
      <w:r>
        <w:rPr>
          <w:rFonts w:hint="eastAsia" w:ascii="宋体" w:hAnsi="宋体" w:eastAsia="宋体" w:cs="宋体"/>
          <w:color w:val="auto"/>
          <w:sz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6F35E9A5">
      <w:pPr>
        <w:spacing w:line="300" w:lineRule="auto"/>
        <w:ind w:left="1470" w:leftChars="700"/>
        <w:rPr>
          <w:rFonts w:hint="eastAsia" w:ascii="宋体" w:hAnsi="宋体" w:eastAsia="宋体" w:cs="宋体"/>
          <w:color w:val="auto"/>
          <w:sz w:val="24"/>
          <w:highlight w:val="none"/>
        </w:rPr>
      </w:pPr>
      <w:r>
        <w:rPr>
          <w:rFonts w:hint="eastAsia" w:ascii="宋体" w:hAnsi="宋体" w:eastAsia="宋体" w:cs="宋体"/>
          <w:color w:val="auto"/>
          <w:sz w:val="24"/>
          <w:highlight w:val="none"/>
        </w:rPr>
        <w:t>（2）施工机械台班单价或施工机械使用费发生变化超过省级或行业建设主管部门或其授权的工程造价管理机构规定的范围时，按规定调整合同价格。</w:t>
      </w:r>
    </w:p>
    <w:p w14:paraId="4F6C6B11">
      <w:pPr>
        <w:spacing w:line="300" w:lineRule="auto"/>
        <w:rPr>
          <w:rFonts w:hint="eastAsia" w:ascii="宋体" w:hAnsi="宋体" w:eastAsia="宋体" w:cs="宋体"/>
          <w:color w:val="auto"/>
          <w:sz w:val="24"/>
          <w:highlight w:val="none"/>
        </w:rPr>
      </w:pPr>
    </w:p>
    <w:p w14:paraId="53CB18CF">
      <w:pPr>
        <w:spacing w:line="300" w:lineRule="auto"/>
        <w:ind w:firstLine="1680" w:firstLineChars="700"/>
        <w:rPr>
          <w:rFonts w:hint="eastAsia" w:ascii="宋体" w:hAnsi="宋体" w:eastAsia="宋体" w:cs="宋体"/>
          <w:color w:val="auto"/>
          <w:sz w:val="24"/>
          <w:highlight w:val="none"/>
        </w:rPr>
      </w:pPr>
      <w:r>
        <w:rPr>
          <w:rFonts w:hint="eastAsia" w:ascii="宋体" w:hAnsi="宋体" w:eastAsia="宋体" w:cs="宋体"/>
          <w:color w:val="auto"/>
          <w:sz w:val="24"/>
          <w:highlight w:val="none"/>
        </w:rPr>
        <w:t>第2种方式：专用合同条款约定的其他方式。</w:t>
      </w:r>
    </w:p>
    <w:p w14:paraId="03FB4239">
      <w:pPr>
        <w:spacing w:line="30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D071777">
      <w:pPr>
        <w:pStyle w:val="22"/>
        <w:tabs>
          <w:tab w:val="left" w:pos="540"/>
        </w:tabs>
        <w:adjustRightInd w:val="0"/>
        <w:snapToGrid w:val="0"/>
        <w:spacing w:line="300" w:lineRule="auto"/>
        <w:rPr>
          <w:rFonts w:hint="eastAsia" w:hAnsi="宋体" w:eastAsia="宋体" w:cs="宋体"/>
          <w:color w:val="auto"/>
          <w:sz w:val="24"/>
          <w:szCs w:val="24"/>
          <w:highlight w:val="none"/>
          <w:u w:val="dotted"/>
        </w:rPr>
      </w:pPr>
      <w:r>
        <w:rPr>
          <w:rFonts w:hint="eastAsia" w:hAnsi="宋体" w:eastAsia="宋体" w:cs="宋体"/>
          <w:b/>
          <w:bCs/>
          <w:color w:val="auto"/>
          <w:sz w:val="24"/>
          <w:szCs w:val="24"/>
          <w:highlight w:val="none"/>
        </w:rPr>
        <w:t>76.4</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4D4602E4">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执行第76.3款“第1种方式：采用造价信息进行价格调整”规定的，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r>
        <w:rPr>
          <w:rFonts w:hint="eastAsia" w:hAnsi="宋体" w:eastAsia="宋体" w:cs="宋体"/>
          <w:color w:val="auto"/>
          <w:sz w:val="24"/>
          <w:szCs w:val="24"/>
          <w:highlight w:val="none"/>
        </w:rPr>
        <mc:AlternateContent>
          <mc:Choice Requires="wps">
            <w:drawing>
              <wp:anchor distT="0" distB="0" distL="0" distR="0" simplePos="0" relativeHeight="251993088"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1352" name="00021b"/>
                <wp:cNvGraphicFramePr/>
                <a:graphic xmlns:a="http://schemas.openxmlformats.org/drawingml/2006/main">
                  <a:graphicData uri="http://schemas.microsoft.com/office/word/2010/wordprocessingShape">
                    <wps:wsp>
                      <wps:cNvSpPr/>
                      <wps:spPr>
                        <a:xfrm>
                          <a:off x="0" y="0"/>
                          <a:ext cx="914400" cy="711835"/>
                        </a:xfrm>
                        <a:prstGeom prst="rect">
                          <a:avLst/>
                        </a:prstGeom>
                        <a:ln>
                          <a:noFill/>
                        </a:ln>
                      </wps:spPr>
                      <wps:txbx>
                        <w:txbxContent>
                          <w:p w14:paraId="599775D4">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p w14:paraId="3CAB469A">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采购材料设备的调价限制</w:t>
                            </w:r>
                          </w:p>
                        </w:txbxContent>
                      </wps:txbx>
                      <wps:bodyPr wrap="square"/>
                    </wps:wsp>
                  </a:graphicData>
                </a:graphic>
              </wp:anchor>
            </w:drawing>
          </mc:Choice>
          <mc:Fallback>
            <w:pict>
              <v:rect id="00021b" o:spid="_x0000_s1026" o:spt="1" style="position:absolute;left:0pt;margin-left:-5.25pt;margin-top:2.45pt;height:56.05pt;width:72pt;z-index:251993088;mso-width-relative:page;mso-height-relative:page;" filled="f" stroked="f" coordsize="21600,21600" o:gfxdata="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mIllQ2QAAAAkBAAAPAAAAAAAAAAEAIAAAACIA&#10;AABkcnMvZG93bnJldi54bWxQSwECFAAUAAAACACHTuJAhoNW+5YBAAA4AwAADgAAAAAAAAABACAA&#10;AAAoAQAAZHJzL2Uyb0RvYy54bWxQSwUGAAAAAAYABgBZAQAAMAUAAAAA&#10;">
                <v:fill on="f" focussize="0,0"/>
                <v:stroke on="f"/>
                <v:imagedata o:title=""/>
                <o:lock v:ext="edit" aspectratio="f"/>
                <v:textbox>
                  <w:txbxContent>
                    <w:p w14:paraId="599775D4">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p w14:paraId="3CAB469A">
                      <w:pPr>
                        <w:pStyle w:val="16"/>
                        <w:spacing w:line="200" w:lineRule="exact"/>
                        <w:ind w:left="525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采购材料设备的调价限制</w:t>
                      </w:r>
                    </w:p>
                  </w:txbxContent>
                </v:textbox>
              </v:rect>
            </w:pict>
          </mc:Fallback>
        </mc:AlternateContent>
      </w:r>
    </w:p>
    <w:p w14:paraId="1FB529D1">
      <w:pPr>
        <w:pStyle w:val="22"/>
        <w:tabs>
          <w:tab w:val="left" w:pos="540"/>
        </w:tabs>
        <w:adjustRightInd w:val="0"/>
        <w:snapToGrid w:val="0"/>
        <w:spacing w:line="300" w:lineRule="auto"/>
        <w:rPr>
          <w:rFonts w:hint="eastAsia"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76.5 </w:t>
      </w:r>
      <w:r>
        <w:rPr>
          <w:rFonts w:hint="eastAsia" w:hAnsi="宋体" w:eastAsia="宋体" w:cs="宋体"/>
          <w:b/>
          <w:bCs/>
          <w:color w:val="auto"/>
          <w:sz w:val="24"/>
          <w:szCs w:val="24"/>
          <w:highlight w:val="none"/>
          <w:u w:val="dotted"/>
        </w:rPr>
        <w:t xml:space="preserve">                                                                                                        </w:t>
      </w:r>
    </w:p>
    <w:p w14:paraId="63294F94">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94112"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1353" name="00021c"/>
                <wp:cNvGraphicFramePr/>
                <a:graphic xmlns:a="http://schemas.openxmlformats.org/drawingml/2006/main">
                  <a:graphicData uri="http://schemas.microsoft.com/office/word/2010/wordprocessingShape">
                    <wps:wsp>
                      <wps:cNvSpPr/>
                      <wps:spPr>
                        <a:xfrm>
                          <a:off x="0" y="0"/>
                          <a:ext cx="914400" cy="619125"/>
                        </a:xfrm>
                        <a:prstGeom prst="rect">
                          <a:avLst/>
                        </a:prstGeom>
                        <a:ln>
                          <a:noFill/>
                        </a:ln>
                      </wps:spPr>
                      <wps:txbx>
                        <w:txbxContent>
                          <w:p w14:paraId="11BEC54E">
                            <w:pPr>
                              <w:pStyle w:val="39"/>
                              <w:spacing w:line="200" w:lineRule="exact"/>
                              <w:rPr>
                                <w:rFonts w:hint="eastAsia" w:ascii="楷体_GB2312" w:hAnsi="宋体"/>
                                <w:sz w:val="18"/>
                                <w:szCs w:val="18"/>
                              </w:rPr>
                            </w:pPr>
                            <w:r>
                              <w:rPr>
                                <w:rFonts w:hint="eastAsia" w:ascii="楷体_GB2312" w:hAnsi="宋体" w:cs="楷体_GB2312"/>
                                <w:sz w:val="18"/>
                                <w:szCs w:val="18"/>
                              </w:rPr>
                              <w:t>建设单位供应材料设备的价款调整</w:t>
                            </w:r>
                          </w:p>
                        </w:txbxContent>
                      </wps:txbx>
                      <wps:bodyPr wrap="square"/>
                    </wps:wsp>
                  </a:graphicData>
                </a:graphic>
              </wp:anchor>
            </w:drawing>
          </mc:Choice>
          <mc:Fallback>
            <w:pict>
              <v:rect id="00021c" o:spid="_x0000_s1026" o:spt="1" style="position:absolute;left:0pt;margin-left:-9pt;margin-top:1.25pt;height:48.75pt;width:72pt;z-index:251994112;mso-width-relative:page;mso-height-relative:page;" filled="f" stroked="f" coordsize="21600,21600" o:gfxdata="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fSXnltgAAAAJAQAADwAAAAAAAAABACAAAAAiAAAA&#10;ZHJzL2Rvd25yZXYueG1sUEsBAhQAFAAAAAgAh07iQLqQCgyVAQAAOAMAAA4AAAAAAAAAAQAgAAAA&#10;JwEAAGRycy9lMm9Eb2MueG1sUEsFBgAAAAAGAAYAWQEAAC4FAAAAAA==&#10;">
                <v:fill on="f" focussize="0,0"/>
                <v:stroke on="f"/>
                <v:imagedata o:title=""/>
                <o:lock v:ext="edit" aspectratio="f"/>
                <v:textbox>
                  <w:txbxContent>
                    <w:p w14:paraId="11BEC54E">
                      <w:pPr>
                        <w:pStyle w:val="39"/>
                        <w:spacing w:line="200" w:lineRule="exact"/>
                        <w:rPr>
                          <w:rFonts w:hint="eastAsia" w:ascii="楷体_GB2312" w:hAnsi="宋体"/>
                          <w:sz w:val="18"/>
                          <w:szCs w:val="18"/>
                        </w:rPr>
                      </w:pPr>
                      <w:r>
                        <w:rPr>
                          <w:rFonts w:hint="eastAsia" w:ascii="楷体_GB2312" w:hAnsi="宋体" w:cs="楷体_GB2312"/>
                          <w:sz w:val="18"/>
                          <w:szCs w:val="18"/>
                        </w:rPr>
                        <w:t>建设单位供应材料设备的价款调整</w:t>
                      </w:r>
                    </w:p>
                  </w:txbxContent>
                </v:textbox>
              </v:rect>
            </w:pict>
          </mc:Fallback>
        </mc:AlternateContent>
      </w:r>
      <w:r>
        <w:rPr>
          <w:rFonts w:hint="eastAsia" w:hAnsi="宋体" w:eastAsia="宋体" w:cs="宋体"/>
          <w:color w:val="auto"/>
          <w:sz w:val="24"/>
          <w:szCs w:val="24"/>
          <w:highlight w:val="none"/>
        </w:rPr>
        <w:t>发包人供应材料和工程设备的，由发包人按照实际变化调整，列入合同工程的工程造价内。</w:t>
      </w:r>
    </w:p>
    <w:p w14:paraId="7CAEF707">
      <w:pPr>
        <w:pStyle w:val="22"/>
        <w:adjustRightInd w:val="0"/>
        <w:snapToGrid w:val="0"/>
        <w:spacing w:line="300" w:lineRule="auto"/>
        <w:ind w:right="-238"/>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302212E1">
      <w:pPr>
        <w:pStyle w:val="4"/>
        <w:tabs>
          <w:tab w:val="left" w:pos="420"/>
        </w:tabs>
        <w:spacing w:line="300" w:lineRule="auto"/>
        <w:rPr>
          <w:rFonts w:hint="eastAsia" w:ascii="宋体" w:hAnsi="宋体" w:eastAsia="宋体" w:cs="宋体"/>
          <w:b w:val="0"/>
          <w:bCs w:val="0"/>
          <w:color w:val="auto"/>
          <w:sz w:val="24"/>
          <w:szCs w:val="24"/>
          <w:highlight w:val="none"/>
        </w:rPr>
      </w:pPr>
      <w:bookmarkStart w:id="179" w:name="_Toc46860882"/>
      <w:bookmarkStart w:id="180" w:name="_Toc469384061"/>
      <w:r>
        <w:rPr>
          <w:rFonts w:hint="eastAsia" w:ascii="宋体" w:hAnsi="宋体" w:eastAsia="宋体" w:cs="宋体"/>
          <w:b w:val="0"/>
          <w:bCs w:val="0"/>
          <w:color w:val="auto"/>
          <w:sz w:val="24"/>
          <w:szCs w:val="24"/>
          <w:highlight w:val="none"/>
        </w:rPr>
        <w:t>★</w:t>
      </w:r>
      <w:r>
        <w:rPr>
          <w:rFonts w:hint="eastAsia" w:ascii="宋体" w:hAnsi="宋体" w:eastAsia="宋体" w:cs="宋体"/>
          <w:bCs w:val="0"/>
          <w:color w:val="auto"/>
          <w:sz w:val="24"/>
          <w:szCs w:val="24"/>
          <w:highlight w:val="none"/>
        </w:rPr>
        <w:t>77  合同价款调整程序</w:t>
      </w:r>
      <w:bookmarkEnd w:id="179"/>
      <w:bookmarkEnd w:id="180"/>
    </w:p>
    <w:p w14:paraId="424EA18D">
      <w:pPr>
        <w:spacing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77.1</w:t>
      </w:r>
    </w:p>
    <w:p w14:paraId="320B1C30">
      <w:pPr>
        <w:spacing w:line="300" w:lineRule="auto"/>
        <w:ind w:left="1619" w:leftChars="771" w:firstLine="2"/>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995136"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1354" name="00021d"/>
                <wp:cNvGraphicFramePr/>
                <a:graphic xmlns:a="http://schemas.openxmlformats.org/drawingml/2006/main">
                  <a:graphicData uri="http://schemas.microsoft.com/office/word/2010/wordprocessingShape">
                    <wps:wsp>
                      <wps:cNvSpPr/>
                      <wps:spPr>
                        <a:xfrm>
                          <a:off x="0" y="0"/>
                          <a:ext cx="914400" cy="693420"/>
                        </a:xfrm>
                        <a:prstGeom prst="rect">
                          <a:avLst/>
                        </a:prstGeom>
                        <a:ln>
                          <a:noFill/>
                        </a:ln>
                      </wps:spPr>
                      <wps:txbx>
                        <w:txbxContent>
                          <w:p w14:paraId="3CF60A2E">
                            <w:pPr>
                              <w:pStyle w:val="39"/>
                              <w:spacing w:line="200" w:lineRule="exact"/>
                              <w:rPr>
                                <w:rFonts w:hint="eastAsia"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wps:txbx>
                      <wps:bodyPr wrap="square"/>
                    </wps:wsp>
                  </a:graphicData>
                </a:graphic>
              </wp:anchor>
            </w:drawing>
          </mc:Choice>
          <mc:Fallback>
            <w:pict>
              <v:rect id="00021d" o:spid="_x0000_s1026" o:spt="1" style="position:absolute;left:0pt;margin-left:-9pt;margin-top:1.25pt;height:54.6pt;width:72pt;z-index:251995136;mso-width-relative:page;mso-height-relative:page;" filled="f" stroked="f" coordsize="21600,21600" o:gfxdata="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uFmQm2QAAAAkBAAAPAAAAAAAAAAEAIAAAACIA&#10;AABkcnMvZG93bnJldi54bWxQSwECFAAUAAAACACHTuJAz0GQK5YBAAA4AwAADgAAAAAAAAABACAA&#10;AAAoAQAAZHJzL2Uyb0RvYy54bWxQSwUGAAAAAAYABgBZAQAAMAUAAAAA&#10;">
                <v:fill on="f" focussize="0,0"/>
                <v:stroke on="f"/>
                <v:imagedata o:title=""/>
                <o:lock v:ext="edit" aspectratio="f"/>
                <v:textbox>
                  <w:txbxContent>
                    <w:p w14:paraId="3CF60A2E">
                      <w:pPr>
                        <w:pStyle w:val="39"/>
                        <w:spacing w:line="200" w:lineRule="exact"/>
                        <w:rPr>
                          <w:rFonts w:hint="eastAsia"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v:textbox>
              </v:rect>
            </w:pict>
          </mc:Fallback>
        </mc:AlternateContent>
      </w:r>
      <w:r>
        <w:rPr>
          <w:rFonts w:hint="eastAsia" w:ascii="宋体" w:hAnsi="宋体" w:eastAsia="宋体" w:cs="宋体"/>
          <w:color w:val="auto"/>
          <w:sz w:val="24"/>
          <w:highlight w:val="none"/>
        </w:rPr>
        <w:t>合同履行期间，出现第68.2款规定调整合同价款事件的，除费用索赔、现场签证事件分别按照第74条、第75条规定程序外，合同双方当事人应按照本条规定程序调整合同价款。</w:t>
      </w:r>
    </w:p>
    <w:p w14:paraId="2EE92E7E">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96160" behindDoc="0" locked="0" layoutInCell="1" allowOverlap="1">
                <wp:simplePos x="0" y="0"/>
                <wp:positionH relativeFrom="column">
                  <wp:posOffset>-57785</wp:posOffset>
                </wp:positionH>
                <wp:positionV relativeFrom="paragraph">
                  <wp:posOffset>245745</wp:posOffset>
                </wp:positionV>
                <wp:extent cx="914400" cy="619125"/>
                <wp:effectExtent l="0" t="0" r="0" b="0"/>
                <wp:wrapNone/>
                <wp:docPr id="1355" name="00021e"/>
                <wp:cNvGraphicFramePr/>
                <a:graphic xmlns:a="http://schemas.openxmlformats.org/drawingml/2006/main">
                  <a:graphicData uri="http://schemas.microsoft.com/office/word/2010/wordprocessingShape">
                    <wps:wsp>
                      <wps:cNvSpPr/>
                      <wps:spPr>
                        <a:xfrm>
                          <a:off x="0" y="0"/>
                          <a:ext cx="914400" cy="619125"/>
                        </a:xfrm>
                        <a:prstGeom prst="rect">
                          <a:avLst/>
                        </a:prstGeom>
                        <a:ln>
                          <a:noFill/>
                        </a:ln>
                      </wps:spPr>
                      <wps:txbx>
                        <w:txbxContent>
                          <w:p w14:paraId="1309C25B">
                            <w:pPr>
                              <w:pStyle w:val="39"/>
                              <w:spacing w:line="200" w:lineRule="exact"/>
                              <w:rPr>
                                <w:rFonts w:hint="eastAsia" w:ascii="楷体_GB2312" w:hAnsi="宋体"/>
                                <w:sz w:val="18"/>
                                <w:szCs w:val="18"/>
                              </w:rPr>
                            </w:pPr>
                            <w:r>
                              <w:rPr>
                                <w:rFonts w:hint="eastAsia" w:ascii="楷体_GB2312" w:hAnsi="宋体" w:cs="楷体_GB2312"/>
                                <w:sz w:val="18"/>
                                <w:szCs w:val="18"/>
                              </w:rPr>
                              <w:t>合同价款调增报告的提出</w:t>
                            </w:r>
                          </w:p>
                          <w:p w14:paraId="25FF02AE">
                            <w:pPr>
                              <w:pStyle w:val="39"/>
                              <w:spacing w:line="200" w:lineRule="exact"/>
                              <w:rPr>
                                <w:rFonts w:hint="eastAsia" w:ascii="宋体" w:hAnsi="宋体" w:eastAsia="宋体"/>
                                <w:sz w:val="18"/>
                                <w:szCs w:val="18"/>
                              </w:rPr>
                            </w:pPr>
                          </w:p>
                        </w:txbxContent>
                      </wps:txbx>
                      <wps:bodyPr wrap="square"/>
                    </wps:wsp>
                  </a:graphicData>
                </a:graphic>
              </wp:anchor>
            </w:drawing>
          </mc:Choice>
          <mc:Fallback>
            <w:pict>
              <v:rect id="00021e" o:spid="_x0000_s1026" o:spt="1" style="position:absolute;left:0pt;margin-left:-4.55pt;margin-top:19.35pt;height:48.75pt;width:72pt;z-index:251996160;mso-width-relative:page;mso-height-relative:page;" filled="f" stroked="f" coordsize="21600,21600" o:gfxdata="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LBeRu2gAAAAkBAAAPAAAAAAAAAAEAIAAAACIA&#10;AABkcnMvZG93bnJldi54bWxQSwECFAAUAAAACACHTuJAUVv0qJUBAAA4AwAADgAAAAAAAAABACAA&#10;AAApAQAAZHJzL2Uyb0RvYy54bWxQSwUGAAAAAAYABgBZAQAAMAUAAAAA&#10;">
                <v:fill on="f" focussize="0,0"/>
                <v:stroke on="f"/>
                <v:imagedata o:title=""/>
                <o:lock v:ext="edit" aspectratio="f"/>
                <v:textbox>
                  <w:txbxContent>
                    <w:p w14:paraId="1309C25B">
                      <w:pPr>
                        <w:pStyle w:val="39"/>
                        <w:spacing w:line="200" w:lineRule="exact"/>
                        <w:rPr>
                          <w:rFonts w:hint="eastAsia" w:ascii="楷体_GB2312" w:hAnsi="宋体"/>
                          <w:sz w:val="18"/>
                          <w:szCs w:val="18"/>
                        </w:rPr>
                      </w:pPr>
                      <w:r>
                        <w:rPr>
                          <w:rFonts w:hint="eastAsia" w:ascii="楷体_GB2312" w:hAnsi="宋体" w:cs="楷体_GB2312"/>
                          <w:sz w:val="18"/>
                          <w:szCs w:val="18"/>
                        </w:rPr>
                        <w:t>合同价款调增报告的提出</w:t>
                      </w:r>
                    </w:p>
                    <w:p w14:paraId="25FF02AE">
                      <w:pPr>
                        <w:pStyle w:val="39"/>
                        <w:spacing w:line="200" w:lineRule="exact"/>
                        <w:rPr>
                          <w:rFonts w:hint="eastAsia" w:ascii="宋体" w:hAnsi="宋体" w:eastAsia="宋体"/>
                          <w:sz w:val="18"/>
                          <w:szCs w:val="18"/>
                        </w:rPr>
                      </w:pPr>
                    </w:p>
                  </w:txbxContent>
                </v:textbox>
              </v:rect>
            </w:pict>
          </mc:Fallback>
        </mc:AlternateContent>
      </w:r>
      <w:r>
        <w:rPr>
          <w:rFonts w:hint="eastAsia" w:hAnsi="宋体" w:eastAsia="宋体" w:cs="宋体"/>
          <w:b/>
          <w:bCs/>
          <w:color w:val="auto"/>
          <w:sz w:val="24"/>
          <w:szCs w:val="24"/>
          <w:highlight w:val="none"/>
        </w:rPr>
        <w:t xml:space="preserve">77.2 </w:t>
      </w:r>
      <w:r>
        <w:rPr>
          <w:rFonts w:hint="eastAsia" w:hAnsi="宋体" w:eastAsia="宋体" w:cs="宋体"/>
          <w:b/>
          <w:bCs/>
          <w:color w:val="auto"/>
          <w:sz w:val="24"/>
          <w:szCs w:val="24"/>
          <w:highlight w:val="none"/>
          <w:u w:val="dotted"/>
        </w:rPr>
        <w:t xml:space="preserve">                                                                               </w:t>
      </w:r>
    </w:p>
    <w:p w14:paraId="50A01EE3">
      <w:pPr>
        <w:pStyle w:val="22"/>
        <w:adjustRightInd w:val="0"/>
        <w:snapToGrid w:val="0"/>
        <w:spacing w:line="300" w:lineRule="auto"/>
        <w:ind w:left="1619" w:leftChars="771"/>
        <w:rPr>
          <w:rFonts w:hint="eastAsia" w:hAnsi="宋体" w:eastAsia="宋体" w:cs="宋体"/>
          <w:b/>
          <w:bCs/>
          <w:color w:val="auto"/>
          <w:sz w:val="24"/>
          <w:szCs w:val="24"/>
          <w:highlight w:val="none"/>
        </w:rPr>
      </w:pPr>
      <w:r>
        <w:rPr>
          <w:rFonts w:hint="eastAsia" w:hAnsi="宋体" w:eastAsia="宋体" w:cs="宋体"/>
          <w:color w:val="auto"/>
          <w:sz w:val="24"/>
          <w:szCs w:val="24"/>
          <w:highlight w:val="none"/>
        </w:rPr>
        <w:t>出现合同价款调增事件后的14天内，承包人应向造价工程师提交合同价款调增报告。并附上相关资料。如承包人在出现合同价款调增事件后的14天内未提交合同价款调增报告的，则造价工程师可在报发包人批准后，根据实际情况决定是否调整合同价款以及调整的金额。</w:t>
      </w:r>
    </w:p>
    <w:p w14:paraId="1091D246">
      <w:pPr>
        <w:pStyle w:val="22"/>
        <w:adjustRightInd w:val="0"/>
        <w:snapToGrid w:val="0"/>
        <w:spacing w:line="300" w:lineRule="auto"/>
        <w:rPr>
          <w:rFonts w:hint="eastAsia" w:hAnsi="宋体" w:eastAsia="宋体" w:cs="宋体"/>
          <w:color w:val="auto"/>
          <w:sz w:val="24"/>
          <w:szCs w:val="24"/>
          <w:highlight w:val="none"/>
          <w:u w:val="dotted"/>
        </w:rPr>
      </w:pPr>
      <w:r>
        <w:rPr>
          <w:rFonts w:hint="eastAsia" w:hAnsi="宋体" w:eastAsia="宋体" w:cs="宋体"/>
          <w:b/>
          <w:bCs/>
          <w:color w:val="auto"/>
          <w:sz w:val="24"/>
          <w:szCs w:val="24"/>
          <w:highlight w:val="none"/>
        </w:rPr>
        <w:t xml:space="preserve">77.3 </w:t>
      </w:r>
      <w:r>
        <w:rPr>
          <w:rFonts w:hint="eastAsia" w:hAnsi="宋体" w:eastAsia="宋体" w:cs="宋体"/>
          <w:color w:val="auto"/>
          <w:sz w:val="24"/>
          <w:szCs w:val="24"/>
          <w:highlight w:val="none"/>
          <w:u w:val="dotted"/>
        </w:rPr>
        <w:t xml:space="preserve">                                                                              </w:t>
      </w:r>
    </w:p>
    <w:p w14:paraId="361DEC6E">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97184"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1356" name="00021f"/>
                <wp:cNvGraphicFramePr/>
                <a:graphic xmlns:a="http://schemas.openxmlformats.org/drawingml/2006/main">
                  <a:graphicData uri="http://schemas.microsoft.com/office/word/2010/wordprocessingShape">
                    <wps:wsp>
                      <wps:cNvSpPr/>
                      <wps:spPr>
                        <a:xfrm>
                          <a:off x="0" y="0"/>
                          <a:ext cx="1028700" cy="495300"/>
                        </a:xfrm>
                        <a:prstGeom prst="rect">
                          <a:avLst/>
                        </a:prstGeom>
                        <a:ln>
                          <a:noFill/>
                        </a:ln>
                      </wps:spPr>
                      <wps:txbx>
                        <w:txbxContent>
                          <w:p w14:paraId="34E70A62">
                            <w:pPr>
                              <w:pStyle w:val="39"/>
                              <w:spacing w:line="200" w:lineRule="exact"/>
                              <w:rPr>
                                <w:rFonts w:hint="eastAsia" w:ascii="楷体_GB2312" w:hAnsi="宋体"/>
                                <w:sz w:val="18"/>
                                <w:szCs w:val="18"/>
                              </w:rPr>
                            </w:pPr>
                            <w:r>
                              <w:rPr>
                                <w:rFonts w:hint="eastAsia" w:ascii="楷体_GB2312" w:hAnsi="宋体" w:cs="楷体_GB2312"/>
                                <w:sz w:val="18"/>
                                <w:szCs w:val="18"/>
                              </w:rPr>
                              <w:t>调增价款的核</w:t>
                            </w:r>
                          </w:p>
                          <w:p w14:paraId="27A4704E">
                            <w:pPr>
                              <w:pStyle w:val="39"/>
                              <w:spacing w:line="200" w:lineRule="exact"/>
                              <w:rPr>
                                <w:rFonts w:hint="eastAsia" w:ascii="楷体_GB2312" w:hAnsi="宋体"/>
                                <w:sz w:val="18"/>
                                <w:szCs w:val="18"/>
                              </w:rPr>
                            </w:pPr>
                            <w:r>
                              <w:rPr>
                                <w:rFonts w:hint="eastAsia" w:ascii="楷体_GB2312" w:hAnsi="宋体" w:cs="楷体_GB2312"/>
                                <w:sz w:val="18"/>
                                <w:szCs w:val="18"/>
                              </w:rPr>
                              <w:t>实</w:t>
                            </w:r>
                          </w:p>
                        </w:txbxContent>
                      </wps:txbx>
                      <wps:bodyPr wrap="square"/>
                    </wps:wsp>
                  </a:graphicData>
                </a:graphic>
              </wp:anchor>
            </w:drawing>
          </mc:Choice>
          <mc:Fallback>
            <w:pict>
              <v:rect id="00021f" o:spid="_x0000_s1026" o:spt="1" style="position:absolute;left:0pt;margin-left:-9pt;margin-top:2.7pt;height:39pt;width:81pt;z-index:251997184;mso-width-relative:page;mso-height-relative:page;" filled="f" stroked="f" coordsize="21600,21600" o:gfxdata="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LRbmcnYAAAACAEAAA8AAAAAAAAAAQAgAAAAIgAA&#10;AGRycy9kb3ducmV2LnhtbFBLAQIUABQAAAAIAIdO4kA0ZVY1lgEAADkDAAAOAAAAAAAAAAEAIAAA&#10;ACcBAABkcnMvZTJvRG9jLnhtbFBLBQYAAAAABgAGAFkBAAAvBQAAAAA=&#10;">
                <v:fill on="f" focussize="0,0"/>
                <v:stroke on="f"/>
                <v:imagedata o:title=""/>
                <o:lock v:ext="edit" aspectratio="f"/>
                <v:textbox>
                  <w:txbxContent>
                    <w:p w14:paraId="34E70A62">
                      <w:pPr>
                        <w:pStyle w:val="39"/>
                        <w:spacing w:line="200" w:lineRule="exact"/>
                        <w:rPr>
                          <w:rFonts w:hint="eastAsia" w:ascii="楷体_GB2312" w:hAnsi="宋体"/>
                          <w:sz w:val="18"/>
                          <w:szCs w:val="18"/>
                        </w:rPr>
                      </w:pPr>
                      <w:r>
                        <w:rPr>
                          <w:rFonts w:hint="eastAsia" w:ascii="楷体_GB2312" w:hAnsi="宋体" w:cs="楷体_GB2312"/>
                          <w:sz w:val="18"/>
                          <w:szCs w:val="18"/>
                        </w:rPr>
                        <w:t>调增价款的核</w:t>
                      </w:r>
                    </w:p>
                    <w:p w14:paraId="27A4704E">
                      <w:pPr>
                        <w:pStyle w:val="39"/>
                        <w:spacing w:line="200" w:lineRule="exact"/>
                        <w:rPr>
                          <w:rFonts w:hint="eastAsia" w:ascii="楷体_GB2312" w:hAnsi="宋体"/>
                          <w:sz w:val="18"/>
                          <w:szCs w:val="18"/>
                        </w:rPr>
                      </w:pPr>
                      <w:r>
                        <w:rPr>
                          <w:rFonts w:hint="eastAsia" w:ascii="楷体_GB2312" w:hAnsi="宋体" w:cs="楷体_GB2312"/>
                          <w:sz w:val="18"/>
                          <w:szCs w:val="18"/>
                        </w:rPr>
                        <w:t>实</w:t>
                      </w:r>
                    </w:p>
                  </w:txbxContent>
                </v:textbox>
              </v:rect>
            </w:pict>
          </mc:Fallback>
        </mc:AlternateContent>
      </w:r>
      <w:r>
        <w:rPr>
          <w:rFonts w:hint="eastAsia" w:hAnsi="宋体" w:eastAsia="宋体" w:cs="宋体"/>
          <w:color w:val="auto"/>
          <w:sz w:val="24"/>
          <w:szCs w:val="24"/>
          <w:highlight w:val="none"/>
        </w:rPr>
        <w:t>造价工程师应在收到合同价款调增报告及相关资料之日起14天内对其核实，并予以确认或提出协商意见。造价工程师在收到合同价款调增报告之日起14天内未确认也未提出协商意见的，视为承包人提交的合同价款调增报告已被认可。造价工程师提出协商意见的，合同双方当事人应在承包人收到协商意见后的14天内进行协商确定；协商未能达成一致的，由造价工程师暂定调增的合同价款，通知承包人并抄报发包人。出现暂定结果的，只要不实质影响合同双方当事人履约的，合同双方当事人应实施该结果，直到其被改变为止。</w:t>
      </w:r>
    </w:p>
    <w:p w14:paraId="27B95AEE">
      <w:pPr>
        <w:pStyle w:val="22"/>
        <w:adjustRightInd w:val="0"/>
        <w:snapToGrid w:val="0"/>
        <w:spacing w:line="300" w:lineRule="auto"/>
        <w:rPr>
          <w:rFonts w:hint="eastAsia"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77.4 </w:t>
      </w:r>
      <w:r>
        <w:rPr>
          <w:rFonts w:hint="eastAsia" w:hAnsi="宋体" w:eastAsia="宋体" w:cs="宋体"/>
          <w:b/>
          <w:bCs/>
          <w:color w:val="auto"/>
          <w:sz w:val="24"/>
          <w:szCs w:val="24"/>
          <w:highlight w:val="none"/>
          <w:u w:val="dotted"/>
        </w:rPr>
        <w:t xml:space="preserve">                                                                              </w:t>
      </w:r>
    </w:p>
    <w:p w14:paraId="0142739E">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98208"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1357" name="000220"/>
                <wp:cNvGraphicFramePr/>
                <a:graphic xmlns:a="http://schemas.openxmlformats.org/drawingml/2006/main">
                  <a:graphicData uri="http://schemas.microsoft.com/office/word/2010/wordprocessingShape">
                    <wps:wsp>
                      <wps:cNvSpPr/>
                      <wps:spPr>
                        <a:xfrm>
                          <a:off x="0" y="0"/>
                          <a:ext cx="1028700" cy="495300"/>
                        </a:xfrm>
                        <a:prstGeom prst="rect">
                          <a:avLst/>
                        </a:prstGeom>
                        <a:ln>
                          <a:noFill/>
                        </a:ln>
                      </wps:spPr>
                      <wps:txbx>
                        <w:txbxContent>
                          <w:p w14:paraId="32D9842F">
                            <w:pPr>
                              <w:pStyle w:val="39"/>
                              <w:spacing w:line="200" w:lineRule="exact"/>
                              <w:rPr>
                                <w:rFonts w:hint="eastAsia" w:ascii="楷体_GB2312" w:hAnsi="宋体"/>
                                <w:sz w:val="18"/>
                                <w:szCs w:val="18"/>
                              </w:rPr>
                            </w:pPr>
                            <w:r>
                              <w:rPr>
                                <w:rFonts w:hint="eastAsia" w:ascii="楷体_GB2312" w:hAnsi="宋体" w:cs="楷体_GB2312"/>
                                <w:sz w:val="18"/>
                                <w:szCs w:val="18"/>
                              </w:rPr>
                              <w:t>调增价款的支</w:t>
                            </w:r>
                          </w:p>
                          <w:p w14:paraId="67A1E57C">
                            <w:pPr>
                              <w:pStyle w:val="39"/>
                              <w:spacing w:line="200" w:lineRule="exact"/>
                              <w:rPr>
                                <w:rFonts w:hint="eastAsia" w:ascii="楷体_GB2312" w:hAnsi="宋体"/>
                                <w:sz w:val="18"/>
                                <w:szCs w:val="18"/>
                              </w:rPr>
                            </w:pPr>
                            <w:r>
                              <w:rPr>
                                <w:rFonts w:hint="eastAsia" w:ascii="楷体_GB2312" w:hAnsi="宋体" w:cs="楷体_GB2312"/>
                                <w:sz w:val="18"/>
                                <w:szCs w:val="18"/>
                              </w:rPr>
                              <w:t>付</w:t>
                            </w:r>
                          </w:p>
                        </w:txbxContent>
                      </wps:txbx>
                      <wps:bodyPr wrap="square"/>
                    </wps:wsp>
                  </a:graphicData>
                </a:graphic>
              </wp:anchor>
            </w:drawing>
          </mc:Choice>
          <mc:Fallback>
            <w:pict>
              <v:rect id="000220" o:spid="_x0000_s1026" o:spt="1" style="position:absolute;left:0pt;margin-left:-9pt;margin-top:2.7pt;height:39pt;width:81pt;z-index:251998208;mso-width-relative:page;mso-height-relative:page;" filled="f" stroked="f" coordsize="21600,21600" o:gfxdata="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tFuZydgAAAAIAQAADwAAAAAAAAABACAAAAAiAAAA&#10;ZHJzL2Rvd25yZXYueG1sUEsBAhQAFAAAAAgAh07iQFLAiXSVAQAAOQMAAA4AAAAAAAAAAQAgAAAA&#10;JwEAAGRycy9lMm9Eb2MueG1sUEsFBgAAAAAGAAYAWQEAAC4FAAAAAA==&#10;">
                <v:fill on="f" focussize="0,0"/>
                <v:stroke on="f"/>
                <v:imagedata o:title=""/>
                <o:lock v:ext="edit" aspectratio="f"/>
                <v:textbox>
                  <w:txbxContent>
                    <w:p w14:paraId="32D9842F">
                      <w:pPr>
                        <w:pStyle w:val="39"/>
                        <w:spacing w:line="200" w:lineRule="exact"/>
                        <w:rPr>
                          <w:rFonts w:hint="eastAsia" w:ascii="楷体_GB2312" w:hAnsi="宋体"/>
                          <w:sz w:val="18"/>
                          <w:szCs w:val="18"/>
                        </w:rPr>
                      </w:pPr>
                      <w:r>
                        <w:rPr>
                          <w:rFonts w:hint="eastAsia" w:ascii="楷体_GB2312" w:hAnsi="宋体" w:cs="楷体_GB2312"/>
                          <w:sz w:val="18"/>
                          <w:szCs w:val="18"/>
                        </w:rPr>
                        <w:t>调增价款的支</w:t>
                      </w:r>
                    </w:p>
                    <w:p w14:paraId="67A1E57C">
                      <w:pPr>
                        <w:pStyle w:val="39"/>
                        <w:spacing w:line="200" w:lineRule="exact"/>
                        <w:rPr>
                          <w:rFonts w:hint="eastAsia" w:ascii="楷体_GB2312" w:hAnsi="宋体"/>
                          <w:sz w:val="18"/>
                          <w:szCs w:val="18"/>
                        </w:rPr>
                      </w:pPr>
                      <w:r>
                        <w:rPr>
                          <w:rFonts w:hint="eastAsia" w:ascii="楷体_GB2312" w:hAnsi="宋体" w:cs="楷体_GB2312"/>
                          <w:sz w:val="18"/>
                          <w:szCs w:val="18"/>
                        </w:rPr>
                        <w:t>付</w:t>
                      </w:r>
                    </w:p>
                  </w:txbxContent>
                </v:textbox>
              </v:rect>
            </w:pict>
          </mc:Fallback>
        </mc:AlternateContent>
      </w:r>
      <w:r>
        <w:rPr>
          <w:rFonts w:hint="eastAsia" w:hAnsi="宋体" w:eastAsia="宋体" w:cs="宋体"/>
          <w:color w:val="auto"/>
          <w:sz w:val="24"/>
          <w:szCs w:val="24"/>
          <w:highlight w:val="none"/>
        </w:rPr>
        <w:t>经合同双方当事人确认或造价工程师暂定调增的合同价款，作为追加合同价款，与工程进度款或结算款同期支付。</w:t>
      </w:r>
    </w:p>
    <w:p w14:paraId="013EFAB2">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77.5 </w:t>
      </w:r>
      <w:r>
        <w:rPr>
          <w:rFonts w:hint="eastAsia" w:hAnsi="宋体" w:eastAsia="宋体" w:cs="宋体"/>
          <w:b/>
          <w:bCs/>
          <w:color w:val="auto"/>
          <w:sz w:val="24"/>
          <w:szCs w:val="24"/>
          <w:highlight w:val="none"/>
          <w:u w:val="dotted"/>
        </w:rPr>
        <w:t xml:space="preserve">                                                                               </w:t>
      </w:r>
    </w:p>
    <w:p w14:paraId="390D3895">
      <w:pPr>
        <w:pStyle w:val="22"/>
        <w:adjustRightInd w:val="0"/>
        <w:snapToGrid w:val="0"/>
        <w:spacing w:line="300" w:lineRule="auto"/>
        <w:ind w:left="1606" w:leftChars="765"/>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999232"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1358" name="000221"/>
                <wp:cNvGraphicFramePr/>
                <a:graphic xmlns:a="http://schemas.openxmlformats.org/drawingml/2006/main">
                  <a:graphicData uri="http://schemas.microsoft.com/office/word/2010/wordprocessingShape">
                    <wps:wsp>
                      <wps:cNvSpPr/>
                      <wps:spPr>
                        <a:xfrm>
                          <a:off x="0" y="0"/>
                          <a:ext cx="1143000" cy="495300"/>
                        </a:xfrm>
                        <a:prstGeom prst="rect">
                          <a:avLst/>
                        </a:prstGeom>
                        <a:ln>
                          <a:noFill/>
                        </a:ln>
                      </wps:spPr>
                      <wps:txbx>
                        <w:txbxContent>
                          <w:p w14:paraId="2D901E4C">
                            <w:pPr>
                              <w:pStyle w:val="39"/>
                              <w:spacing w:line="200" w:lineRule="exact"/>
                              <w:rPr>
                                <w:rFonts w:hint="eastAsia" w:ascii="楷体_GB2312" w:hAnsi="宋体"/>
                                <w:sz w:val="18"/>
                                <w:szCs w:val="18"/>
                              </w:rPr>
                            </w:pPr>
                            <w:r>
                              <w:rPr>
                                <w:rFonts w:hint="eastAsia" w:ascii="楷体_GB2312" w:hAnsi="宋体" w:cs="楷体_GB2312"/>
                                <w:sz w:val="18"/>
                                <w:szCs w:val="18"/>
                              </w:rPr>
                              <w:t>合同价款调减</w:t>
                            </w:r>
                          </w:p>
                          <w:p w14:paraId="2361E654">
                            <w:pPr>
                              <w:pStyle w:val="39"/>
                              <w:spacing w:line="200" w:lineRule="exact"/>
                              <w:rPr>
                                <w:rFonts w:hint="eastAsia" w:ascii="楷体_GB2312" w:hAnsi="宋体"/>
                                <w:sz w:val="18"/>
                                <w:szCs w:val="18"/>
                              </w:rPr>
                            </w:pPr>
                            <w:r>
                              <w:rPr>
                                <w:rFonts w:hint="eastAsia" w:ascii="楷体_GB2312" w:hAnsi="宋体" w:cs="楷体_GB2312"/>
                                <w:sz w:val="18"/>
                                <w:szCs w:val="18"/>
                              </w:rPr>
                              <w:t>事件的处理</w:t>
                            </w:r>
                          </w:p>
                        </w:txbxContent>
                      </wps:txbx>
                      <wps:bodyPr wrap="square"/>
                    </wps:wsp>
                  </a:graphicData>
                </a:graphic>
              </wp:anchor>
            </w:drawing>
          </mc:Choice>
          <mc:Fallback>
            <w:pict>
              <v:rect id="000221" o:spid="_x0000_s1026" o:spt="1" style="position:absolute;left:0pt;margin-left:-5.25pt;margin-top:0.45pt;height:39pt;width:90pt;z-index:251999232;mso-width-relative:page;mso-height-relative:page;" filled="f" stroked="f" coordsize="21600,21600" o:gfxdata="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rb+d3XAAAABwEAAA8AAAAAAAAAAQAgAAAAIgAAAGRy&#10;cy9kb3ducmV2LnhtbFBLAQIUABQAAAAIAIdO4kAXRSzrlAEAADkDAAAOAAAAAAAAAAEAIAAAACYB&#10;AABkcnMvZTJvRG9jLnhtbFBLBQYAAAAABgAGAFkBAAAsBQAAAAA=&#10;">
                <v:fill on="f" focussize="0,0"/>
                <v:stroke on="f"/>
                <v:imagedata o:title=""/>
                <o:lock v:ext="edit" aspectratio="f"/>
                <v:textbox>
                  <w:txbxContent>
                    <w:p w14:paraId="2D901E4C">
                      <w:pPr>
                        <w:pStyle w:val="39"/>
                        <w:spacing w:line="200" w:lineRule="exact"/>
                        <w:rPr>
                          <w:rFonts w:hint="eastAsia" w:ascii="楷体_GB2312" w:hAnsi="宋体"/>
                          <w:sz w:val="18"/>
                          <w:szCs w:val="18"/>
                        </w:rPr>
                      </w:pPr>
                      <w:r>
                        <w:rPr>
                          <w:rFonts w:hint="eastAsia" w:ascii="楷体_GB2312" w:hAnsi="宋体" w:cs="楷体_GB2312"/>
                          <w:sz w:val="18"/>
                          <w:szCs w:val="18"/>
                        </w:rPr>
                        <w:t>合同价款调减</w:t>
                      </w:r>
                    </w:p>
                    <w:p w14:paraId="2361E654">
                      <w:pPr>
                        <w:pStyle w:val="39"/>
                        <w:spacing w:line="200" w:lineRule="exact"/>
                        <w:rPr>
                          <w:rFonts w:hint="eastAsia" w:ascii="楷体_GB2312" w:hAnsi="宋体"/>
                          <w:sz w:val="18"/>
                          <w:szCs w:val="18"/>
                        </w:rPr>
                      </w:pPr>
                      <w:r>
                        <w:rPr>
                          <w:rFonts w:hint="eastAsia" w:ascii="楷体_GB2312" w:hAnsi="宋体" w:cs="楷体_GB2312"/>
                          <w:sz w:val="18"/>
                          <w:szCs w:val="18"/>
                        </w:rPr>
                        <w:t>事件的处理</w:t>
                      </w:r>
                    </w:p>
                  </w:txbxContent>
                </v:textbox>
              </v:rect>
            </w:pict>
          </mc:Fallback>
        </mc:AlternateContent>
      </w:r>
      <w:r>
        <w:rPr>
          <w:rFonts w:hint="eastAsia" w:hAnsi="宋体" w:eastAsia="宋体" w:cs="宋体"/>
          <w:color w:val="auto"/>
          <w:sz w:val="24"/>
          <w:szCs w:val="24"/>
          <w:highlight w:val="none"/>
        </w:rPr>
        <w:t>出现合同价款调减事件时，发包人可按照本条规定的时限和要求，向承包人提交合同价款调减报告以及调减的金额，但调减部分金额应按照实际调减金额乘以承包人报价浮动率计算。</w:t>
      </w:r>
    </w:p>
    <w:p w14:paraId="642191B1">
      <w:pPr>
        <w:pStyle w:val="22"/>
        <w:adjustRightInd w:val="0"/>
        <w:snapToGrid w:val="0"/>
        <w:spacing w:line="300" w:lineRule="auto"/>
        <w:ind w:left="1626" w:right="-238" w:hanging="1626" w:hangingChars="675"/>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3374CC0B">
      <w:pPr>
        <w:pStyle w:val="4"/>
        <w:tabs>
          <w:tab w:val="left" w:pos="420"/>
        </w:tabs>
        <w:spacing w:line="300" w:lineRule="auto"/>
        <w:rPr>
          <w:rFonts w:hint="eastAsia" w:ascii="宋体" w:hAnsi="宋体" w:eastAsia="宋体" w:cs="宋体"/>
          <w:color w:val="auto"/>
          <w:sz w:val="24"/>
          <w:szCs w:val="24"/>
          <w:highlight w:val="none"/>
        </w:rPr>
      </w:pPr>
      <w:bookmarkStart w:id="181" w:name="_Toc469384062"/>
      <w:bookmarkStart w:id="182" w:name="_Toc46860883"/>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rPr>
        <w:t>78  支付事项</w:t>
      </w:r>
      <w:bookmarkEnd w:id="181"/>
      <w:bookmarkEnd w:id="182"/>
    </w:p>
    <w:p w14:paraId="43829565">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78.1   </w:t>
      </w:r>
    </w:p>
    <w:p w14:paraId="215C4510">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00256"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1359" name="000222"/>
                <wp:cNvGraphicFramePr/>
                <a:graphic xmlns:a="http://schemas.openxmlformats.org/drawingml/2006/main">
                  <a:graphicData uri="http://schemas.microsoft.com/office/word/2010/wordprocessingShape">
                    <wps:wsp>
                      <wps:cNvSpPr/>
                      <wps:spPr>
                        <a:xfrm>
                          <a:off x="0" y="0"/>
                          <a:ext cx="1143000" cy="314325"/>
                        </a:xfrm>
                        <a:prstGeom prst="rect">
                          <a:avLst/>
                        </a:prstGeom>
                        <a:ln>
                          <a:noFill/>
                        </a:ln>
                      </wps:spPr>
                      <wps:txbx>
                        <w:txbxContent>
                          <w:p w14:paraId="18750C7C">
                            <w:pPr>
                              <w:pStyle w:val="39"/>
                              <w:spacing w:line="200" w:lineRule="exact"/>
                              <w:rPr>
                                <w:rFonts w:hint="eastAsia" w:ascii="楷体_GB2312" w:hAnsi="宋体"/>
                                <w:sz w:val="18"/>
                                <w:szCs w:val="18"/>
                              </w:rPr>
                            </w:pPr>
                            <w:r>
                              <w:rPr>
                                <w:rFonts w:hint="eastAsia" w:ascii="楷体_GB2312" w:hAnsi="宋体" w:cs="楷体_GB2312"/>
                                <w:sz w:val="18"/>
                                <w:szCs w:val="18"/>
                              </w:rPr>
                              <w:t>支付工程款项</w:t>
                            </w:r>
                          </w:p>
                        </w:txbxContent>
                      </wps:txbx>
                      <wps:bodyPr wrap="square"/>
                    </wps:wsp>
                  </a:graphicData>
                </a:graphic>
              </wp:anchor>
            </w:drawing>
          </mc:Choice>
          <mc:Fallback>
            <w:pict>
              <v:rect id="000222" o:spid="_x0000_s1026" o:spt="1" style="position:absolute;left:0pt;margin-left:-9pt;margin-top:1.7pt;height:24.75pt;width:90pt;z-index:252000256;mso-width-relative:page;mso-height-relative:page;" filled="f" stroked="f" coordsize="21600,21600" o:gfxdata="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WLx1RNkAAAAIAQAADwAAAAAAAAABACAAAAAiAAAA&#10;ZHJzL2Rvd25yZXYueG1sUEsBAhQAFAAAAAgAh07iQFTxTYuUAQAAOQMAAA4AAAAAAAAAAQAgAAAA&#10;KAEAAGRycy9lMm9Eb2MueG1sUEsFBgAAAAAGAAYAWQEAAC4FAAAAAA==&#10;">
                <v:fill on="f" focussize="0,0"/>
                <v:stroke on="f"/>
                <v:imagedata o:title=""/>
                <o:lock v:ext="edit" aspectratio="f"/>
                <v:textbox>
                  <w:txbxContent>
                    <w:p w14:paraId="18750C7C">
                      <w:pPr>
                        <w:pStyle w:val="39"/>
                        <w:spacing w:line="200" w:lineRule="exact"/>
                        <w:rPr>
                          <w:rFonts w:hint="eastAsia" w:ascii="楷体_GB2312" w:hAnsi="宋体"/>
                          <w:sz w:val="18"/>
                          <w:szCs w:val="18"/>
                        </w:rPr>
                      </w:pPr>
                      <w:r>
                        <w:rPr>
                          <w:rFonts w:hint="eastAsia" w:ascii="楷体_GB2312" w:hAnsi="宋体" w:cs="楷体_GB2312"/>
                          <w:sz w:val="18"/>
                          <w:szCs w:val="18"/>
                        </w:rPr>
                        <w:t>支付工程款项</w:t>
                      </w:r>
                    </w:p>
                  </w:txbxContent>
                </v:textbox>
              </v:rect>
            </w:pict>
          </mc:Fallback>
        </mc:AlternateContent>
      </w:r>
      <w:r>
        <w:rPr>
          <w:rFonts w:hint="eastAsia" w:hAnsi="宋体" w:eastAsia="宋体" w:cs="宋体"/>
          <w:color w:val="auto"/>
          <w:sz w:val="24"/>
          <w:szCs w:val="24"/>
          <w:highlight w:val="none"/>
        </w:rPr>
        <w:t>发包人应按照下列规定向承包人支付工程款及其他各种款项：</w:t>
      </w:r>
    </w:p>
    <w:p w14:paraId="4B9E15DB">
      <w:pPr>
        <w:pStyle w:val="22"/>
        <w:adjustRightInd w:val="0"/>
        <w:snapToGrid w:val="0"/>
        <w:spacing w:line="300" w:lineRule="auto"/>
        <w:ind w:left="1079" w:leftChars="514" w:firstLine="720" w:firstLineChars="300"/>
        <w:rPr>
          <w:rFonts w:hint="eastAsia" w:hAnsi="宋体" w:eastAsia="宋体" w:cs="宋体"/>
          <w:color w:val="auto"/>
          <w:sz w:val="24"/>
          <w:szCs w:val="24"/>
          <w:highlight w:val="none"/>
        </w:rPr>
      </w:pPr>
      <w:r>
        <w:rPr>
          <w:rFonts w:hint="eastAsia" w:hAnsi="宋体" w:eastAsia="宋体" w:cs="宋体"/>
          <w:color w:val="auto"/>
          <w:sz w:val="24"/>
          <w:szCs w:val="24"/>
          <w:highlight w:val="none"/>
        </w:rPr>
        <w:t>(1)预付款按照第79条的规定支付；</w:t>
      </w:r>
    </w:p>
    <w:p w14:paraId="08A91EA5">
      <w:pPr>
        <w:pStyle w:val="22"/>
        <w:adjustRightInd w:val="0"/>
        <w:snapToGrid w:val="0"/>
        <w:spacing w:line="300" w:lineRule="auto"/>
        <w:ind w:left="1079" w:leftChars="514" w:firstLine="720" w:firstLineChars="300"/>
        <w:rPr>
          <w:rFonts w:hint="eastAsia" w:hAnsi="宋体" w:eastAsia="宋体" w:cs="宋体"/>
          <w:color w:val="auto"/>
          <w:sz w:val="24"/>
          <w:szCs w:val="24"/>
          <w:highlight w:val="none"/>
        </w:rPr>
      </w:pPr>
      <w:r>
        <w:rPr>
          <w:rFonts w:hint="eastAsia" w:hAnsi="宋体" w:eastAsia="宋体" w:cs="宋体"/>
          <w:color w:val="auto"/>
          <w:sz w:val="24"/>
          <w:szCs w:val="24"/>
          <w:highlight w:val="none"/>
        </w:rPr>
        <w:t>(2) 绿色施工安全防护费按照第80条规定支付；</w:t>
      </w:r>
    </w:p>
    <w:p w14:paraId="553FEDCB">
      <w:pPr>
        <w:pStyle w:val="22"/>
        <w:adjustRightInd w:val="0"/>
        <w:snapToGrid w:val="0"/>
        <w:spacing w:line="300" w:lineRule="auto"/>
        <w:ind w:left="1079" w:leftChars="514" w:firstLine="720" w:firstLineChars="300"/>
        <w:rPr>
          <w:rFonts w:hint="eastAsia" w:hAnsi="宋体" w:eastAsia="宋体" w:cs="宋体"/>
          <w:color w:val="auto"/>
          <w:sz w:val="24"/>
          <w:szCs w:val="24"/>
          <w:highlight w:val="none"/>
        </w:rPr>
      </w:pPr>
      <w:r>
        <w:rPr>
          <w:rFonts w:hint="eastAsia" w:hAnsi="宋体" w:eastAsia="宋体" w:cs="宋体"/>
          <w:color w:val="auto"/>
          <w:sz w:val="24"/>
          <w:szCs w:val="24"/>
          <w:highlight w:val="none"/>
        </w:rPr>
        <w:t>(3)进度款按照第81条的规定支付；</w:t>
      </w:r>
    </w:p>
    <w:p w14:paraId="586A6AAF">
      <w:pPr>
        <w:pStyle w:val="22"/>
        <w:adjustRightInd w:val="0"/>
        <w:snapToGrid w:val="0"/>
        <w:spacing w:line="300" w:lineRule="auto"/>
        <w:ind w:left="481" w:leftChars="229" w:firstLine="1320" w:firstLineChars="550"/>
        <w:rPr>
          <w:rFonts w:hint="eastAsia" w:hAnsi="宋体" w:eastAsia="宋体" w:cs="宋体"/>
          <w:color w:val="auto"/>
          <w:sz w:val="24"/>
          <w:szCs w:val="24"/>
          <w:highlight w:val="none"/>
        </w:rPr>
      </w:pPr>
      <w:r>
        <w:rPr>
          <w:rFonts w:hint="eastAsia" w:hAnsi="宋体" w:eastAsia="宋体" w:cs="宋体"/>
          <w:color w:val="auto"/>
          <w:sz w:val="24"/>
          <w:szCs w:val="24"/>
          <w:highlight w:val="none"/>
        </w:rPr>
        <w:t>(4)结算款按照第83条的规定支付；</w:t>
      </w:r>
    </w:p>
    <w:p w14:paraId="503D4D9C">
      <w:pPr>
        <w:pStyle w:val="22"/>
        <w:adjustRightInd w:val="0"/>
        <w:snapToGrid w:val="0"/>
        <w:spacing w:line="300" w:lineRule="auto"/>
        <w:ind w:left="1079" w:leftChars="514" w:firstLine="720" w:firstLineChars="300"/>
        <w:rPr>
          <w:rFonts w:hint="eastAsia" w:hAnsi="宋体" w:eastAsia="宋体" w:cs="宋体"/>
          <w:color w:val="auto"/>
          <w:sz w:val="24"/>
          <w:szCs w:val="24"/>
          <w:highlight w:val="none"/>
        </w:rPr>
      </w:pPr>
      <w:r>
        <w:rPr>
          <w:rFonts w:hint="eastAsia" w:hAnsi="宋体" w:eastAsia="宋体" w:cs="宋体"/>
          <w:color w:val="auto"/>
          <w:sz w:val="24"/>
          <w:szCs w:val="24"/>
          <w:highlight w:val="none"/>
        </w:rPr>
        <w:t>(5)质量保证金按照第84条的规定支付；</w:t>
      </w:r>
    </w:p>
    <w:p w14:paraId="6AA1A532">
      <w:pPr>
        <w:pStyle w:val="22"/>
        <w:adjustRightInd w:val="0"/>
        <w:snapToGrid w:val="0"/>
        <w:spacing w:line="300" w:lineRule="auto"/>
        <w:ind w:left="1079" w:leftChars="514" w:firstLine="720" w:firstLineChars="300"/>
        <w:rPr>
          <w:rFonts w:hint="eastAsia" w:hAnsi="宋体" w:eastAsia="宋体" w:cs="宋体"/>
          <w:color w:val="auto"/>
          <w:sz w:val="24"/>
          <w:szCs w:val="24"/>
          <w:highlight w:val="none"/>
        </w:rPr>
      </w:pPr>
      <w:r>
        <w:rPr>
          <w:rFonts w:hint="eastAsia" w:hAnsi="宋体" w:eastAsia="宋体" w:cs="宋体"/>
          <w:color w:val="auto"/>
          <w:sz w:val="24"/>
          <w:szCs w:val="24"/>
          <w:highlight w:val="none"/>
        </w:rPr>
        <w:t>(6)最终清算款按照第85条的规定支付。</w:t>
      </w:r>
    </w:p>
    <w:p w14:paraId="0D93E376">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78.2  </w:t>
      </w:r>
      <w:r>
        <w:rPr>
          <w:rFonts w:hint="eastAsia" w:hAnsi="宋体" w:eastAsia="宋体" w:cs="宋体"/>
          <w:b/>
          <w:bCs/>
          <w:color w:val="auto"/>
          <w:sz w:val="24"/>
          <w:szCs w:val="24"/>
          <w:highlight w:val="none"/>
          <w:u w:val="dotted"/>
        </w:rPr>
        <w:t xml:space="preserve">                                                                                                         </w:t>
      </w:r>
    </w:p>
    <w:p w14:paraId="4795A1B1">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01280"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1360" name="000223"/>
                <wp:cNvGraphicFramePr/>
                <a:graphic xmlns:a="http://schemas.openxmlformats.org/drawingml/2006/main">
                  <a:graphicData uri="http://schemas.microsoft.com/office/word/2010/wordprocessingShape">
                    <wps:wsp>
                      <wps:cNvSpPr/>
                      <wps:spPr>
                        <a:xfrm>
                          <a:off x="0" y="0"/>
                          <a:ext cx="914400" cy="398144"/>
                        </a:xfrm>
                        <a:prstGeom prst="rect">
                          <a:avLst/>
                        </a:prstGeom>
                        <a:ln>
                          <a:noFill/>
                        </a:ln>
                      </wps:spPr>
                      <wps:txbx>
                        <w:txbxContent>
                          <w:p w14:paraId="60CF85AD">
                            <w:pPr>
                              <w:pStyle w:val="39"/>
                              <w:spacing w:line="200" w:lineRule="exact"/>
                              <w:rPr>
                                <w:rFonts w:hint="eastAsia" w:ascii="楷体_GB2312" w:hAnsi="宋体"/>
                                <w:sz w:val="18"/>
                                <w:szCs w:val="18"/>
                              </w:rPr>
                            </w:pPr>
                            <w:r>
                              <w:rPr>
                                <w:rFonts w:hint="eastAsia" w:ascii="楷体_GB2312" w:hAnsi="宋体" w:cs="楷体_GB2312"/>
                                <w:sz w:val="18"/>
                                <w:szCs w:val="18"/>
                              </w:rPr>
                              <w:t>延迟支付的利息计算</w:t>
                            </w:r>
                          </w:p>
                        </w:txbxContent>
                      </wps:txbx>
                      <wps:bodyPr wrap="square"/>
                    </wps:wsp>
                  </a:graphicData>
                </a:graphic>
              </wp:anchor>
            </w:drawing>
          </mc:Choice>
          <mc:Fallback>
            <w:pict>
              <v:rect id="000223" o:spid="_x0000_s1026" o:spt="1" style="position:absolute;left:0pt;margin-left:-9pt;margin-top:3.45pt;height:31.35pt;width:72pt;z-index:252001280;mso-width-relative:page;mso-height-relative:page;" filled="f" stroked="f" coordsize="21600,21600" o:gfxdata="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JNkcLNcAAAAIAQAADwAAAAAAAAABACAAAAAiAAAAZHJz&#10;L2Rvd25yZXYueG1sUEsBAhQAFAAAAAgAh07iQC+UoLKTAQAAOAMAAA4AAAAAAAAAAQAgAAAAJgEA&#10;AGRycy9lMm9Eb2MueG1sUEsFBgAAAAAGAAYAWQEAACsFAAAAAA==&#10;">
                <v:fill on="f" focussize="0,0"/>
                <v:stroke on="f"/>
                <v:imagedata o:title=""/>
                <o:lock v:ext="edit" aspectratio="f"/>
                <v:textbox>
                  <w:txbxContent>
                    <w:p w14:paraId="60CF85AD">
                      <w:pPr>
                        <w:pStyle w:val="39"/>
                        <w:spacing w:line="200" w:lineRule="exact"/>
                        <w:rPr>
                          <w:rFonts w:hint="eastAsia" w:ascii="楷体_GB2312" w:hAnsi="宋体"/>
                          <w:sz w:val="18"/>
                          <w:szCs w:val="18"/>
                        </w:rPr>
                      </w:pPr>
                      <w:r>
                        <w:rPr>
                          <w:rFonts w:hint="eastAsia" w:ascii="楷体_GB2312" w:hAnsi="宋体" w:cs="楷体_GB2312"/>
                          <w:sz w:val="18"/>
                          <w:szCs w:val="18"/>
                        </w:rPr>
                        <w:t>延迟支付的利息计算</w:t>
                      </w:r>
                    </w:p>
                  </w:txbxContent>
                </v:textbox>
              </v:rect>
            </w:pict>
          </mc:Fallback>
        </mc:AlternateContent>
      </w:r>
      <w:r>
        <w:rPr>
          <w:rFonts w:hint="eastAsia" w:hAnsi="宋体" w:eastAsia="宋体" w:cs="宋体"/>
          <w:color w:val="auto"/>
          <w:sz w:val="24"/>
          <w:szCs w:val="24"/>
          <w:highlight w:val="none"/>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14:paraId="7A8B6BCC">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78.3  </w:t>
      </w:r>
      <w:r>
        <w:rPr>
          <w:rFonts w:hint="eastAsia" w:hAnsi="宋体" w:eastAsia="宋体" w:cs="宋体"/>
          <w:b/>
          <w:bCs/>
          <w:color w:val="auto"/>
          <w:sz w:val="24"/>
          <w:szCs w:val="24"/>
          <w:highlight w:val="none"/>
          <w:u w:val="dotted"/>
        </w:rPr>
        <w:t xml:space="preserve">                                                                                                        </w:t>
      </w:r>
    </w:p>
    <w:p w14:paraId="570ADB93">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02304"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1361" name="000224"/>
                <wp:cNvGraphicFramePr/>
                <a:graphic xmlns:a="http://schemas.openxmlformats.org/drawingml/2006/main">
                  <a:graphicData uri="http://schemas.microsoft.com/office/word/2010/wordprocessingShape">
                    <wps:wsp>
                      <wps:cNvSpPr/>
                      <wps:spPr>
                        <a:xfrm>
                          <a:off x="0" y="0"/>
                          <a:ext cx="914400" cy="438150"/>
                        </a:xfrm>
                        <a:prstGeom prst="rect">
                          <a:avLst/>
                        </a:prstGeom>
                        <a:ln>
                          <a:noFill/>
                        </a:ln>
                      </wps:spPr>
                      <wps:txbx>
                        <w:txbxContent>
                          <w:p w14:paraId="4B2C2E3B">
                            <w:pPr>
                              <w:pStyle w:val="39"/>
                              <w:spacing w:line="200" w:lineRule="exact"/>
                              <w:rPr>
                                <w:rFonts w:hint="eastAsia" w:ascii="楷体_GB2312" w:hAnsi="宋体"/>
                                <w:sz w:val="18"/>
                                <w:szCs w:val="18"/>
                              </w:rPr>
                            </w:pPr>
                            <w:r>
                              <w:rPr>
                                <w:rFonts w:hint="eastAsia" w:ascii="楷体_GB2312" w:hAnsi="宋体" w:cs="楷体_GB2312"/>
                                <w:sz w:val="18"/>
                                <w:szCs w:val="18"/>
                              </w:rPr>
                              <w:t>承包人提供支付凭证</w:t>
                            </w:r>
                          </w:p>
                        </w:txbxContent>
                      </wps:txbx>
                      <wps:bodyPr wrap="square"/>
                    </wps:wsp>
                  </a:graphicData>
                </a:graphic>
              </wp:anchor>
            </w:drawing>
          </mc:Choice>
          <mc:Fallback>
            <w:pict>
              <v:rect id="000224" o:spid="_x0000_s1026" o:spt="1" style="position:absolute;left:0pt;margin-left:-9pt;margin-top:0.35pt;height:34.5pt;width:72pt;z-index:252002304;mso-width-relative:page;mso-height-relative:page;" filled="f" stroked="f" coordsize="21600,21600" o:gfxdata="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LYaHEbXAAAABwEAAA8AAAAAAAAAAQAgAAAAIgAA&#10;AGRycy9kb3ducmV2LnhtbFBLAQIUABQAAAAIAIdO4kCnm9IRlwEAADgDAAAOAAAAAAAAAAEAIAAA&#10;ACYBAABkcnMvZTJvRG9jLnhtbFBLBQYAAAAABgAGAFkBAAAvBQAAAAA=&#10;">
                <v:fill on="f" focussize="0,0"/>
                <v:stroke on="f"/>
                <v:imagedata o:title=""/>
                <o:lock v:ext="edit" aspectratio="f"/>
                <v:textbox>
                  <w:txbxContent>
                    <w:p w14:paraId="4B2C2E3B">
                      <w:pPr>
                        <w:pStyle w:val="39"/>
                        <w:spacing w:line="200" w:lineRule="exact"/>
                        <w:rPr>
                          <w:rFonts w:hint="eastAsia" w:ascii="楷体_GB2312" w:hAnsi="宋体"/>
                          <w:sz w:val="18"/>
                          <w:szCs w:val="18"/>
                        </w:rPr>
                      </w:pPr>
                      <w:r>
                        <w:rPr>
                          <w:rFonts w:hint="eastAsia" w:ascii="楷体_GB2312" w:hAnsi="宋体" w:cs="楷体_GB2312"/>
                          <w:sz w:val="18"/>
                          <w:szCs w:val="18"/>
                        </w:rPr>
                        <w:t>承包人提供支付凭证</w:t>
                      </w:r>
                    </w:p>
                  </w:txbxContent>
                </v:textbox>
              </v:rect>
            </w:pict>
          </mc:Fallback>
        </mc:AlternateContent>
      </w:r>
      <w:r>
        <w:rPr>
          <w:rFonts w:hint="eastAsia" w:hAnsi="宋体" w:eastAsia="宋体" w:cs="宋体"/>
          <w:color w:val="auto"/>
          <w:sz w:val="24"/>
          <w:szCs w:val="24"/>
          <w:highlight w:val="none"/>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14:paraId="3EF2C8F0">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78.4  </w:t>
      </w:r>
      <w:r>
        <w:rPr>
          <w:rFonts w:hint="eastAsia" w:hAnsi="宋体" w:eastAsia="宋体" w:cs="宋体"/>
          <w:b/>
          <w:bCs/>
          <w:color w:val="auto"/>
          <w:sz w:val="24"/>
          <w:szCs w:val="24"/>
          <w:highlight w:val="none"/>
          <w:u w:val="dotted"/>
        </w:rPr>
        <w:t xml:space="preserve">                                                                                                       </w:t>
      </w:r>
    </w:p>
    <w:p w14:paraId="244095F5">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03328"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1362" name="000225"/>
                <wp:cNvGraphicFramePr/>
                <a:graphic xmlns:a="http://schemas.openxmlformats.org/drawingml/2006/main">
                  <a:graphicData uri="http://schemas.microsoft.com/office/word/2010/wordprocessingShape">
                    <wps:wsp>
                      <wps:cNvSpPr/>
                      <wps:spPr>
                        <a:xfrm>
                          <a:off x="0" y="0"/>
                          <a:ext cx="914400" cy="504189"/>
                        </a:xfrm>
                        <a:prstGeom prst="rect">
                          <a:avLst/>
                        </a:prstGeom>
                        <a:ln>
                          <a:noFill/>
                        </a:ln>
                      </wps:spPr>
                      <wps:txbx>
                        <w:txbxContent>
                          <w:p w14:paraId="1DA38A03">
                            <w:pPr>
                              <w:pStyle w:val="39"/>
                              <w:spacing w:line="200" w:lineRule="exact"/>
                              <w:rPr>
                                <w:rFonts w:hint="eastAsia" w:ascii="楷体_GB2312" w:hAnsi="宋体"/>
                                <w:sz w:val="18"/>
                                <w:szCs w:val="18"/>
                              </w:rPr>
                            </w:pPr>
                            <w:r>
                              <w:rPr>
                                <w:rFonts w:hint="eastAsia" w:ascii="楷体_GB2312" w:hAnsi="宋体" w:cs="楷体_GB2312"/>
                                <w:sz w:val="18"/>
                                <w:szCs w:val="18"/>
                              </w:rPr>
                              <w:t>承包人未按规定支付款项的限制</w:t>
                            </w:r>
                          </w:p>
                        </w:txbxContent>
                      </wps:txbx>
                      <wps:bodyPr wrap="square"/>
                    </wps:wsp>
                  </a:graphicData>
                </a:graphic>
              </wp:anchor>
            </w:drawing>
          </mc:Choice>
          <mc:Fallback>
            <w:pict>
              <v:rect id="000225" o:spid="_x0000_s1026" o:spt="1" style="position:absolute;left:0pt;margin-left:-9pt;margin-top:1.75pt;height:39.7pt;width:72pt;z-index:252003328;mso-width-relative:page;mso-height-relative:page;" filled="f" stroked="f" coordsize="21600,21600" o:gfxdata="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DtwbSjYAAAACAEAAA8AAAAAAAAAAQAgAAAAIgAA&#10;AGRycy9kb3ducmV2LnhtbFBLAQIUABQAAAAIAIdO4kCMeQMFlgEAADgDAAAOAAAAAAAAAAEAIAAA&#10;ACcBAABkcnMvZTJvRG9jLnhtbFBLBQYAAAAABgAGAFkBAAAvBQAAAAA=&#10;">
                <v:fill on="f" focussize="0,0"/>
                <v:stroke on="f"/>
                <v:imagedata o:title=""/>
                <o:lock v:ext="edit" aspectratio="f"/>
                <v:textbox>
                  <w:txbxContent>
                    <w:p w14:paraId="1DA38A03">
                      <w:pPr>
                        <w:pStyle w:val="39"/>
                        <w:spacing w:line="200" w:lineRule="exact"/>
                        <w:rPr>
                          <w:rFonts w:hint="eastAsia" w:ascii="楷体_GB2312" w:hAnsi="宋体"/>
                          <w:sz w:val="18"/>
                          <w:szCs w:val="18"/>
                        </w:rPr>
                      </w:pPr>
                      <w:r>
                        <w:rPr>
                          <w:rFonts w:hint="eastAsia" w:ascii="楷体_GB2312" w:hAnsi="宋体" w:cs="楷体_GB2312"/>
                          <w:sz w:val="18"/>
                          <w:szCs w:val="18"/>
                        </w:rPr>
                        <w:t>承包人未按规定支付款项的限制</w:t>
                      </w:r>
                    </w:p>
                  </w:txbxContent>
                </v:textbox>
              </v:rect>
            </w:pict>
          </mc:Fallback>
        </mc:AlternateContent>
      </w:r>
      <w:r>
        <w:rPr>
          <w:rFonts w:hint="eastAsia" w:hAnsi="宋体" w:eastAsia="宋体" w:cs="宋体"/>
          <w:color w:val="auto"/>
          <w:sz w:val="24"/>
          <w:szCs w:val="24"/>
          <w:highlight w:val="none"/>
        </w:rPr>
        <w:t>如果承包人未按照雇员劳务合同和政府有关规定支付雇员劳务工资，或未按照分包合同支付分包人工程款，或未按照购销合同支付材料和工程设备供应商货款，均视为承包人违约。若在造价工程师书面通知改正后的7天内，承包人仍未采取措施补救的，发包人可在不损害承包人其他权利的前提下，实施下列工作：</w:t>
      </w:r>
    </w:p>
    <w:p w14:paraId="408465E4">
      <w:pPr>
        <w:pStyle w:val="22"/>
        <w:numPr>
          <w:ilvl w:val="0"/>
          <w:numId w:val="25"/>
        </w:numPr>
        <w:tabs>
          <w:tab w:val="left" w:pos="2160"/>
        </w:tabs>
        <w:adjustRightInd w:val="0"/>
        <w:snapToGrid w:val="0"/>
        <w:spacing w:line="300" w:lineRule="auto"/>
        <w:ind w:left="1619" w:leftChars="771" w:firstLine="0"/>
        <w:rPr>
          <w:rFonts w:hint="eastAsia" w:hAnsi="宋体" w:eastAsia="宋体" w:cs="宋体"/>
          <w:color w:val="auto"/>
          <w:sz w:val="24"/>
          <w:szCs w:val="24"/>
          <w:highlight w:val="none"/>
        </w:rPr>
      </w:pPr>
      <w:r>
        <w:rPr>
          <w:rFonts w:hint="eastAsia" w:hAnsi="宋体" w:eastAsia="宋体" w:cs="宋体"/>
          <w:color w:val="auto"/>
          <w:sz w:val="24"/>
          <w:szCs w:val="24"/>
          <w:highlight w:val="none"/>
        </w:rPr>
        <w:t>立即停止向承包人支付应付的款项；</w:t>
      </w:r>
    </w:p>
    <w:p w14:paraId="385AF686">
      <w:pPr>
        <w:pStyle w:val="22"/>
        <w:numPr>
          <w:ilvl w:val="0"/>
          <w:numId w:val="25"/>
        </w:numPr>
        <w:tabs>
          <w:tab w:val="left" w:pos="2160"/>
        </w:tabs>
        <w:adjustRightInd w:val="0"/>
        <w:snapToGrid w:val="0"/>
        <w:spacing w:line="300" w:lineRule="auto"/>
        <w:ind w:left="1618" w:leftChars="770" w:hanging="1"/>
        <w:rPr>
          <w:rFonts w:hint="eastAsia" w:hAnsi="宋体" w:eastAsia="宋体" w:cs="宋体"/>
          <w:color w:val="auto"/>
          <w:sz w:val="24"/>
          <w:szCs w:val="24"/>
          <w:highlight w:val="none"/>
        </w:rPr>
      </w:pPr>
      <w:r>
        <w:rPr>
          <w:rFonts w:hint="eastAsia" w:hAnsi="宋体" w:eastAsia="宋体" w:cs="宋体"/>
          <w:color w:val="auto"/>
          <w:sz w:val="24"/>
          <w:szCs w:val="24"/>
          <w:highlight w:val="none"/>
        </w:rPr>
        <w:t>在相应支付期应付的工程款范围内，直接向雇员、分包人和材料设备供应商支付承包人应付的款项。</w:t>
      </w:r>
    </w:p>
    <w:p w14:paraId="57A69679">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发包人在实施上述工作后的14天内应以书面形式通知承包人，抄送造价工程师。造价工程师在签发下期支付证书时，应扣除已由发包人直接支付的款项。由于上述工作原因发生的费用由承包人承担；给发包人造成损失的，承包人应予赔偿。</w:t>
      </w:r>
    </w:p>
    <w:p w14:paraId="40BC10AB">
      <w:pPr>
        <w:pStyle w:val="22"/>
        <w:adjustRightInd w:val="0"/>
        <w:snapToGrid w:val="0"/>
        <w:spacing w:line="300" w:lineRule="auto"/>
        <w:ind w:right="-238"/>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u w:val="single"/>
        </w:rPr>
        <w:t xml:space="preserve">                                                                                  </w:t>
      </w:r>
    </w:p>
    <w:p w14:paraId="4A289C0F">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183" w:name="_Toc46860884"/>
      <w:bookmarkStart w:id="184" w:name="_Toc469384063"/>
      <w:r>
        <w:rPr>
          <w:rFonts w:hint="eastAsia" w:hAnsi="宋体" w:eastAsia="宋体" w:cs="宋体"/>
          <w:b/>
          <w:bCs/>
          <w:color w:val="auto"/>
          <w:sz w:val="24"/>
          <w:szCs w:val="24"/>
          <w:highlight w:val="none"/>
        </w:rPr>
        <w:t>★79  预付款</w:t>
      </w:r>
      <w:bookmarkEnd w:id="183"/>
      <w:bookmarkEnd w:id="184"/>
    </w:p>
    <w:p w14:paraId="6E1472AF">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04352"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1363" name="000226"/>
                <wp:cNvGraphicFramePr/>
                <a:graphic xmlns:a="http://schemas.openxmlformats.org/drawingml/2006/main">
                  <a:graphicData uri="http://schemas.microsoft.com/office/word/2010/wordprocessingShape">
                    <wps:wsp>
                      <wps:cNvSpPr/>
                      <wps:spPr>
                        <a:xfrm>
                          <a:off x="0" y="0"/>
                          <a:ext cx="1371600" cy="560705"/>
                        </a:xfrm>
                        <a:prstGeom prst="rect">
                          <a:avLst/>
                        </a:prstGeom>
                        <a:ln>
                          <a:noFill/>
                        </a:ln>
                      </wps:spPr>
                      <wps:txbx>
                        <w:txbxContent>
                          <w:p w14:paraId="1DAA2376">
                            <w:pPr>
                              <w:pStyle w:val="39"/>
                              <w:spacing w:line="200" w:lineRule="exact"/>
                              <w:rPr>
                                <w:rFonts w:hint="eastAsia" w:ascii="楷体_GB2312" w:hAnsi="宋体"/>
                                <w:sz w:val="18"/>
                                <w:szCs w:val="18"/>
                              </w:rPr>
                            </w:pPr>
                            <w:r>
                              <w:rPr>
                                <w:rFonts w:hint="eastAsia" w:ascii="楷体_GB2312" w:hAnsi="宋体" w:cs="楷体_GB2312"/>
                                <w:sz w:val="18"/>
                                <w:szCs w:val="18"/>
                              </w:rPr>
                              <w:t>预付款的约定</w:t>
                            </w:r>
                          </w:p>
                          <w:p w14:paraId="4E11EFAB">
                            <w:pPr>
                              <w:pStyle w:val="39"/>
                              <w:spacing w:line="200" w:lineRule="exact"/>
                              <w:rPr>
                                <w:rFonts w:hint="eastAsia" w:ascii="楷体_GB2312" w:hAnsi="宋体"/>
                                <w:sz w:val="18"/>
                                <w:szCs w:val="18"/>
                              </w:rPr>
                            </w:pPr>
                            <w:r>
                              <w:rPr>
                                <w:rFonts w:hint="eastAsia" w:ascii="楷体_GB2312" w:hAnsi="宋体" w:cs="楷体_GB2312"/>
                                <w:sz w:val="18"/>
                                <w:szCs w:val="18"/>
                              </w:rPr>
                              <w:t>及管理</w:t>
                            </w:r>
                          </w:p>
                        </w:txbxContent>
                      </wps:txbx>
                      <wps:bodyPr wrap="square"/>
                    </wps:wsp>
                  </a:graphicData>
                </a:graphic>
              </wp:anchor>
            </w:drawing>
          </mc:Choice>
          <mc:Fallback>
            <w:pict>
              <v:rect id="000226" o:spid="_x0000_s1026" o:spt="1" style="position:absolute;left:0pt;margin-left:-9pt;margin-top:17.85pt;height:44.15pt;width:108pt;z-index:252004352;mso-width-relative:page;mso-height-relative:page;" filled="f" stroked="f" coordsize="21600,21600" o:gfxdata="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DB/wO7bAAAACgEAAA8AAAAAAAAAAQAgAAAA&#10;IgAAAGRycy9kb3ducmV2LnhtbFBLAQIUABQAAAAIAIdO4kC9LYwwlgEAADkDAAAOAAAAAAAAAAEA&#10;IAAAACoBAABkcnMvZTJvRG9jLnhtbFBLBQYAAAAABgAGAFkBAAAyBQAAAAA=&#10;">
                <v:fill on="f" focussize="0,0"/>
                <v:stroke on="f"/>
                <v:imagedata o:title=""/>
                <o:lock v:ext="edit" aspectratio="f"/>
                <v:textbox>
                  <w:txbxContent>
                    <w:p w14:paraId="1DAA2376">
                      <w:pPr>
                        <w:pStyle w:val="39"/>
                        <w:spacing w:line="200" w:lineRule="exact"/>
                        <w:rPr>
                          <w:rFonts w:hint="eastAsia" w:ascii="楷体_GB2312" w:hAnsi="宋体"/>
                          <w:sz w:val="18"/>
                          <w:szCs w:val="18"/>
                        </w:rPr>
                      </w:pPr>
                      <w:r>
                        <w:rPr>
                          <w:rFonts w:hint="eastAsia" w:ascii="楷体_GB2312" w:hAnsi="宋体" w:cs="楷体_GB2312"/>
                          <w:sz w:val="18"/>
                          <w:szCs w:val="18"/>
                        </w:rPr>
                        <w:t>预付款的约定</w:t>
                      </w:r>
                    </w:p>
                    <w:p w14:paraId="4E11EFAB">
                      <w:pPr>
                        <w:pStyle w:val="39"/>
                        <w:spacing w:line="200" w:lineRule="exact"/>
                        <w:rPr>
                          <w:rFonts w:hint="eastAsia" w:ascii="楷体_GB2312" w:hAnsi="宋体"/>
                          <w:sz w:val="18"/>
                          <w:szCs w:val="18"/>
                        </w:rPr>
                      </w:pPr>
                      <w:r>
                        <w:rPr>
                          <w:rFonts w:hint="eastAsia" w:ascii="楷体_GB2312" w:hAnsi="宋体" w:cs="楷体_GB2312"/>
                          <w:sz w:val="18"/>
                          <w:szCs w:val="18"/>
                        </w:rPr>
                        <w:t>及管理</w:t>
                      </w:r>
                    </w:p>
                  </w:txbxContent>
                </v:textbox>
              </v:rect>
            </w:pict>
          </mc:Fallback>
        </mc:AlternateContent>
      </w:r>
      <w:r>
        <w:rPr>
          <w:rFonts w:hint="eastAsia" w:hAnsi="宋体" w:eastAsia="宋体" w:cs="宋体"/>
          <w:b/>
          <w:bCs/>
          <w:color w:val="auto"/>
          <w:sz w:val="24"/>
          <w:szCs w:val="24"/>
          <w:highlight w:val="none"/>
        </w:rPr>
        <w:t xml:space="preserve">79.1      </w:t>
      </w:r>
    </w:p>
    <w:p w14:paraId="2E248C07">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除专用条款另有约定外，合同双方当事人应约定预付款，并在专用条款中明确预付款金额、支付办法和抵扣方式。</w:t>
      </w:r>
    </w:p>
    <w:p w14:paraId="3B3C7246">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预付款专款专用，承包人应在财务账目中表明专用于为合同工程施工购置材料、工程设备、施工设备、修建临时设施以及组织施工队伍进场等所需的款项，不得挪作他用。除专用条款另有约定外，预付款的预付比例不低于合同价款（扣除暂列金额）的10%，不高于合同价款（扣除暂列金额）的30%。</w:t>
      </w:r>
    </w:p>
    <w:p w14:paraId="1F8B70A4">
      <w:pPr>
        <w:pStyle w:val="22"/>
        <w:tabs>
          <w:tab w:val="left" w:pos="1320"/>
        </w:tabs>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79.2  </w:t>
      </w:r>
      <w:r>
        <w:rPr>
          <w:rFonts w:hint="eastAsia" w:hAnsi="宋体" w:eastAsia="宋体" w:cs="宋体"/>
          <w:b/>
          <w:bCs/>
          <w:color w:val="auto"/>
          <w:sz w:val="24"/>
          <w:szCs w:val="24"/>
          <w:highlight w:val="none"/>
          <w:u w:val="dotted"/>
        </w:rPr>
        <w:t xml:space="preserve">                                                                                                        </w:t>
      </w:r>
    </w:p>
    <w:p w14:paraId="44C2A9ED">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05376"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1364" name="000227"/>
                <wp:cNvGraphicFramePr/>
                <a:graphic xmlns:a="http://schemas.openxmlformats.org/drawingml/2006/main">
                  <a:graphicData uri="http://schemas.microsoft.com/office/word/2010/wordprocessingShape">
                    <wps:wsp>
                      <wps:cNvSpPr/>
                      <wps:spPr>
                        <a:xfrm>
                          <a:off x="0" y="0"/>
                          <a:ext cx="914400" cy="591185"/>
                        </a:xfrm>
                        <a:prstGeom prst="rect">
                          <a:avLst/>
                        </a:prstGeom>
                        <a:ln>
                          <a:noFill/>
                        </a:ln>
                      </wps:spPr>
                      <wps:txbx>
                        <w:txbxContent>
                          <w:p w14:paraId="369A6E7F">
                            <w:pPr>
                              <w:pStyle w:val="39"/>
                              <w:spacing w:line="200" w:lineRule="exact"/>
                              <w:rPr>
                                <w:rFonts w:hint="eastAsia" w:ascii="楷体_GB2312" w:hAnsi="宋体"/>
                                <w:sz w:val="18"/>
                                <w:szCs w:val="18"/>
                              </w:rPr>
                            </w:pPr>
                            <w:r>
                              <w:rPr>
                                <w:rFonts w:hint="eastAsia" w:ascii="楷体_GB2312" w:hAnsi="宋体" w:cs="楷体_GB2312"/>
                                <w:sz w:val="18"/>
                                <w:szCs w:val="18"/>
                              </w:rPr>
                              <w:t>预付款支付申请的提交、核实与支付</w:t>
                            </w:r>
                          </w:p>
                        </w:txbxContent>
                      </wps:txbx>
                      <wps:bodyPr wrap="square"/>
                    </wps:wsp>
                  </a:graphicData>
                </a:graphic>
              </wp:anchor>
            </w:drawing>
          </mc:Choice>
          <mc:Fallback>
            <w:pict>
              <v:rect id="000227" o:spid="_x0000_s1026" o:spt="1" style="position:absolute;left:0pt;margin-left:-9pt;margin-top:1.55pt;height:46.55pt;width:72pt;z-index:252005376;mso-width-relative:page;mso-height-relative:page;" filled="f" stroked="f" coordsize="21600,21600" o:gfxdata="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Efb/WvYAAAACAEAAA8AAAAAAAAAAQAgAAAAIgAA&#10;AGRycy9kb3ducmV2LnhtbFBLAQIUABQAAAAIAIdO4kCivZ/6lgEAADgDAAAOAAAAAAAAAAEAIAAA&#10;ACcBAABkcnMvZTJvRG9jLnhtbFBLBQYAAAAABgAGAFkBAAAvBQAAAAA=&#10;">
                <v:fill on="f" focussize="0,0"/>
                <v:stroke on="f"/>
                <v:imagedata o:title=""/>
                <o:lock v:ext="edit" aspectratio="f"/>
                <v:textbox>
                  <w:txbxContent>
                    <w:p w14:paraId="369A6E7F">
                      <w:pPr>
                        <w:pStyle w:val="39"/>
                        <w:spacing w:line="200" w:lineRule="exact"/>
                        <w:rPr>
                          <w:rFonts w:hint="eastAsia" w:ascii="楷体_GB2312" w:hAnsi="宋体"/>
                          <w:sz w:val="18"/>
                          <w:szCs w:val="18"/>
                        </w:rPr>
                      </w:pPr>
                      <w:r>
                        <w:rPr>
                          <w:rFonts w:hint="eastAsia" w:ascii="楷体_GB2312" w:hAnsi="宋体" w:cs="楷体_GB2312"/>
                          <w:sz w:val="18"/>
                          <w:szCs w:val="18"/>
                        </w:rPr>
                        <w:t>预付款支付申请的提交、核实与支付</w:t>
                      </w:r>
                    </w:p>
                  </w:txbxContent>
                </v:textbox>
              </v:rect>
            </w:pict>
          </mc:Fallback>
        </mc:AlternateContent>
      </w:r>
      <w:r>
        <w:rPr>
          <w:rFonts w:hint="eastAsia" w:hAnsi="宋体" w:eastAsia="宋体" w:cs="宋体"/>
          <w:color w:val="auto"/>
          <w:sz w:val="24"/>
          <w:szCs w:val="24"/>
          <w:highlight w:val="none"/>
        </w:rPr>
        <w:t>承包人在完成下列工作后，应按照专用条款约定的期限内向造价工程师提交预付款支付申请，并抄送发包人。</w:t>
      </w:r>
    </w:p>
    <w:p w14:paraId="1C55B395">
      <w:pPr>
        <w:pStyle w:val="22"/>
        <w:adjustRightInd w:val="0"/>
        <w:snapToGrid w:val="0"/>
        <w:spacing w:line="300" w:lineRule="auto"/>
        <w:ind w:firstLine="1620" w:firstLineChars="675"/>
        <w:rPr>
          <w:rFonts w:hint="eastAsia" w:hAnsi="宋体" w:eastAsia="宋体" w:cs="宋体"/>
          <w:color w:val="auto"/>
          <w:sz w:val="24"/>
          <w:szCs w:val="24"/>
          <w:highlight w:val="none"/>
        </w:rPr>
      </w:pPr>
      <w:r>
        <w:rPr>
          <w:rFonts w:hint="eastAsia" w:hAnsi="宋体" w:eastAsia="宋体" w:cs="宋体"/>
          <w:color w:val="auto"/>
          <w:sz w:val="24"/>
          <w:szCs w:val="24"/>
          <w:highlight w:val="none"/>
        </w:rPr>
        <w:t>（1）签订本合同；</w:t>
      </w:r>
    </w:p>
    <w:p w14:paraId="6C62C9A5">
      <w:pPr>
        <w:pStyle w:val="22"/>
        <w:adjustRightInd w:val="0"/>
        <w:snapToGrid w:val="0"/>
        <w:spacing w:line="300" w:lineRule="auto"/>
        <w:ind w:firstLine="1620" w:firstLineChars="675"/>
        <w:rPr>
          <w:rFonts w:hint="eastAsia" w:hAnsi="宋体" w:eastAsia="宋体" w:cs="宋体"/>
          <w:color w:val="auto"/>
          <w:sz w:val="24"/>
          <w:szCs w:val="24"/>
          <w:highlight w:val="none"/>
        </w:rPr>
      </w:pPr>
      <w:r>
        <w:rPr>
          <w:rFonts w:hint="eastAsia" w:hAnsi="宋体" w:eastAsia="宋体" w:cs="宋体"/>
          <w:color w:val="auto"/>
          <w:sz w:val="24"/>
          <w:szCs w:val="24"/>
          <w:highlight w:val="none"/>
        </w:rPr>
        <w:t>（2）按照第28.1款规定提供履约担保；</w:t>
      </w:r>
    </w:p>
    <w:p w14:paraId="4BD1C09B">
      <w:pPr>
        <w:pStyle w:val="22"/>
        <w:adjustRightInd w:val="0"/>
        <w:snapToGrid w:val="0"/>
        <w:spacing w:line="300" w:lineRule="auto"/>
        <w:ind w:firstLine="1620" w:firstLineChars="675"/>
        <w:rPr>
          <w:rFonts w:hint="eastAsia" w:hAnsi="宋体" w:eastAsia="宋体" w:cs="宋体"/>
          <w:color w:val="auto"/>
          <w:sz w:val="24"/>
          <w:szCs w:val="24"/>
          <w:highlight w:val="none"/>
        </w:rPr>
      </w:pPr>
      <w:r>
        <w:rPr>
          <w:rFonts w:hint="eastAsia" w:hAnsi="宋体" w:eastAsia="宋体" w:cs="宋体"/>
          <w:color w:val="auto"/>
          <w:sz w:val="24"/>
          <w:szCs w:val="24"/>
          <w:highlight w:val="none"/>
        </w:rPr>
        <w:t>（3）向发包人提供与预付款等额的预付款保函的正本。</w:t>
      </w:r>
    </w:p>
    <w:p w14:paraId="151776CE">
      <w:pPr>
        <w:pStyle w:val="22"/>
        <w:adjustRightInd w:val="0"/>
        <w:snapToGrid w:val="0"/>
        <w:spacing w:line="300" w:lineRule="auto"/>
        <w:ind w:left="1619" w:leftChars="771" w:firstLine="2"/>
        <w:rPr>
          <w:rFonts w:hint="eastAsia" w:hAnsi="宋体" w:eastAsia="宋体" w:cs="宋体"/>
          <w:color w:val="auto"/>
          <w:sz w:val="24"/>
          <w:szCs w:val="24"/>
          <w:highlight w:val="none"/>
        </w:rPr>
      </w:pPr>
      <w:r>
        <w:rPr>
          <w:rFonts w:hint="eastAsia" w:hAnsi="宋体" w:eastAsia="宋体" w:cs="宋体"/>
          <w:color w:val="auto"/>
          <w:sz w:val="24"/>
          <w:szCs w:val="24"/>
          <w:highlight w:val="none"/>
        </w:rPr>
        <w:t>造价工程师应对支付申请进行核实，并在收到支付申请后的7天内报发包人确认后向发包人发出支付证书，同时抄送承包人。</w:t>
      </w:r>
    </w:p>
    <w:p w14:paraId="39B0340D">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发包人在造价工程师签发支付证书后的30天内向承包人支付预付款，并通知造价工程师。</w:t>
      </w:r>
    </w:p>
    <w:p w14:paraId="2E4458BA">
      <w:pPr>
        <w:pStyle w:val="22"/>
        <w:tabs>
          <w:tab w:val="left" w:pos="1320"/>
        </w:tabs>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79.3  </w:t>
      </w:r>
      <w:r>
        <w:rPr>
          <w:rFonts w:hint="eastAsia" w:hAnsi="宋体" w:eastAsia="宋体" w:cs="宋体"/>
          <w:b/>
          <w:bCs/>
          <w:color w:val="auto"/>
          <w:sz w:val="24"/>
          <w:szCs w:val="24"/>
          <w:highlight w:val="none"/>
          <w:u w:val="dotted"/>
        </w:rPr>
        <w:t xml:space="preserve">                                                                                                        </w:t>
      </w:r>
    </w:p>
    <w:p w14:paraId="024F8246">
      <w:pPr>
        <w:pStyle w:val="6"/>
        <w:adjustRightInd w:val="0"/>
        <w:snapToGrid w:val="0"/>
        <w:spacing w:line="300" w:lineRule="auto"/>
        <w:ind w:left="1619" w:leftChars="77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2006400"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1365" name="000228"/>
                <wp:cNvGraphicFramePr/>
                <a:graphic xmlns:a="http://schemas.openxmlformats.org/drawingml/2006/main">
                  <a:graphicData uri="http://schemas.microsoft.com/office/word/2010/wordprocessingShape">
                    <wps:wsp>
                      <wps:cNvSpPr/>
                      <wps:spPr>
                        <a:xfrm>
                          <a:off x="0" y="0"/>
                          <a:ext cx="914400" cy="400685"/>
                        </a:xfrm>
                        <a:prstGeom prst="rect">
                          <a:avLst/>
                        </a:prstGeom>
                        <a:ln>
                          <a:noFill/>
                        </a:ln>
                      </wps:spPr>
                      <wps:txbx>
                        <w:txbxContent>
                          <w:p w14:paraId="69B3C8FA">
                            <w:pPr>
                              <w:pStyle w:val="39"/>
                              <w:spacing w:line="200" w:lineRule="exact"/>
                              <w:rPr>
                                <w:rFonts w:hint="eastAsia" w:ascii="楷体_GB2312" w:hAnsi="宋体"/>
                                <w:sz w:val="18"/>
                                <w:szCs w:val="18"/>
                              </w:rPr>
                            </w:pPr>
                            <w:r>
                              <w:rPr>
                                <w:rFonts w:hint="eastAsia" w:ascii="楷体_GB2312" w:hAnsi="宋体" w:cs="楷体_GB2312"/>
                                <w:sz w:val="18"/>
                                <w:szCs w:val="18"/>
                              </w:rPr>
                              <w:t>预付款支付的限制</w:t>
                            </w:r>
                          </w:p>
                        </w:txbxContent>
                      </wps:txbx>
                      <wps:bodyPr wrap="square"/>
                    </wps:wsp>
                  </a:graphicData>
                </a:graphic>
              </wp:anchor>
            </w:drawing>
          </mc:Choice>
          <mc:Fallback>
            <w:pict>
              <v:rect id="000228" o:spid="_x0000_s1026" o:spt="1" style="position:absolute;left:0pt;margin-left:-9pt;margin-top:0.85pt;height:31.55pt;width:72pt;z-index:252006400;mso-width-relative:page;mso-height-relative:page;" filled="f" stroked="f" coordsize="21600,21600" o:gfxdata="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AS5mKD2AAAAAgBAAAPAAAAAAAAAAEAIAAAACIAAABk&#10;cnMvZG93bnJldi54bWxQSwECFAAUAAAACACHTuJABevoIJQBAAA4AwAADgAAAAAAAAABACAAAAAn&#10;AQAAZHJzL2Uyb0RvYy54bWxQSwUGAAAAAAYABgBZAQAALQUAAAAA&#10;">
                <v:fill on="f" focussize="0,0"/>
                <v:stroke on="f"/>
                <v:imagedata o:title=""/>
                <o:lock v:ext="edit" aspectratio="f"/>
                <v:textbox>
                  <w:txbxContent>
                    <w:p w14:paraId="69B3C8FA">
                      <w:pPr>
                        <w:pStyle w:val="39"/>
                        <w:spacing w:line="200" w:lineRule="exact"/>
                        <w:rPr>
                          <w:rFonts w:hint="eastAsia" w:ascii="楷体_GB2312" w:hAnsi="宋体"/>
                          <w:sz w:val="18"/>
                          <w:szCs w:val="18"/>
                        </w:rPr>
                      </w:pPr>
                      <w:r>
                        <w:rPr>
                          <w:rFonts w:hint="eastAsia" w:ascii="楷体_GB2312" w:hAnsi="宋体" w:cs="楷体_GB2312"/>
                          <w:sz w:val="18"/>
                          <w:szCs w:val="18"/>
                        </w:rPr>
                        <w:t>预付款支付的限制</w:t>
                      </w:r>
                    </w:p>
                  </w:txbxContent>
                </v:textbox>
              </v:rect>
            </w:pict>
          </mc:Fallback>
        </mc:AlternateContent>
      </w:r>
      <w:r>
        <w:rPr>
          <w:rFonts w:hint="eastAsia" w:ascii="宋体" w:hAnsi="宋体" w:eastAsia="宋体" w:cs="宋体"/>
          <w:color w:val="auto"/>
          <w:sz w:val="24"/>
          <w:highlight w:val="none"/>
        </w:rPr>
        <w:t>发包人没有按时支付预付款的，承包人应在付款期满后的10天向发包人发出要求支付的通知；发包人收到通知后仍不按要求支付，承包人可在发出通知14天后暂停施工。发包人可与承包人协商签订延期支付协议，经承包人同意后可延期支付，承包人有权按照第78.2款规定获得延期支付的利息。发包方承担由此增加的费用和（或）延误的工期，并向承包人支付合理利润。</w:t>
      </w:r>
    </w:p>
    <w:p w14:paraId="6A4DBDBB">
      <w:pPr>
        <w:pStyle w:val="22"/>
        <w:tabs>
          <w:tab w:val="left" w:pos="1320"/>
        </w:tabs>
        <w:adjustRightInd w:val="0"/>
        <w:snapToGrid w:val="0"/>
        <w:spacing w:line="300" w:lineRule="auto"/>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 xml:space="preserve">79.4 </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77FE728B">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07424"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1366" name="000229"/>
                <wp:cNvGraphicFramePr/>
                <a:graphic xmlns:a="http://schemas.openxmlformats.org/drawingml/2006/main">
                  <a:graphicData uri="http://schemas.microsoft.com/office/word/2010/wordprocessingShape">
                    <wps:wsp>
                      <wps:cNvSpPr/>
                      <wps:spPr>
                        <a:xfrm>
                          <a:off x="0" y="0"/>
                          <a:ext cx="1028700" cy="304165"/>
                        </a:xfrm>
                        <a:prstGeom prst="rect">
                          <a:avLst/>
                        </a:prstGeom>
                        <a:ln>
                          <a:noFill/>
                        </a:ln>
                      </wps:spPr>
                      <wps:txbx>
                        <w:txbxContent>
                          <w:p w14:paraId="37C5FAD2">
                            <w:pPr>
                              <w:pStyle w:val="39"/>
                              <w:spacing w:line="200" w:lineRule="exact"/>
                              <w:rPr>
                                <w:rFonts w:hint="eastAsia" w:ascii="楷体_GB2312" w:hAnsi="宋体"/>
                                <w:sz w:val="18"/>
                                <w:szCs w:val="18"/>
                              </w:rPr>
                            </w:pPr>
                            <w:r>
                              <w:rPr>
                                <w:rFonts w:hint="eastAsia" w:ascii="楷体_GB2312" w:hAnsi="宋体" w:cs="楷体_GB2312"/>
                                <w:sz w:val="18"/>
                                <w:szCs w:val="18"/>
                              </w:rPr>
                              <w:t>预付款的扣回</w:t>
                            </w:r>
                          </w:p>
                        </w:txbxContent>
                      </wps:txbx>
                      <wps:bodyPr wrap="square"/>
                    </wps:wsp>
                  </a:graphicData>
                </a:graphic>
              </wp:anchor>
            </w:drawing>
          </mc:Choice>
          <mc:Fallback>
            <w:pict>
              <v:rect id="000229" o:spid="_x0000_s1026" o:spt="1" style="position:absolute;left:0pt;margin-left:-9pt;margin-top:3.65pt;height:23.95pt;width:81pt;z-index:252007424;mso-width-relative:page;mso-height-relative:page;" filled="f" stroked="f" coordsize="21600,21600" o:gfxdata="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3SJb+2QAAAAgBAAAPAAAAAAAAAAEAIAAAACIA&#10;AABkcnMvZG93bnJldi54bWxQSwECFAAUAAAACACHTuJANv5zCpYBAAA5AwAADgAAAAAAAAABACAA&#10;AAAoAQAAZHJzL2Uyb0RvYy54bWxQSwUGAAAAAAYABgBZAQAAMAUAAAAA&#10;">
                <v:fill on="f" focussize="0,0"/>
                <v:stroke on="f"/>
                <v:imagedata o:title=""/>
                <o:lock v:ext="edit" aspectratio="f"/>
                <v:textbox>
                  <w:txbxContent>
                    <w:p w14:paraId="37C5FAD2">
                      <w:pPr>
                        <w:pStyle w:val="39"/>
                        <w:spacing w:line="200" w:lineRule="exact"/>
                        <w:rPr>
                          <w:rFonts w:hint="eastAsia" w:ascii="楷体_GB2312" w:hAnsi="宋体"/>
                          <w:sz w:val="18"/>
                          <w:szCs w:val="18"/>
                        </w:rPr>
                      </w:pPr>
                      <w:r>
                        <w:rPr>
                          <w:rFonts w:hint="eastAsia" w:ascii="楷体_GB2312" w:hAnsi="宋体" w:cs="楷体_GB2312"/>
                          <w:sz w:val="18"/>
                          <w:szCs w:val="18"/>
                        </w:rPr>
                        <w:t>预付款的扣回</w:t>
                      </w:r>
                    </w:p>
                  </w:txbxContent>
                </v:textbox>
              </v:rect>
            </w:pict>
          </mc:Fallback>
        </mc:AlternateContent>
      </w:r>
      <w:r>
        <w:rPr>
          <w:rFonts w:hint="eastAsia" w:hAnsi="宋体" w:eastAsia="宋体" w:cs="宋体"/>
          <w:color w:val="auto"/>
          <w:sz w:val="24"/>
          <w:szCs w:val="24"/>
          <w:highlight w:val="none"/>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14:paraId="3125B583">
      <w:pPr>
        <w:pStyle w:val="22"/>
        <w:tabs>
          <w:tab w:val="left" w:pos="1320"/>
        </w:tabs>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79.5  </w:t>
      </w:r>
      <w:r>
        <w:rPr>
          <w:rFonts w:hint="eastAsia" w:hAnsi="宋体" w:eastAsia="宋体" w:cs="宋体"/>
          <w:b/>
          <w:bCs/>
          <w:color w:val="auto"/>
          <w:sz w:val="24"/>
          <w:szCs w:val="24"/>
          <w:highlight w:val="none"/>
          <w:u w:val="dotted"/>
        </w:rPr>
        <w:t xml:space="preserve">                                                                                                        </w:t>
      </w:r>
    </w:p>
    <w:p w14:paraId="494B2D65">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08448" behindDoc="0" locked="0" layoutInCell="1" allowOverlap="1">
                <wp:simplePos x="0" y="0"/>
                <wp:positionH relativeFrom="column">
                  <wp:posOffset>-114300</wp:posOffset>
                </wp:positionH>
                <wp:positionV relativeFrom="paragraph">
                  <wp:posOffset>12700</wp:posOffset>
                </wp:positionV>
                <wp:extent cx="914400" cy="408305"/>
                <wp:effectExtent l="0" t="0" r="0" b="0"/>
                <wp:wrapNone/>
                <wp:docPr id="1367" name="00022a"/>
                <wp:cNvGraphicFramePr/>
                <a:graphic xmlns:a="http://schemas.openxmlformats.org/drawingml/2006/main">
                  <a:graphicData uri="http://schemas.microsoft.com/office/word/2010/wordprocessingShape">
                    <wps:wsp>
                      <wps:cNvSpPr/>
                      <wps:spPr>
                        <a:xfrm>
                          <a:off x="0" y="0"/>
                          <a:ext cx="914400" cy="408305"/>
                        </a:xfrm>
                        <a:prstGeom prst="rect">
                          <a:avLst/>
                        </a:prstGeom>
                        <a:ln>
                          <a:noFill/>
                        </a:ln>
                      </wps:spPr>
                      <wps:txbx>
                        <w:txbxContent>
                          <w:p w14:paraId="6EF51151">
                            <w:pPr>
                              <w:pStyle w:val="39"/>
                              <w:spacing w:line="200" w:lineRule="exact"/>
                              <w:rPr>
                                <w:rFonts w:hint="eastAsia" w:ascii="楷体_GB2312" w:hAnsi="宋体"/>
                                <w:sz w:val="18"/>
                                <w:szCs w:val="18"/>
                              </w:rPr>
                            </w:pPr>
                            <w:r>
                              <w:rPr>
                                <w:rFonts w:hint="eastAsia" w:ascii="楷体_GB2312" w:hAnsi="宋体" w:cs="楷体_GB2312"/>
                                <w:sz w:val="18"/>
                                <w:szCs w:val="18"/>
                              </w:rPr>
                              <w:t>预付款保函的有效与退还</w:t>
                            </w:r>
                          </w:p>
                        </w:txbxContent>
                      </wps:txbx>
                      <wps:bodyPr wrap="square"/>
                    </wps:wsp>
                  </a:graphicData>
                </a:graphic>
              </wp:anchor>
            </w:drawing>
          </mc:Choice>
          <mc:Fallback>
            <w:pict>
              <v:rect id="00022a" o:spid="_x0000_s1026" o:spt="1" style="position:absolute;left:0pt;margin-left:-9pt;margin-top:1pt;height:32.15pt;width:72pt;z-index:252008448;mso-width-relative:page;mso-height-relative:page;" filled="f" stroked="f" coordsize="21600,21600" o:gfxdata="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uxeK5dgAAAAIAQAADwAAAAAAAAABACAAAAAiAAAA&#10;ZHJzL2Rvd25yZXYueG1sUEsBAhQAFAAAAAgAh07iQGnurcaVAQAAOAMAAA4AAAAAAAAAAQAgAAAA&#10;JwEAAGRycy9lMm9Eb2MueG1sUEsFBgAAAAAGAAYAWQEAAC4FAAAAAA==&#10;">
                <v:fill on="f" focussize="0,0"/>
                <v:stroke on="f"/>
                <v:imagedata o:title=""/>
                <o:lock v:ext="edit" aspectratio="f"/>
                <v:textbox>
                  <w:txbxContent>
                    <w:p w14:paraId="6EF51151">
                      <w:pPr>
                        <w:pStyle w:val="39"/>
                        <w:spacing w:line="200" w:lineRule="exact"/>
                        <w:rPr>
                          <w:rFonts w:hint="eastAsia" w:ascii="楷体_GB2312" w:hAnsi="宋体"/>
                          <w:sz w:val="18"/>
                          <w:szCs w:val="18"/>
                        </w:rPr>
                      </w:pPr>
                      <w:r>
                        <w:rPr>
                          <w:rFonts w:hint="eastAsia" w:ascii="楷体_GB2312" w:hAnsi="宋体" w:cs="楷体_GB2312"/>
                          <w:sz w:val="18"/>
                          <w:szCs w:val="18"/>
                        </w:rPr>
                        <w:t>预付款保函的有效与退还</w:t>
                      </w:r>
                    </w:p>
                  </w:txbxContent>
                </v:textbox>
              </v:rect>
            </w:pict>
          </mc:Fallback>
        </mc:AlternateContent>
      </w:r>
      <w:r>
        <w:rPr>
          <w:rFonts w:hint="eastAsia" w:hAnsi="宋体" w:eastAsia="宋体" w:cs="宋体"/>
          <w:color w:val="auto"/>
          <w:sz w:val="24"/>
          <w:szCs w:val="24"/>
          <w:highlight w:val="none"/>
        </w:rPr>
        <w:t>承包人应保持预付款保函在预付款全部扣回之前一直有效。发包人应在预付款扣完后的14天内将预付款保函退还承包人，并不得向承包人收取预付款的任何利息。</w:t>
      </w:r>
    </w:p>
    <w:p w14:paraId="6F9BD13C">
      <w:pPr>
        <w:pStyle w:val="22"/>
        <w:adjustRightInd w:val="0"/>
        <w:snapToGrid w:val="0"/>
        <w:spacing w:line="300" w:lineRule="auto"/>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2FF9602F">
      <w:pPr>
        <w:pStyle w:val="22"/>
        <w:tabs>
          <w:tab w:val="left" w:pos="540"/>
        </w:tabs>
        <w:adjustRightInd w:val="0"/>
        <w:snapToGrid w:val="0"/>
        <w:spacing w:before="240" w:beforeLines="100" w:line="300" w:lineRule="auto"/>
        <w:ind w:firstLine="482"/>
        <w:rPr>
          <w:rFonts w:hint="eastAsia" w:hAnsi="宋体" w:eastAsia="宋体" w:cs="宋体"/>
          <w:b/>
          <w:bCs/>
          <w:color w:val="auto"/>
          <w:sz w:val="24"/>
          <w:szCs w:val="24"/>
          <w:highlight w:val="none"/>
        </w:rPr>
      </w:pPr>
      <w:bookmarkStart w:id="185" w:name="_Toc46860885"/>
      <w:bookmarkStart w:id="186" w:name="_Toc469384064"/>
    </w:p>
    <w:p w14:paraId="405B9761">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★80  绿色施工安全防护费</w:t>
      </w:r>
      <w:bookmarkEnd w:id="185"/>
      <w:bookmarkEnd w:id="186"/>
    </w:p>
    <w:p w14:paraId="45A2DB80">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80.1      </w:t>
      </w:r>
    </w:p>
    <w:p w14:paraId="29B4743D">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09472"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1368" name="00022b"/>
                <wp:cNvGraphicFramePr/>
                <a:graphic xmlns:a="http://schemas.openxmlformats.org/drawingml/2006/main">
                  <a:graphicData uri="http://schemas.microsoft.com/office/word/2010/wordprocessingShape">
                    <wps:wsp>
                      <wps:cNvSpPr/>
                      <wps:spPr>
                        <a:xfrm>
                          <a:off x="0" y="0"/>
                          <a:ext cx="1028700" cy="440054"/>
                        </a:xfrm>
                        <a:prstGeom prst="rect">
                          <a:avLst/>
                        </a:prstGeom>
                        <a:ln>
                          <a:noFill/>
                        </a:ln>
                      </wps:spPr>
                      <wps:txbx>
                        <w:txbxContent>
                          <w:p w14:paraId="0176410F">
                            <w:pPr>
                              <w:pStyle w:val="39"/>
                              <w:spacing w:line="200" w:lineRule="exact"/>
                              <w:rPr>
                                <w:rFonts w:hint="eastAsia" w:ascii="楷体_GB2312" w:hAnsi="宋体"/>
                                <w:sz w:val="18"/>
                                <w:szCs w:val="18"/>
                              </w:rPr>
                            </w:pPr>
                            <w:r>
                              <w:rPr>
                                <w:rFonts w:hint="eastAsia" w:ascii="楷体_GB2312" w:hAnsi="宋体" w:cs="楷体_GB2312"/>
                                <w:sz w:val="18"/>
                                <w:szCs w:val="18"/>
                              </w:rPr>
                              <w:t>内容、范围和</w:t>
                            </w:r>
                          </w:p>
                          <w:p w14:paraId="13EA20EA">
                            <w:pPr>
                              <w:pStyle w:val="39"/>
                              <w:spacing w:line="200" w:lineRule="exact"/>
                              <w:rPr>
                                <w:rFonts w:hint="eastAsia" w:ascii="楷体_GB2312" w:hAnsi="宋体"/>
                                <w:sz w:val="18"/>
                                <w:szCs w:val="18"/>
                              </w:rPr>
                            </w:pPr>
                            <w:r>
                              <w:rPr>
                                <w:rFonts w:hint="eastAsia" w:ascii="楷体_GB2312" w:hAnsi="宋体" w:cs="楷体_GB2312"/>
                                <w:sz w:val="18"/>
                                <w:szCs w:val="18"/>
                              </w:rPr>
                              <w:t>金额</w:t>
                            </w:r>
                          </w:p>
                        </w:txbxContent>
                      </wps:txbx>
                      <wps:bodyPr wrap="square"/>
                    </wps:wsp>
                  </a:graphicData>
                </a:graphic>
              </wp:anchor>
            </w:drawing>
          </mc:Choice>
          <mc:Fallback>
            <w:pict>
              <v:rect id="00022b" o:spid="_x0000_s1026" o:spt="1" style="position:absolute;left:0pt;margin-left:-9pt;margin-top:1.4pt;height:34.65pt;width:81pt;z-index:252009472;mso-width-relative:page;mso-height-relative:page;" filled="f" stroked="f" coordsize="21600,21600" o:gfxdata="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AA4qOi1wAAAAgBAAAPAAAAAAAAAAEAIAAAACIAAABk&#10;cnMvZG93bnJldi54bWxQSwECFAAUAAAACACHTuJAQS1TmpUBAAA5AwAADgAAAAAAAAABACAAAAAm&#10;AQAAZHJzL2Uyb0RvYy54bWxQSwUGAAAAAAYABgBZAQAALQUAAAAA&#10;">
                <v:fill on="f" focussize="0,0"/>
                <v:stroke on="f"/>
                <v:imagedata o:title=""/>
                <o:lock v:ext="edit" aspectratio="f"/>
                <v:textbox>
                  <w:txbxContent>
                    <w:p w14:paraId="0176410F">
                      <w:pPr>
                        <w:pStyle w:val="39"/>
                        <w:spacing w:line="200" w:lineRule="exact"/>
                        <w:rPr>
                          <w:rFonts w:hint="eastAsia" w:ascii="楷体_GB2312" w:hAnsi="宋体"/>
                          <w:sz w:val="18"/>
                          <w:szCs w:val="18"/>
                        </w:rPr>
                      </w:pPr>
                      <w:r>
                        <w:rPr>
                          <w:rFonts w:hint="eastAsia" w:ascii="楷体_GB2312" w:hAnsi="宋体" w:cs="楷体_GB2312"/>
                          <w:sz w:val="18"/>
                          <w:szCs w:val="18"/>
                        </w:rPr>
                        <w:t>内容、范围和</w:t>
                      </w:r>
                    </w:p>
                    <w:p w14:paraId="13EA20EA">
                      <w:pPr>
                        <w:pStyle w:val="39"/>
                        <w:spacing w:line="200" w:lineRule="exact"/>
                        <w:rPr>
                          <w:rFonts w:hint="eastAsia" w:ascii="楷体_GB2312" w:hAnsi="宋体"/>
                          <w:sz w:val="18"/>
                          <w:szCs w:val="18"/>
                        </w:rPr>
                      </w:pPr>
                      <w:r>
                        <w:rPr>
                          <w:rFonts w:hint="eastAsia" w:ascii="楷体_GB2312" w:hAnsi="宋体" w:cs="楷体_GB2312"/>
                          <w:sz w:val="18"/>
                          <w:szCs w:val="18"/>
                        </w:rPr>
                        <w:t>金额</w:t>
                      </w:r>
                    </w:p>
                  </w:txbxContent>
                </v:textbox>
              </v:rect>
            </w:pict>
          </mc:Fallback>
        </mc:AlternateContent>
      </w:r>
      <w:r>
        <w:rPr>
          <w:rFonts w:hint="eastAsia" w:hAnsi="宋体" w:eastAsia="宋体" w:cs="宋体"/>
          <w:color w:val="auto"/>
          <w:sz w:val="24"/>
          <w:szCs w:val="24"/>
          <w:highlight w:val="none"/>
        </w:rPr>
        <w:t>合同双方当事人应在专用条款中约定绿色施工安全防护费的内容、范围和金额，并按照第45条规定实施绿色施工安全防护。除专用条款另有约定外，绿色施工安全防护费的内容和范围，应以现行广东省统一工程计价依据、省市造价管理部门发布管理文件的规定为准。</w:t>
      </w:r>
    </w:p>
    <w:p w14:paraId="107E17A7">
      <w:pPr>
        <w:pStyle w:val="22"/>
        <w:adjustRightInd w:val="0"/>
        <w:snapToGrid w:val="0"/>
        <w:spacing w:line="300" w:lineRule="auto"/>
        <w:rPr>
          <w:rFonts w:hint="eastAsia" w:hAnsi="宋体" w:eastAsia="宋体" w:cs="宋体"/>
          <w:color w:val="auto"/>
          <w:sz w:val="24"/>
          <w:szCs w:val="24"/>
          <w:highlight w:val="none"/>
          <w:u w:val="dotted"/>
        </w:rPr>
      </w:pPr>
      <w:r>
        <w:rPr>
          <w:rFonts w:hint="eastAsia" w:hAnsi="宋体" w:eastAsia="宋体" w:cs="宋体"/>
          <w:b/>
          <w:bCs/>
          <w:color w:val="auto"/>
          <w:sz w:val="24"/>
          <w:szCs w:val="24"/>
          <w:highlight w:val="none"/>
        </w:rPr>
        <w:t xml:space="preserve">80.2  </w:t>
      </w:r>
      <w:r>
        <w:rPr>
          <w:rFonts w:hint="eastAsia" w:hAnsi="宋体" w:eastAsia="宋体" w:cs="宋体"/>
          <w:color w:val="auto"/>
          <w:sz w:val="24"/>
          <w:szCs w:val="24"/>
          <w:highlight w:val="none"/>
          <w:u w:val="dotted"/>
        </w:rPr>
        <w:t xml:space="preserve">                                                                             </w:t>
      </w:r>
    </w:p>
    <w:p w14:paraId="2EFCA99F">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10496"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1369" name="00022c"/>
                <wp:cNvGraphicFramePr/>
                <a:graphic xmlns:a="http://schemas.openxmlformats.org/drawingml/2006/main">
                  <a:graphicData uri="http://schemas.microsoft.com/office/word/2010/wordprocessingShape">
                    <wps:wsp>
                      <wps:cNvSpPr/>
                      <wps:spPr>
                        <a:xfrm>
                          <a:off x="0" y="0"/>
                          <a:ext cx="914400" cy="789304"/>
                        </a:xfrm>
                        <a:prstGeom prst="rect">
                          <a:avLst/>
                        </a:prstGeom>
                        <a:ln>
                          <a:noFill/>
                        </a:ln>
                      </wps:spPr>
                      <wps:txbx>
                        <w:txbxContent>
                          <w:p w14:paraId="6FF1EDC1">
                            <w:pPr>
                              <w:pStyle w:val="39"/>
                              <w:spacing w:line="200" w:lineRule="exact"/>
                              <w:rPr>
                                <w:rFonts w:hint="eastAsia" w:ascii="楷体_GB2312" w:hAnsi="宋体"/>
                                <w:sz w:val="18"/>
                                <w:szCs w:val="18"/>
                              </w:rPr>
                            </w:pPr>
                            <w:r>
                              <w:rPr>
                                <w:rFonts w:hint="eastAsia" w:ascii="楷体_GB2312" w:hAnsi="宋体" w:cs="楷体_GB2312"/>
                                <w:sz w:val="18"/>
                                <w:szCs w:val="18"/>
                              </w:rPr>
                              <w:t>支付申请的提交与核实</w:t>
                            </w:r>
                          </w:p>
                        </w:txbxContent>
                      </wps:txbx>
                      <wps:bodyPr wrap="square"/>
                    </wps:wsp>
                  </a:graphicData>
                </a:graphic>
              </wp:anchor>
            </w:drawing>
          </mc:Choice>
          <mc:Fallback>
            <w:pict>
              <v:rect id="00022c" o:spid="_x0000_s1026" o:spt="1" style="position:absolute;left:0pt;margin-left:-9pt;margin-top:2.7pt;height:62.15pt;width:72pt;z-index:252010496;mso-width-relative:page;mso-height-relative:page;" filled="f" stroked="f" coordsize="21600,21600" o:gfxdata="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IyoCVbZAAAACQEAAA8AAAAAAAAAAQAgAAAAIgAA&#10;AGRycy9kb3ducmV2LnhtbFBLAQIUABQAAAAIAIdO4kCjI2HllQEAADgDAAAOAAAAAAAAAAEAIAAA&#10;ACgBAABkcnMvZTJvRG9jLnhtbFBLBQYAAAAABgAGAFkBAAAvBQAAAAA=&#10;">
                <v:fill on="f" focussize="0,0"/>
                <v:stroke on="f"/>
                <v:imagedata o:title=""/>
                <o:lock v:ext="edit" aspectratio="f"/>
                <v:textbox>
                  <w:txbxContent>
                    <w:p w14:paraId="6FF1EDC1">
                      <w:pPr>
                        <w:pStyle w:val="39"/>
                        <w:spacing w:line="200" w:lineRule="exact"/>
                        <w:rPr>
                          <w:rFonts w:hint="eastAsia" w:ascii="楷体_GB2312" w:hAnsi="宋体"/>
                          <w:sz w:val="18"/>
                          <w:szCs w:val="18"/>
                        </w:rPr>
                      </w:pPr>
                      <w:r>
                        <w:rPr>
                          <w:rFonts w:hint="eastAsia" w:ascii="楷体_GB2312" w:hAnsi="宋体" w:cs="楷体_GB2312"/>
                          <w:sz w:val="18"/>
                          <w:szCs w:val="18"/>
                        </w:rPr>
                        <w:t>支付申请的提交与核实</w:t>
                      </w:r>
                    </w:p>
                  </w:txbxContent>
                </v:textbox>
              </v:rect>
            </w:pict>
          </mc:Fallback>
        </mc:AlternateContent>
      </w:r>
      <w:r>
        <w:rPr>
          <w:rFonts w:hint="eastAsia" w:hAnsi="宋体" w:eastAsia="宋体" w:cs="宋体"/>
          <w:color w:val="auto"/>
          <w:sz w:val="24"/>
          <w:szCs w:val="24"/>
          <w:highlight w:val="none"/>
        </w:rPr>
        <w:t>专用条款没有约定的，承包人应在接到监理工程师按照第34.2款规定发出开工令后的7天内向造价工程师提交绿色施工安全防护费支付申请，并抄送发包人。造价工程师应对支付申请进行核实，并在收到支付申请后的7天内报发包人确认后向发包人发出支付证书，同时抄送承包人。</w:t>
      </w:r>
    </w:p>
    <w:p w14:paraId="7E16FFF8">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80.3  </w:t>
      </w:r>
      <w:r>
        <w:rPr>
          <w:rFonts w:hint="eastAsia" w:hAnsi="宋体" w:eastAsia="宋体" w:cs="宋体"/>
          <w:b/>
          <w:bCs/>
          <w:color w:val="auto"/>
          <w:sz w:val="24"/>
          <w:szCs w:val="24"/>
          <w:highlight w:val="none"/>
          <w:u w:val="dotted"/>
        </w:rPr>
        <w:t xml:space="preserve">                                                                                                        </w:t>
      </w:r>
    </w:p>
    <w:p w14:paraId="2D428CDB">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合同双方当事人应按照建设行政主管部门的规定，在专用条款中约定绿色施工安全防护费的支付办法和抵扣方式。除专用条款另有约定外，</w:t>
      </w:r>
      <w:r>
        <w:rPr>
          <w:rFonts w:hint="eastAsia" w:hAnsi="宋体" w:eastAsia="宋体" w:cs="宋体"/>
          <w:color w:val="auto"/>
          <w:sz w:val="24"/>
          <w:szCs w:val="24"/>
          <w:highlight w:val="none"/>
        </w:rPr>
        <mc:AlternateContent>
          <mc:Choice Requires="wps">
            <w:drawing>
              <wp:anchor distT="0" distB="0" distL="0" distR="0" simplePos="0" relativeHeight="252011520"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1370" name="00022d"/>
                <wp:cNvGraphicFramePr/>
                <a:graphic xmlns:a="http://schemas.openxmlformats.org/drawingml/2006/main">
                  <a:graphicData uri="http://schemas.microsoft.com/office/word/2010/wordprocessingShape">
                    <wps:wsp>
                      <wps:cNvSpPr/>
                      <wps:spPr>
                        <a:xfrm>
                          <a:off x="0" y="0"/>
                          <a:ext cx="1028700" cy="352425"/>
                        </a:xfrm>
                        <a:prstGeom prst="rect">
                          <a:avLst/>
                        </a:prstGeom>
                        <a:ln>
                          <a:noFill/>
                        </a:ln>
                      </wps:spPr>
                      <wps:txbx>
                        <w:txbxContent>
                          <w:p w14:paraId="68B86835">
                            <w:pPr>
                              <w:rPr>
                                <w:rFonts w:hint="eastAsia" w:ascii="楷体_GB2312" w:hAnsi="宋体" w:eastAsia="楷体_GB2312"/>
                                <w:b/>
                                <w:bCs/>
                                <w:sz w:val="18"/>
                                <w:szCs w:val="18"/>
                              </w:rPr>
                            </w:pPr>
                            <w:r>
                              <w:rPr>
                                <w:rFonts w:hint="eastAsia" w:ascii="楷体_GB2312" w:hAnsi="宋体" w:eastAsia="楷体_GB2312" w:cs="楷体_GB2312"/>
                                <w:b/>
                                <w:bCs/>
                                <w:sz w:val="18"/>
                                <w:szCs w:val="18"/>
                              </w:rPr>
                              <w:t>费用支付</w:t>
                            </w:r>
                          </w:p>
                        </w:txbxContent>
                      </wps:txbx>
                      <wps:bodyPr wrap="square"/>
                    </wps:wsp>
                  </a:graphicData>
                </a:graphic>
              </wp:anchor>
            </w:drawing>
          </mc:Choice>
          <mc:Fallback>
            <w:pict>
              <v:rect id="00022d" o:spid="_x0000_s1026" o:spt="1" style="position:absolute;left:0pt;margin-left:-9pt;margin-top:5.65pt;height:27.75pt;width:81pt;z-index:252011520;mso-width-relative:page;mso-height-relative:page;" filled="f" stroked="f" coordsize="21600,21600" o:gfxdata="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NUFxubZAAAACQEAAA8AAAAAAAAAAQAgAAAAIgAA&#10;AGRycy9kb3ducmV2LnhtbFBLAQIUABQAAAAIAIdO4kD5I9KLlQEAADkDAAAOAAAAAAAAAAEAIAAA&#10;ACgBAABkcnMvZTJvRG9jLnhtbFBLBQYAAAAABgAGAFkBAAAvBQAAAAA=&#10;">
                <v:fill on="f" focussize="0,0"/>
                <v:stroke on="f"/>
                <v:imagedata o:title=""/>
                <o:lock v:ext="edit" aspectratio="f"/>
                <v:textbox>
                  <w:txbxContent>
                    <w:p w14:paraId="68B86835">
                      <w:pPr>
                        <w:rPr>
                          <w:rFonts w:hint="eastAsia" w:ascii="楷体_GB2312" w:hAnsi="宋体" w:eastAsia="楷体_GB2312"/>
                          <w:b/>
                          <w:bCs/>
                          <w:sz w:val="18"/>
                          <w:szCs w:val="18"/>
                        </w:rPr>
                      </w:pPr>
                      <w:r>
                        <w:rPr>
                          <w:rFonts w:hint="eastAsia" w:ascii="楷体_GB2312" w:hAnsi="宋体" w:eastAsia="楷体_GB2312" w:cs="楷体_GB2312"/>
                          <w:b/>
                          <w:bCs/>
                          <w:sz w:val="18"/>
                          <w:szCs w:val="18"/>
                        </w:rPr>
                        <w:t>费用支付</w:t>
                      </w:r>
                    </w:p>
                  </w:txbxContent>
                </v:textbox>
              </v:rect>
            </w:pict>
          </mc:Fallback>
        </mc:AlternateContent>
      </w:r>
      <w:r>
        <w:rPr>
          <w:rFonts w:hint="eastAsia" w:hAnsi="宋体" w:eastAsia="宋体" w:cs="宋体"/>
          <w:color w:val="auto"/>
          <w:sz w:val="24"/>
          <w:szCs w:val="24"/>
          <w:highlight w:val="none"/>
        </w:rPr>
        <w:t>发包人应在造价工程师签发支付证书后的7天内向承包人支付绿色施工安全防护费，并保证在工程开工后的28天内支付绿色施工安全防护费金额的50%，同时通知造价工程师。其余部分与进度款同期支付。</w:t>
      </w:r>
    </w:p>
    <w:p w14:paraId="745C6425">
      <w:pPr>
        <w:pStyle w:val="22"/>
        <w:tabs>
          <w:tab w:val="left" w:pos="1320"/>
        </w:tabs>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80.4  </w:t>
      </w:r>
      <w:r>
        <w:rPr>
          <w:rFonts w:hint="eastAsia" w:hAnsi="宋体" w:eastAsia="宋体" w:cs="宋体"/>
          <w:b/>
          <w:bCs/>
          <w:color w:val="auto"/>
          <w:sz w:val="24"/>
          <w:szCs w:val="24"/>
          <w:highlight w:val="none"/>
          <w:u w:val="dotted"/>
        </w:rPr>
        <w:t xml:space="preserve">                                                                                                        </w:t>
      </w:r>
    </w:p>
    <w:p w14:paraId="0C3402B4">
      <w:pPr>
        <w:pStyle w:val="6"/>
        <w:adjustRightInd w:val="0"/>
        <w:snapToGrid w:val="0"/>
        <w:spacing w:line="300" w:lineRule="auto"/>
        <w:ind w:left="1619" w:leftChars="77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2012544"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1371" name="00022e"/>
                <wp:cNvGraphicFramePr/>
                <a:graphic xmlns:a="http://schemas.openxmlformats.org/drawingml/2006/main">
                  <a:graphicData uri="http://schemas.microsoft.com/office/word/2010/wordprocessingShape">
                    <wps:wsp>
                      <wps:cNvSpPr/>
                      <wps:spPr>
                        <a:xfrm>
                          <a:off x="0" y="0"/>
                          <a:ext cx="914400" cy="400685"/>
                        </a:xfrm>
                        <a:prstGeom prst="rect">
                          <a:avLst/>
                        </a:prstGeom>
                        <a:ln>
                          <a:noFill/>
                        </a:ln>
                      </wps:spPr>
                      <wps:txbx>
                        <w:txbxContent>
                          <w:p w14:paraId="6E0E8E23">
                            <w:pPr>
                              <w:rPr>
                                <w:rFonts w:hint="eastAsia" w:ascii="楷体_GB2312" w:hAnsi="宋体" w:eastAsia="楷体_GB2312"/>
                                <w:b/>
                                <w:bCs/>
                                <w:sz w:val="18"/>
                                <w:szCs w:val="18"/>
                              </w:rPr>
                            </w:pPr>
                            <w:r>
                              <w:rPr>
                                <w:rFonts w:hint="eastAsia" w:ascii="楷体_GB2312" w:hAnsi="宋体" w:eastAsia="楷体_GB2312" w:cs="楷体_GB2312"/>
                                <w:b/>
                                <w:bCs/>
                                <w:sz w:val="18"/>
                                <w:szCs w:val="18"/>
                              </w:rPr>
                              <w:t>支付限制</w:t>
                            </w:r>
                          </w:p>
                        </w:txbxContent>
                      </wps:txbx>
                      <wps:bodyPr wrap="square"/>
                    </wps:wsp>
                  </a:graphicData>
                </a:graphic>
              </wp:anchor>
            </w:drawing>
          </mc:Choice>
          <mc:Fallback>
            <w:pict>
              <v:rect id="00022e" o:spid="_x0000_s1026" o:spt="1" style="position:absolute;left:0pt;margin-left:-9pt;margin-top:0.85pt;height:31.55pt;width:72pt;z-index:252012544;mso-width-relative:page;mso-height-relative:page;" filled="f" stroked="f" coordsize="21600,21600" o:gfxdata="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&#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AS5mKD2AAAAAgBAAAPAAAAAAAAAAEAIAAAACIAAABk&#10;cnMvZG93bnJldi54bWxQSwECFAAUAAAACACHTuJAFgrQS5QBAAA4AwAADgAAAAAAAAABACAAAAAn&#10;AQAAZHJzL2Uyb0RvYy54bWxQSwUGAAAAAAYABgBZAQAALQUAAAAA&#10;">
                <v:fill on="f" focussize="0,0"/>
                <v:stroke on="f"/>
                <v:imagedata o:title=""/>
                <o:lock v:ext="edit" aspectratio="f"/>
                <v:textbox>
                  <w:txbxContent>
                    <w:p w14:paraId="6E0E8E23">
                      <w:pPr>
                        <w:rPr>
                          <w:rFonts w:hint="eastAsia" w:ascii="楷体_GB2312" w:hAnsi="宋体" w:eastAsia="楷体_GB2312"/>
                          <w:b/>
                          <w:bCs/>
                          <w:sz w:val="18"/>
                          <w:szCs w:val="18"/>
                        </w:rPr>
                      </w:pPr>
                      <w:r>
                        <w:rPr>
                          <w:rFonts w:hint="eastAsia" w:ascii="楷体_GB2312" w:hAnsi="宋体" w:eastAsia="楷体_GB2312" w:cs="楷体_GB2312"/>
                          <w:b/>
                          <w:bCs/>
                          <w:sz w:val="18"/>
                          <w:szCs w:val="18"/>
                        </w:rPr>
                        <w:t>支付限制</w:t>
                      </w:r>
                    </w:p>
                  </w:txbxContent>
                </v:textbox>
              </v:rect>
            </w:pict>
          </mc:Fallback>
        </mc:AlternateContent>
      </w:r>
      <w:r>
        <w:rPr>
          <w:rFonts w:hint="eastAsia" w:ascii="宋体" w:hAnsi="宋体" w:eastAsia="宋体" w:cs="宋体"/>
          <w:color w:val="auto"/>
          <w:sz w:val="24"/>
          <w:highlight w:val="none"/>
        </w:rPr>
        <w:t>发包人没有按时支付绿色施工安全防护费的，承包人应在付款期满后的10天向发包人发出要求支付的通知；发包人收到通知后仍不按要求支付，承包人可在发出通知14天后暂停施工。发包人应承担由此增加的费用和（或）延误的工期，并向承包人支付合理利润。</w:t>
      </w:r>
    </w:p>
    <w:p w14:paraId="3D9F1800">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80.5  </w:t>
      </w:r>
      <w:r>
        <w:rPr>
          <w:rFonts w:hint="eastAsia" w:hAnsi="宋体" w:eastAsia="宋体" w:cs="宋体"/>
          <w:b/>
          <w:bCs/>
          <w:color w:val="auto"/>
          <w:sz w:val="24"/>
          <w:szCs w:val="24"/>
          <w:highlight w:val="none"/>
          <w:u w:val="dotted"/>
        </w:rPr>
        <w:t xml:space="preserve">                                                                                                        </w:t>
      </w:r>
    </w:p>
    <w:p w14:paraId="525B1889">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13568"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1372" name="00022f"/>
                <wp:cNvGraphicFramePr/>
                <a:graphic xmlns:a="http://schemas.openxmlformats.org/drawingml/2006/main">
                  <a:graphicData uri="http://schemas.microsoft.com/office/word/2010/wordprocessingShape">
                    <wps:wsp>
                      <wps:cNvSpPr/>
                      <wps:spPr>
                        <a:xfrm>
                          <a:off x="0" y="0"/>
                          <a:ext cx="914400" cy="471170"/>
                        </a:xfrm>
                        <a:prstGeom prst="rect">
                          <a:avLst/>
                        </a:prstGeom>
                        <a:ln>
                          <a:noFill/>
                        </a:ln>
                      </wps:spPr>
                      <wps:txbx>
                        <w:txbxContent>
                          <w:p w14:paraId="3C2B51C0">
                            <w:pPr>
                              <w:spacing w:line="240" w:lineRule="exact"/>
                              <w:rPr>
                                <w:rFonts w:hint="eastAsia" w:ascii="宋体"/>
                              </w:rPr>
                            </w:pPr>
                            <w:r>
                              <w:rPr>
                                <w:rFonts w:hint="eastAsia" w:ascii="楷体_GB2312" w:hAnsi="宋体" w:eastAsia="楷体_GB2312" w:cs="楷体_GB2312"/>
                                <w:b/>
                                <w:bCs/>
                                <w:sz w:val="18"/>
                                <w:szCs w:val="18"/>
                              </w:rPr>
                              <w:t>管理要求</w:t>
                            </w:r>
                          </w:p>
                        </w:txbxContent>
                      </wps:txbx>
                      <wps:bodyPr wrap="square"/>
                    </wps:wsp>
                  </a:graphicData>
                </a:graphic>
              </wp:anchor>
            </w:drawing>
          </mc:Choice>
          <mc:Fallback>
            <w:pict>
              <v:rect id="00022f" o:spid="_x0000_s1026" o:spt="1" style="position:absolute;left:0pt;margin-left:-9pt;margin-top:0.15pt;height:37.1pt;width:72pt;z-index:252013568;mso-width-relative:page;mso-height-relative:page;" filled="f" stroked="f" coordsize="21600,21600" o:gfxdata="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PBcyPYAAAABwEAAA8AAAAAAAAAAQAgAAAAIgAA&#10;AGRycy9kb3ducmV2LnhtbFBLAQIUABQAAAAIAIdO4kBI6kCClgEAADgDAAAOAAAAAAAAAAEAIAAA&#10;ACcBAABkcnMvZTJvRG9jLnhtbFBLBQYAAAAABgAGAFkBAAAvBQAAAAA=&#10;">
                <v:fill on="f" focussize="0,0"/>
                <v:stroke on="f"/>
                <v:imagedata o:title=""/>
                <o:lock v:ext="edit" aspectratio="f"/>
                <v:textbox>
                  <w:txbxContent>
                    <w:p w14:paraId="3C2B51C0">
                      <w:pPr>
                        <w:spacing w:line="240" w:lineRule="exact"/>
                        <w:rPr>
                          <w:rFonts w:hint="eastAsia" w:ascii="宋体"/>
                        </w:rPr>
                      </w:pPr>
                      <w:r>
                        <w:rPr>
                          <w:rFonts w:hint="eastAsia" w:ascii="楷体_GB2312" w:hAnsi="宋体" w:eastAsia="楷体_GB2312" w:cs="楷体_GB2312"/>
                          <w:b/>
                          <w:bCs/>
                          <w:sz w:val="18"/>
                          <w:szCs w:val="18"/>
                        </w:rPr>
                        <w:t>管理要求</w:t>
                      </w:r>
                    </w:p>
                  </w:txbxContent>
                </v:textbox>
              </v:rect>
            </w:pict>
          </mc:Fallback>
        </mc:AlternateContent>
      </w:r>
      <w:r>
        <w:rPr>
          <w:rFonts w:hint="eastAsia" w:hAnsi="宋体" w:eastAsia="宋体" w:cs="宋体"/>
          <w:color w:val="auto"/>
          <w:sz w:val="24"/>
          <w:szCs w:val="24"/>
          <w:highlight w:val="none"/>
        </w:rPr>
        <w:t>绿色施工安全防护费专款专用，承包人应在财务账目中单独列项备查，不得挪作他用，否则造价工程师有权责令其限期改正；逾期未改正的，可以责令其暂停施工，由此造成的损失和延误的工期由承包人承担。</w:t>
      </w:r>
    </w:p>
    <w:p w14:paraId="2360179E">
      <w:pPr>
        <w:pStyle w:val="22"/>
        <w:adjustRightInd w:val="0"/>
        <w:snapToGrid w:val="0"/>
        <w:spacing w:line="300" w:lineRule="auto"/>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14592" behindDoc="0" locked="0" layoutInCell="1" allowOverlap="1">
                <wp:simplePos x="0" y="0"/>
                <wp:positionH relativeFrom="column">
                  <wp:posOffset>0</wp:posOffset>
                </wp:positionH>
                <wp:positionV relativeFrom="paragraph">
                  <wp:posOffset>298450</wp:posOffset>
                </wp:positionV>
                <wp:extent cx="914400" cy="609600"/>
                <wp:effectExtent l="0" t="0" r="0" b="0"/>
                <wp:wrapNone/>
                <wp:docPr id="1373" name="000230"/>
                <wp:cNvGraphicFramePr/>
                <a:graphic xmlns:a="http://schemas.openxmlformats.org/drawingml/2006/main">
                  <a:graphicData uri="http://schemas.microsoft.com/office/word/2010/wordprocessingShape">
                    <wps:wsp>
                      <wps:cNvSpPr/>
                      <wps:spPr>
                        <a:xfrm>
                          <a:off x="0" y="0"/>
                          <a:ext cx="914400" cy="609600"/>
                        </a:xfrm>
                        <a:prstGeom prst="rect">
                          <a:avLst/>
                        </a:prstGeom>
                        <a:ln>
                          <a:noFill/>
                        </a:ln>
                      </wps:spPr>
                      <wps:txbx>
                        <w:txbxContent>
                          <w:p w14:paraId="0BD02FE1">
                            <w:pPr>
                              <w:pStyle w:val="16"/>
                              <w:spacing w:line="200" w:lineRule="exact"/>
                              <w:ind w:left="5250"/>
                              <w:rPr>
                                <w:rFonts w:hint="eastAsia"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wps:txbx>
                      <wps:bodyPr wrap="square"/>
                    </wps:wsp>
                  </a:graphicData>
                </a:graphic>
              </wp:anchor>
            </w:drawing>
          </mc:Choice>
          <mc:Fallback>
            <w:pict>
              <v:rect id="000230" o:spid="_x0000_s1026" o:spt="1" style="position:absolute;left:0pt;margin-left:0pt;margin-top:23.5pt;height:48pt;width:72pt;z-index:252014592;mso-width-relative:page;mso-height-relative:page;" filled="f" stroked="f" coordsize="21600,21600" o:gfxdata="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HzeV+tYAAAAHAQAADwAAAAAAAAABACAAAAAiAAAAZHJz&#10;L2Rvd25yZXYueG1sUEsBAhQAFAAAAAgAh07iQPfy6o2UAQAAOAMAAA4AAAAAAAAAAQAgAAAAJQEA&#10;AGRycy9lMm9Eb2MueG1sUEsFBgAAAAAGAAYAWQEAACsFAAAAAA==&#10;">
                <v:fill on="f" focussize="0,0"/>
                <v:stroke on="f"/>
                <v:imagedata o:title=""/>
                <o:lock v:ext="edit" aspectratio="f"/>
                <v:textbox>
                  <w:txbxContent>
                    <w:p w14:paraId="0BD02FE1">
                      <w:pPr>
                        <w:pStyle w:val="16"/>
                        <w:spacing w:line="200" w:lineRule="exact"/>
                        <w:ind w:left="5250"/>
                        <w:rPr>
                          <w:rFonts w:hint="eastAsia"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v:textbox>
              </v:rect>
            </w:pict>
          </mc:Fallback>
        </mc:AlternateContent>
      </w:r>
      <w:r>
        <w:rPr>
          <w:rFonts w:hint="eastAsia" w:hAnsi="宋体" w:eastAsia="宋体" w:cs="宋体"/>
          <w:b/>
          <w:bCs/>
          <w:color w:val="auto"/>
          <w:sz w:val="24"/>
          <w:szCs w:val="24"/>
          <w:highlight w:val="none"/>
        </w:rPr>
        <w:t xml:space="preserve">80.6  </w:t>
      </w:r>
      <w:r>
        <w:rPr>
          <w:rFonts w:hint="eastAsia" w:hAnsi="宋体" w:eastAsia="宋体" w:cs="宋体"/>
          <w:b/>
          <w:bCs/>
          <w:color w:val="auto"/>
          <w:sz w:val="24"/>
          <w:szCs w:val="24"/>
          <w:highlight w:val="none"/>
          <w:u w:val="dotted"/>
        </w:rPr>
        <w:t xml:space="preserve">                                                                                 </w:t>
      </w:r>
    </w:p>
    <w:p w14:paraId="516889F9">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除专用条款另有约定外，</w:t>
      </w:r>
      <w:r>
        <w:rPr>
          <w:rFonts w:hint="eastAsia" w:hAnsi="宋体" w:eastAsia="宋体" w:cs="宋体"/>
          <w:caps/>
          <w:color w:val="auto"/>
          <w:sz w:val="24"/>
          <w:szCs w:val="24"/>
          <w:highlight w:val="none"/>
        </w:rPr>
        <w:t>获得省、市级或其它级别文明工地的文明工地增加费</w:t>
      </w:r>
      <w:r>
        <w:rPr>
          <w:rFonts w:hint="eastAsia" w:hAnsi="宋体" w:eastAsia="宋体" w:cs="宋体"/>
          <w:color w:val="auto"/>
          <w:sz w:val="24"/>
          <w:szCs w:val="24"/>
          <w:highlight w:val="none"/>
        </w:rPr>
        <w:t>，招标工程的根据中标通知书日期，非招标工程的根据合同签订日期的同时期执行的广东省建设工程计价依据</w:t>
      </w:r>
      <w:r>
        <w:rPr>
          <w:rFonts w:hint="eastAsia" w:hAnsi="宋体" w:eastAsia="宋体" w:cs="宋体"/>
          <w:caps/>
          <w:color w:val="auto"/>
          <w:sz w:val="24"/>
          <w:szCs w:val="24"/>
          <w:highlight w:val="none"/>
        </w:rPr>
        <w:t>文明工地增加费</w:t>
      </w:r>
      <w:r>
        <w:rPr>
          <w:rFonts w:hint="eastAsia" w:hAnsi="宋体" w:eastAsia="宋体" w:cs="宋体"/>
          <w:color w:val="auto"/>
          <w:sz w:val="24"/>
          <w:szCs w:val="24"/>
          <w:highlight w:val="none"/>
        </w:rPr>
        <w:t>、广州市住房和城乡建设局发布的</w:t>
      </w:r>
      <w:r>
        <w:rPr>
          <w:rFonts w:hint="eastAsia" w:hAnsi="宋体" w:eastAsia="宋体" w:cs="宋体"/>
          <w:caps/>
          <w:color w:val="auto"/>
          <w:sz w:val="24"/>
          <w:szCs w:val="24"/>
          <w:highlight w:val="none"/>
        </w:rPr>
        <w:t>文明工地增加费</w:t>
      </w:r>
      <w:r>
        <w:rPr>
          <w:rFonts w:hint="eastAsia" w:hAnsi="宋体" w:eastAsia="宋体" w:cs="宋体"/>
          <w:color w:val="auto"/>
          <w:sz w:val="24"/>
          <w:szCs w:val="24"/>
          <w:highlight w:val="none"/>
        </w:rPr>
        <w:t>、广州市建设工程造价管理站发布的</w:t>
      </w:r>
      <w:r>
        <w:rPr>
          <w:rFonts w:hint="eastAsia" w:hAnsi="宋体" w:eastAsia="宋体" w:cs="宋体"/>
          <w:caps/>
          <w:color w:val="auto"/>
          <w:sz w:val="24"/>
          <w:szCs w:val="24"/>
          <w:highlight w:val="none"/>
        </w:rPr>
        <w:t>文明工地增加费</w:t>
      </w:r>
      <w:r>
        <w:rPr>
          <w:rFonts w:hint="eastAsia" w:hAnsi="宋体" w:eastAsia="宋体" w:cs="宋体"/>
          <w:color w:val="auto"/>
          <w:sz w:val="24"/>
          <w:szCs w:val="24"/>
          <w:highlight w:val="none"/>
        </w:rPr>
        <w:t>计算。当合同工程同时获得上述多个奖项的，</w:t>
      </w:r>
      <w:r>
        <w:rPr>
          <w:rFonts w:hint="eastAsia" w:hAnsi="宋体" w:eastAsia="宋体" w:cs="宋体"/>
          <w:caps/>
          <w:color w:val="auto"/>
          <w:sz w:val="24"/>
          <w:szCs w:val="24"/>
          <w:highlight w:val="none"/>
        </w:rPr>
        <w:t>文明工地增加费</w:t>
      </w:r>
      <w:r>
        <w:rPr>
          <w:rFonts w:hint="eastAsia" w:hAnsi="宋体" w:eastAsia="宋体" w:cs="宋体"/>
          <w:color w:val="auto"/>
          <w:sz w:val="24"/>
          <w:szCs w:val="24"/>
          <w:highlight w:val="none"/>
        </w:rPr>
        <w:t>只按最高奖项的额度计算。</w:t>
      </w:r>
      <w:r>
        <w:rPr>
          <w:rFonts w:hint="eastAsia" w:hAnsi="宋体" w:eastAsia="宋体" w:cs="宋体"/>
          <w:caps/>
          <w:color w:val="auto"/>
          <w:sz w:val="24"/>
          <w:szCs w:val="24"/>
          <w:highlight w:val="none"/>
        </w:rPr>
        <w:t>文明工地增加费</w:t>
      </w:r>
      <w:r>
        <w:rPr>
          <w:rFonts w:hint="eastAsia" w:hAnsi="宋体" w:eastAsia="宋体" w:cs="宋体"/>
          <w:color w:val="auto"/>
          <w:sz w:val="24"/>
          <w:szCs w:val="24"/>
          <w:highlight w:val="none"/>
        </w:rPr>
        <w:t>列入竣工结算文件中，与竣工结算款一并支付。在竣工结算后获得奖项的，发包人应在获得奖项后的28天内支付。</w:t>
      </w:r>
    </w:p>
    <w:p w14:paraId="3BBFE83A">
      <w:pPr>
        <w:pStyle w:val="22"/>
        <w:tabs>
          <w:tab w:val="left" w:pos="1620"/>
        </w:tabs>
        <w:adjustRightInd w:val="0"/>
        <w:snapToGrid w:val="0"/>
        <w:spacing w:line="300" w:lineRule="auto"/>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684944A7">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187" w:name="_Toc469384065"/>
      <w:bookmarkStart w:id="188" w:name="_Toc46860886"/>
      <w:r>
        <w:rPr>
          <w:rFonts w:hint="eastAsia" w:hAnsi="宋体" w:eastAsia="宋体" w:cs="宋体"/>
          <w:b/>
          <w:bCs/>
          <w:color w:val="auto"/>
          <w:sz w:val="24"/>
          <w:szCs w:val="24"/>
          <w:highlight w:val="none"/>
        </w:rPr>
        <w:t>★81  进度款</w:t>
      </w:r>
      <w:bookmarkEnd w:id="187"/>
      <w:bookmarkEnd w:id="188"/>
    </w:p>
    <w:p w14:paraId="4DB50BF7">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81.1</w:t>
      </w:r>
    </w:p>
    <w:p w14:paraId="1655220F">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15616"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1374" name="000231"/>
                <wp:cNvGraphicFramePr/>
                <a:graphic xmlns:a="http://schemas.openxmlformats.org/drawingml/2006/main">
                  <a:graphicData uri="http://schemas.microsoft.com/office/word/2010/wordprocessingShape">
                    <wps:wsp>
                      <wps:cNvSpPr/>
                      <wps:spPr>
                        <a:xfrm>
                          <a:off x="0" y="0"/>
                          <a:ext cx="914400" cy="686435"/>
                        </a:xfrm>
                        <a:prstGeom prst="rect">
                          <a:avLst/>
                        </a:prstGeom>
                        <a:ln>
                          <a:noFill/>
                        </a:ln>
                      </wps:spPr>
                      <wps:txbx>
                        <w:txbxContent>
                          <w:p w14:paraId="4D50227B">
                            <w:pPr>
                              <w:rPr>
                                <w:rFonts w:hint="eastAsia" w:ascii="楷体_GB2312" w:hAnsi="宋体" w:eastAsia="楷体_GB2312"/>
                                <w:b/>
                                <w:bCs/>
                                <w:sz w:val="18"/>
                                <w:szCs w:val="18"/>
                              </w:rPr>
                            </w:pPr>
                            <w:r>
                              <w:rPr>
                                <w:rFonts w:hint="eastAsia" w:ascii="楷体_GB2312" w:hAnsi="宋体" w:eastAsia="楷体_GB2312" w:cs="楷体_GB2312"/>
                                <w:b/>
                                <w:bCs/>
                                <w:sz w:val="18"/>
                                <w:szCs w:val="18"/>
                              </w:rPr>
                              <w:t>约定支付期限、比例和提交支付申请</w:t>
                            </w:r>
                          </w:p>
                        </w:txbxContent>
                      </wps:txbx>
                      <wps:bodyPr wrap="square"/>
                    </wps:wsp>
                  </a:graphicData>
                </a:graphic>
              </wp:anchor>
            </w:drawing>
          </mc:Choice>
          <mc:Fallback>
            <w:pict>
              <v:rect id="000231" o:spid="_x0000_s1026" o:spt="1" style="position:absolute;left:0pt;margin-left:-9pt;margin-top:0.65pt;height:54.05pt;width:72pt;z-index:252015616;mso-width-relative:page;mso-height-relative:page;" filled="f" stroked="f" coordsize="21600,21600" o:gfxdata="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Muxl+2QAAAAkBAAAPAAAAAAAAAAEAIAAAACIA&#10;AABkcnMvZG93bnJldi54bWxQSwECFAAUAAAACACHTuJAFNQPhJYBAAA4AwAADgAAAAAAAAABACAA&#10;AAAoAQAAZHJzL2Uyb0RvYy54bWxQSwUGAAAAAAYABgBZAQAAMAUAAAAA&#10;">
                <v:fill on="f" focussize="0,0"/>
                <v:stroke on="f"/>
                <v:imagedata o:title=""/>
                <o:lock v:ext="edit" aspectratio="f"/>
                <v:textbox>
                  <w:txbxContent>
                    <w:p w14:paraId="4D50227B">
                      <w:pPr>
                        <w:rPr>
                          <w:rFonts w:hint="eastAsia" w:ascii="楷体_GB2312" w:hAnsi="宋体" w:eastAsia="楷体_GB2312"/>
                          <w:b/>
                          <w:bCs/>
                          <w:sz w:val="18"/>
                          <w:szCs w:val="18"/>
                        </w:rPr>
                      </w:pPr>
                      <w:r>
                        <w:rPr>
                          <w:rFonts w:hint="eastAsia" w:ascii="楷体_GB2312" w:hAnsi="宋体" w:eastAsia="楷体_GB2312" w:cs="楷体_GB2312"/>
                          <w:b/>
                          <w:bCs/>
                          <w:sz w:val="18"/>
                          <w:szCs w:val="18"/>
                        </w:rPr>
                        <w:t>约定支付期限、比例和提交支付申请</w:t>
                      </w:r>
                    </w:p>
                  </w:txbxContent>
                </v:textbox>
              </v:rect>
            </w:pict>
          </mc:Fallback>
        </mc:AlternateContent>
      </w:r>
      <w:r>
        <w:rPr>
          <w:rFonts w:hint="eastAsia" w:hAnsi="宋体" w:eastAsia="宋体" w:cs="宋体"/>
          <w:color w:val="auto"/>
          <w:sz w:val="24"/>
          <w:szCs w:val="24"/>
          <w:highlight w:val="none"/>
        </w:rPr>
        <w:t>合同双方当事人应在专用条款中明确进度款支付期的时限及比例。专用条款没有约定期限的，支付期以月为单位。涉及政府投资资金的工程，支付期、支付方法等需调整的，应在专用条款中约定。</w:t>
      </w:r>
    </w:p>
    <w:p w14:paraId="7935416E">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16640"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1375" name="000232"/>
                <wp:cNvGraphicFramePr/>
                <a:graphic xmlns:a="http://schemas.openxmlformats.org/drawingml/2006/main">
                  <a:graphicData uri="http://schemas.microsoft.com/office/word/2010/wordprocessingShape">
                    <wps:wsp>
                      <wps:cNvSpPr/>
                      <wps:spPr>
                        <a:xfrm>
                          <a:off x="0" y="0"/>
                          <a:ext cx="1409700" cy="597534"/>
                        </a:xfrm>
                        <a:prstGeom prst="rect">
                          <a:avLst/>
                        </a:prstGeom>
                        <a:ln>
                          <a:noFill/>
                        </a:ln>
                      </wps:spPr>
                      <wps:txbx>
                        <w:txbxContent>
                          <w:p w14:paraId="50C94FDE">
                            <w:pPr>
                              <w:spacing w:line="240" w:lineRule="exact"/>
                              <w:rPr>
                                <w:rFonts w:hint="eastAsia" w:eastAsia="楷体_GB2312"/>
                                <w:b/>
                                <w:bCs/>
                                <w:sz w:val="18"/>
                                <w:szCs w:val="18"/>
                              </w:rPr>
                            </w:pPr>
                            <w:r>
                              <w:rPr>
                                <w:rFonts w:hint="eastAsia" w:eastAsia="楷体_GB2312" w:cs="楷体_GB2312"/>
                                <w:b/>
                                <w:bCs/>
                                <w:sz w:val="18"/>
                                <w:szCs w:val="18"/>
                              </w:rPr>
                              <w:t>安全文明施工费</w:t>
                            </w:r>
                          </w:p>
                          <w:p w14:paraId="516664F1">
                            <w:pPr>
                              <w:spacing w:line="240" w:lineRule="exact"/>
                              <w:rPr>
                                <w:rFonts w:hint="eastAsia" w:eastAsia="楷体_GB2312"/>
                                <w:b/>
                                <w:bCs/>
                                <w:sz w:val="18"/>
                                <w:szCs w:val="18"/>
                              </w:rPr>
                            </w:pPr>
                            <w:r>
                              <w:rPr>
                                <w:rFonts w:hint="eastAsia" w:eastAsia="楷体_GB2312" w:cs="楷体_GB2312"/>
                                <w:b/>
                                <w:bCs/>
                                <w:sz w:val="18"/>
                                <w:szCs w:val="18"/>
                              </w:rPr>
                              <w:t>支付申请的提交、</w:t>
                            </w:r>
                          </w:p>
                          <w:p w14:paraId="43E98220">
                            <w:pPr>
                              <w:spacing w:line="240" w:lineRule="exact"/>
                              <w:rPr>
                                <w:rFonts w:hint="eastAsia" w:eastAsia="楷体_GB2312"/>
                                <w:b/>
                                <w:bCs/>
                                <w:sz w:val="18"/>
                                <w:szCs w:val="18"/>
                              </w:rPr>
                            </w:pPr>
                            <w:r>
                              <w:rPr>
                                <w:rFonts w:hint="eastAsia" w:eastAsia="楷体_GB2312" w:cs="楷体_GB2312"/>
                                <w:b/>
                                <w:bCs/>
                                <w:sz w:val="18"/>
                                <w:szCs w:val="18"/>
                              </w:rPr>
                              <w:t>核实与支付</w:t>
                            </w:r>
                          </w:p>
                          <w:p w14:paraId="20ED94D1">
                            <w:pPr>
                              <w:rPr>
                                <w:rFonts w:hint="eastAsia" w:eastAsia="楷体_GB2312"/>
                                <w:b/>
                                <w:bCs/>
                                <w:sz w:val="18"/>
                                <w:szCs w:val="18"/>
                              </w:rPr>
                            </w:pPr>
                          </w:p>
                        </w:txbxContent>
                      </wps:txbx>
                      <wps:bodyPr wrap="square"/>
                    </wps:wsp>
                  </a:graphicData>
                </a:graphic>
              </wp:anchor>
            </w:drawing>
          </mc:Choice>
          <mc:Fallback>
            <w:pict>
              <v:rect id="000232" o:spid="_x0000_s1026" o:spt="1" style="position:absolute;left:0pt;margin-left:-18pt;margin-top:737pt;height:47.05pt;width:111pt;z-index:252016640;mso-width-relative:page;mso-height-relative:page;" filled="f" stroked="f" coordsize="21600,21600" o:gfxdata="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LENIPaAAAADQEAAA8AAAAAAAAAAQAgAAAA&#10;IgAAAGRycy9kb3ducmV2LnhtbFBLAQIUABQAAAAIAIdO4kDiRFEBlwEAADkDAAAOAAAAAAAAAAEA&#10;IAAAACkBAABkcnMvZTJvRG9jLnhtbFBLBQYAAAAABgAGAFkBAAAyBQAAAAA=&#10;">
                <v:fill on="f" focussize="0,0"/>
                <v:stroke on="f"/>
                <v:imagedata o:title=""/>
                <o:lock v:ext="edit" aspectratio="f"/>
                <v:textbox>
                  <w:txbxContent>
                    <w:p w14:paraId="50C94FDE">
                      <w:pPr>
                        <w:spacing w:line="240" w:lineRule="exact"/>
                        <w:rPr>
                          <w:rFonts w:hint="eastAsia" w:eastAsia="楷体_GB2312"/>
                          <w:b/>
                          <w:bCs/>
                          <w:sz w:val="18"/>
                          <w:szCs w:val="18"/>
                        </w:rPr>
                      </w:pPr>
                      <w:r>
                        <w:rPr>
                          <w:rFonts w:hint="eastAsia" w:eastAsia="楷体_GB2312" w:cs="楷体_GB2312"/>
                          <w:b/>
                          <w:bCs/>
                          <w:sz w:val="18"/>
                          <w:szCs w:val="18"/>
                        </w:rPr>
                        <w:t>安全文明施工费</w:t>
                      </w:r>
                    </w:p>
                    <w:p w14:paraId="516664F1">
                      <w:pPr>
                        <w:spacing w:line="240" w:lineRule="exact"/>
                        <w:rPr>
                          <w:rFonts w:hint="eastAsia" w:eastAsia="楷体_GB2312"/>
                          <w:b/>
                          <w:bCs/>
                          <w:sz w:val="18"/>
                          <w:szCs w:val="18"/>
                        </w:rPr>
                      </w:pPr>
                      <w:r>
                        <w:rPr>
                          <w:rFonts w:hint="eastAsia" w:eastAsia="楷体_GB2312" w:cs="楷体_GB2312"/>
                          <w:b/>
                          <w:bCs/>
                          <w:sz w:val="18"/>
                          <w:szCs w:val="18"/>
                        </w:rPr>
                        <w:t>支付申请的提交、</w:t>
                      </w:r>
                    </w:p>
                    <w:p w14:paraId="43E98220">
                      <w:pPr>
                        <w:spacing w:line="240" w:lineRule="exact"/>
                        <w:rPr>
                          <w:rFonts w:hint="eastAsia" w:eastAsia="楷体_GB2312"/>
                          <w:b/>
                          <w:bCs/>
                          <w:sz w:val="18"/>
                          <w:szCs w:val="18"/>
                        </w:rPr>
                      </w:pPr>
                      <w:r>
                        <w:rPr>
                          <w:rFonts w:hint="eastAsia" w:eastAsia="楷体_GB2312" w:cs="楷体_GB2312"/>
                          <w:b/>
                          <w:bCs/>
                          <w:sz w:val="18"/>
                          <w:szCs w:val="18"/>
                        </w:rPr>
                        <w:t>核实与支付</w:t>
                      </w:r>
                    </w:p>
                    <w:p w14:paraId="20ED94D1">
                      <w:pPr>
                        <w:rPr>
                          <w:rFonts w:hint="eastAsia" w:eastAsia="楷体_GB2312"/>
                          <w:b/>
                          <w:bCs/>
                          <w:sz w:val="18"/>
                          <w:szCs w:val="18"/>
                        </w:rPr>
                      </w:pPr>
                    </w:p>
                  </w:txbxContent>
                </v:textbox>
              </v:rect>
            </w:pict>
          </mc:Fallback>
        </mc:AlternateContent>
      </w:r>
      <w:r>
        <w:rPr>
          <w:rFonts w:hint="eastAsia" w:hAnsi="宋体" w:eastAsia="宋体" w:cs="宋体"/>
          <w:color w:val="auto"/>
          <w:sz w:val="24"/>
          <w:szCs w:val="24"/>
          <w:highlight w:val="none"/>
        </w:rPr>
        <w:t>承包人应在每个支付期结束后的7天内向造价工程师提交由承包人代表签署的支付申请和已完工程款额报告一式四份，详细说明此支付期间自己认为有权得到的款项，包括分包人已完工程款，同时抄送发包人。该支付申请的内容包括：</w:t>
      </w:r>
    </w:p>
    <w:p w14:paraId="12E5860F">
      <w:pPr>
        <w:pStyle w:val="22"/>
        <w:numPr>
          <w:ilvl w:val="0"/>
          <w:numId w:val="26"/>
        </w:numPr>
        <w:adjustRightInd w:val="0"/>
        <w:snapToGrid w:val="0"/>
        <w:spacing w:line="300" w:lineRule="auto"/>
        <w:ind w:left="1620" w:firstLine="0"/>
        <w:rPr>
          <w:rFonts w:hint="eastAsia" w:hAnsi="宋体" w:eastAsia="宋体" w:cs="宋体"/>
          <w:color w:val="auto"/>
          <w:sz w:val="24"/>
          <w:szCs w:val="24"/>
          <w:highlight w:val="none"/>
        </w:rPr>
      </w:pPr>
      <w:r>
        <w:rPr>
          <w:rFonts w:hint="eastAsia" w:hAnsi="宋体" w:eastAsia="宋体" w:cs="宋体"/>
          <w:color w:val="auto"/>
          <w:sz w:val="24"/>
          <w:szCs w:val="24"/>
          <w:highlight w:val="none"/>
        </w:rPr>
        <w:t>已完工程款；</w:t>
      </w:r>
    </w:p>
    <w:p w14:paraId="0CE2E62B">
      <w:pPr>
        <w:pStyle w:val="22"/>
        <w:numPr>
          <w:ilvl w:val="0"/>
          <w:numId w:val="26"/>
        </w:numPr>
        <w:adjustRightInd w:val="0"/>
        <w:snapToGrid w:val="0"/>
        <w:spacing w:line="300" w:lineRule="auto"/>
        <w:ind w:left="1620" w:firstLine="0"/>
        <w:rPr>
          <w:rFonts w:hint="eastAsia" w:hAnsi="宋体" w:eastAsia="宋体" w:cs="宋体"/>
          <w:color w:val="auto"/>
          <w:sz w:val="24"/>
          <w:szCs w:val="24"/>
          <w:highlight w:val="none"/>
        </w:rPr>
      </w:pPr>
      <w:r>
        <w:rPr>
          <w:rFonts w:hint="eastAsia" w:hAnsi="宋体" w:eastAsia="宋体" w:cs="宋体"/>
          <w:color w:val="auto"/>
          <w:sz w:val="24"/>
          <w:szCs w:val="24"/>
          <w:highlight w:val="none"/>
        </w:rPr>
        <w:t>已实际支付的工程款；</w:t>
      </w:r>
    </w:p>
    <w:p w14:paraId="07FFCD56">
      <w:pPr>
        <w:pStyle w:val="22"/>
        <w:numPr>
          <w:ilvl w:val="0"/>
          <w:numId w:val="26"/>
        </w:numPr>
        <w:adjustRightInd w:val="0"/>
        <w:snapToGrid w:val="0"/>
        <w:spacing w:line="300" w:lineRule="auto"/>
        <w:ind w:left="1620" w:firstLine="0"/>
        <w:rPr>
          <w:rFonts w:hint="eastAsia" w:hAnsi="宋体" w:eastAsia="宋体" w:cs="宋体"/>
          <w:color w:val="auto"/>
          <w:sz w:val="24"/>
          <w:szCs w:val="24"/>
          <w:highlight w:val="none"/>
        </w:rPr>
      </w:pPr>
      <w:r>
        <w:rPr>
          <w:rFonts w:hint="eastAsia" w:hAnsi="宋体" w:eastAsia="宋体" w:cs="宋体"/>
          <w:color w:val="auto"/>
          <w:sz w:val="24"/>
          <w:szCs w:val="24"/>
          <w:highlight w:val="none"/>
        </w:rPr>
        <w:t>本期间完成的工程款；</w:t>
      </w:r>
    </w:p>
    <w:p w14:paraId="07825835">
      <w:pPr>
        <w:pStyle w:val="22"/>
        <w:numPr>
          <w:ilvl w:val="0"/>
          <w:numId w:val="26"/>
        </w:numPr>
        <w:adjustRightInd w:val="0"/>
        <w:snapToGrid w:val="0"/>
        <w:spacing w:line="300" w:lineRule="auto"/>
        <w:ind w:left="1620" w:firstLine="0"/>
        <w:rPr>
          <w:rFonts w:hint="eastAsia" w:hAnsi="宋体" w:eastAsia="宋体" w:cs="宋体"/>
          <w:color w:val="auto"/>
          <w:sz w:val="24"/>
          <w:szCs w:val="24"/>
          <w:highlight w:val="none"/>
        </w:rPr>
      </w:pPr>
      <w:r>
        <w:rPr>
          <w:rFonts w:hint="eastAsia" w:hAnsi="宋体" w:eastAsia="宋体" w:cs="宋体"/>
          <w:color w:val="auto"/>
          <w:sz w:val="24"/>
          <w:szCs w:val="24"/>
          <w:highlight w:val="none"/>
        </w:rPr>
        <w:t>本期间完成的计日工费用；</w:t>
      </w:r>
    </w:p>
    <w:p w14:paraId="4210001A">
      <w:pPr>
        <w:pStyle w:val="22"/>
        <w:numPr>
          <w:ilvl w:val="0"/>
          <w:numId w:val="26"/>
        </w:numPr>
        <w:adjustRightInd w:val="0"/>
        <w:snapToGrid w:val="0"/>
        <w:spacing w:line="300" w:lineRule="auto"/>
        <w:ind w:left="1620" w:firstLine="0"/>
        <w:rPr>
          <w:rFonts w:hint="eastAsia" w:hAnsi="宋体" w:eastAsia="宋体" w:cs="宋体"/>
          <w:color w:val="auto"/>
          <w:sz w:val="24"/>
          <w:szCs w:val="24"/>
          <w:highlight w:val="none"/>
        </w:rPr>
      </w:pPr>
      <w:r>
        <w:rPr>
          <w:rFonts w:hint="eastAsia" w:hAnsi="宋体" w:eastAsia="宋体" w:cs="宋体"/>
          <w:color w:val="auto"/>
          <w:sz w:val="24"/>
          <w:szCs w:val="24"/>
          <w:highlight w:val="none"/>
        </w:rPr>
        <w:t>本期间应支付的暂列金额价款；</w:t>
      </w:r>
    </w:p>
    <w:p w14:paraId="11A2D40C">
      <w:pPr>
        <w:pStyle w:val="22"/>
        <w:numPr>
          <w:ilvl w:val="0"/>
          <w:numId w:val="26"/>
        </w:numPr>
        <w:adjustRightInd w:val="0"/>
        <w:snapToGrid w:val="0"/>
        <w:spacing w:line="300" w:lineRule="auto"/>
        <w:ind w:left="1620" w:firstLine="0"/>
        <w:rPr>
          <w:rFonts w:hint="eastAsia" w:hAnsi="宋体" w:eastAsia="宋体" w:cs="宋体"/>
          <w:color w:val="auto"/>
          <w:sz w:val="24"/>
          <w:szCs w:val="24"/>
          <w:highlight w:val="none"/>
        </w:rPr>
      </w:pPr>
      <w:r>
        <w:rPr>
          <w:rFonts w:hint="eastAsia" w:hAnsi="宋体" w:eastAsia="宋体" w:cs="宋体"/>
          <w:color w:val="auto"/>
          <w:sz w:val="24"/>
          <w:szCs w:val="24"/>
          <w:highlight w:val="none"/>
        </w:rPr>
        <w:t>根据第66条规定本期间应扣除的误期赔偿费；</w:t>
      </w:r>
    </w:p>
    <w:p w14:paraId="4E8FCA16">
      <w:pPr>
        <w:pStyle w:val="22"/>
        <w:numPr>
          <w:ilvl w:val="0"/>
          <w:numId w:val="26"/>
        </w:numPr>
        <w:adjustRightInd w:val="0"/>
        <w:snapToGrid w:val="0"/>
        <w:spacing w:line="300" w:lineRule="auto"/>
        <w:ind w:left="1620" w:firstLine="0"/>
        <w:rPr>
          <w:rFonts w:hint="eastAsia" w:hAnsi="宋体" w:eastAsia="宋体" w:cs="宋体"/>
          <w:color w:val="auto"/>
          <w:sz w:val="24"/>
          <w:szCs w:val="24"/>
          <w:highlight w:val="none"/>
        </w:rPr>
      </w:pPr>
      <w:r>
        <w:rPr>
          <w:rFonts w:hint="eastAsia" w:hAnsi="宋体" w:eastAsia="宋体" w:cs="宋体"/>
          <w:color w:val="auto"/>
          <w:sz w:val="24"/>
          <w:szCs w:val="24"/>
          <w:highlight w:val="none"/>
        </w:rPr>
        <w:t>根据第68条至第76条规定本期间应支付的调整工程款；</w:t>
      </w:r>
    </w:p>
    <w:p w14:paraId="586F2963">
      <w:pPr>
        <w:pStyle w:val="22"/>
        <w:numPr>
          <w:ilvl w:val="0"/>
          <w:numId w:val="26"/>
        </w:numPr>
        <w:adjustRightInd w:val="0"/>
        <w:snapToGrid w:val="0"/>
        <w:spacing w:line="300" w:lineRule="auto"/>
        <w:ind w:left="1620" w:firstLine="0"/>
        <w:rPr>
          <w:rFonts w:hint="eastAsia" w:hAnsi="宋体" w:eastAsia="宋体" w:cs="宋体"/>
          <w:color w:val="auto"/>
          <w:sz w:val="24"/>
          <w:szCs w:val="24"/>
          <w:highlight w:val="none"/>
        </w:rPr>
      </w:pPr>
      <w:r>
        <w:rPr>
          <w:rFonts w:hint="eastAsia" w:hAnsi="宋体" w:eastAsia="宋体" w:cs="宋体"/>
          <w:color w:val="auto"/>
          <w:sz w:val="24"/>
          <w:szCs w:val="24"/>
          <w:highlight w:val="none"/>
        </w:rPr>
        <w:t>根据第79条本期间应扣回的预付款；</w:t>
      </w:r>
    </w:p>
    <w:p w14:paraId="35D39019">
      <w:pPr>
        <w:pStyle w:val="22"/>
        <w:numPr>
          <w:ilvl w:val="0"/>
          <w:numId w:val="26"/>
        </w:numPr>
        <w:tabs>
          <w:tab w:val="left" w:pos="2160"/>
        </w:tabs>
        <w:adjustRightInd w:val="0"/>
        <w:snapToGrid w:val="0"/>
        <w:spacing w:line="300" w:lineRule="auto"/>
        <w:ind w:left="1620" w:firstLine="0"/>
        <w:rPr>
          <w:rFonts w:hint="eastAsia" w:hAnsi="宋体" w:eastAsia="宋体" w:cs="宋体"/>
          <w:color w:val="auto"/>
          <w:sz w:val="24"/>
          <w:szCs w:val="24"/>
          <w:highlight w:val="none"/>
        </w:rPr>
      </w:pPr>
      <w:r>
        <w:rPr>
          <w:rFonts w:hint="eastAsia" w:hAnsi="宋体" w:eastAsia="宋体" w:cs="宋体"/>
          <w:color w:val="auto"/>
          <w:sz w:val="24"/>
          <w:szCs w:val="24"/>
          <w:highlight w:val="none"/>
        </w:rPr>
        <w:t>根据第80条规定本期间应支付或扣回的绿色施工安全防护费；</w:t>
      </w:r>
    </w:p>
    <w:p w14:paraId="1AA22082">
      <w:pPr>
        <w:pStyle w:val="22"/>
        <w:numPr>
          <w:ilvl w:val="0"/>
          <w:numId w:val="26"/>
        </w:numPr>
        <w:tabs>
          <w:tab w:val="left" w:pos="2160"/>
        </w:tabs>
        <w:adjustRightInd w:val="0"/>
        <w:snapToGrid w:val="0"/>
        <w:spacing w:line="300" w:lineRule="auto"/>
        <w:ind w:left="1620" w:firstLine="0"/>
        <w:rPr>
          <w:rFonts w:hint="eastAsia" w:hAnsi="宋体" w:eastAsia="宋体" w:cs="宋体"/>
          <w:color w:val="auto"/>
          <w:sz w:val="24"/>
          <w:szCs w:val="24"/>
          <w:highlight w:val="none"/>
        </w:rPr>
      </w:pPr>
      <w:r>
        <w:rPr>
          <w:rFonts w:hint="eastAsia" w:hAnsi="宋体" w:eastAsia="宋体" w:cs="宋体"/>
          <w:color w:val="auto"/>
          <w:sz w:val="24"/>
          <w:szCs w:val="24"/>
          <w:highlight w:val="none"/>
        </w:rPr>
        <w:t>根据第84条本期间应扣留的质量保证金；</w:t>
      </w:r>
    </w:p>
    <w:p w14:paraId="51294447">
      <w:pPr>
        <w:pStyle w:val="22"/>
        <w:numPr>
          <w:ilvl w:val="0"/>
          <w:numId w:val="26"/>
        </w:numPr>
        <w:tabs>
          <w:tab w:val="left" w:pos="2160"/>
        </w:tabs>
        <w:adjustRightInd w:val="0"/>
        <w:snapToGrid w:val="0"/>
        <w:spacing w:line="300" w:lineRule="auto"/>
        <w:ind w:left="1620" w:firstLine="0"/>
        <w:rPr>
          <w:rFonts w:hint="eastAsia" w:hAnsi="宋体" w:eastAsia="宋体" w:cs="宋体"/>
          <w:color w:val="auto"/>
          <w:sz w:val="24"/>
          <w:szCs w:val="24"/>
          <w:highlight w:val="none"/>
        </w:rPr>
      </w:pPr>
      <w:r>
        <w:rPr>
          <w:rFonts w:hint="eastAsia" w:hAnsi="宋体" w:eastAsia="宋体" w:cs="宋体"/>
          <w:color w:val="auto"/>
          <w:sz w:val="24"/>
          <w:szCs w:val="24"/>
          <w:highlight w:val="none"/>
        </w:rPr>
        <w:t>根据合同约定，本期间应支付或扣留（回）的其他款项；</w:t>
      </w:r>
    </w:p>
    <w:p w14:paraId="3F7E1D09">
      <w:pPr>
        <w:pStyle w:val="22"/>
        <w:numPr>
          <w:ilvl w:val="0"/>
          <w:numId w:val="26"/>
        </w:numPr>
        <w:tabs>
          <w:tab w:val="left" w:pos="2160"/>
        </w:tabs>
        <w:adjustRightInd w:val="0"/>
        <w:snapToGrid w:val="0"/>
        <w:spacing w:line="300" w:lineRule="auto"/>
        <w:ind w:left="1620" w:firstLine="0"/>
        <w:rPr>
          <w:rFonts w:hint="eastAsia" w:hAnsi="宋体" w:eastAsia="宋体" w:cs="宋体"/>
          <w:color w:val="auto"/>
          <w:sz w:val="24"/>
          <w:szCs w:val="24"/>
          <w:highlight w:val="none"/>
        </w:rPr>
      </w:pPr>
      <w:r>
        <w:rPr>
          <w:rFonts w:hint="eastAsia" w:hAnsi="宋体" w:eastAsia="宋体" w:cs="宋体"/>
          <w:color w:val="auto"/>
          <w:sz w:val="24"/>
          <w:szCs w:val="24"/>
          <w:highlight w:val="none"/>
        </w:rPr>
        <w:t>本期间应支付的工程款。</w:t>
      </w:r>
    </w:p>
    <w:p w14:paraId="10D55D0F">
      <w:pPr>
        <w:pStyle w:val="22"/>
        <w:tabs>
          <w:tab w:val="left" w:pos="1320"/>
        </w:tabs>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81.2 </w:t>
      </w:r>
      <w:r>
        <w:rPr>
          <w:rFonts w:hint="eastAsia" w:hAnsi="宋体" w:eastAsia="宋体" w:cs="宋体"/>
          <w:b/>
          <w:bCs/>
          <w:color w:val="auto"/>
          <w:sz w:val="24"/>
          <w:szCs w:val="24"/>
          <w:highlight w:val="none"/>
          <w:u w:val="dotted"/>
        </w:rPr>
        <w:t xml:space="preserve">                                                                                                         </w:t>
      </w:r>
    </w:p>
    <w:p w14:paraId="463704FA">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17664"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1376" name="000233"/>
                <wp:cNvGraphicFramePr/>
                <a:graphic xmlns:a="http://schemas.openxmlformats.org/drawingml/2006/main">
                  <a:graphicData uri="http://schemas.microsoft.com/office/word/2010/wordprocessingShape">
                    <wps:wsp>
                      <wps:cNvSpPr/>
                      <wps:spPr>
                        <a:xfrm>
                          <a:off x="0" y="0"/>
                          <a:ext cx="914400" cy="670560"/>
                        </a:xfrm>
                        <a:prstGeom prst="rect">
                          <a:avLst/>
                        </a:prstGeom>
                        <a:ln>
                          <a:noFill/>
                        </a:ln>
                      </wps:spPr>
                      <wps:txbx>
                        <w:txbxContent>
                          <w:p w14:paraId="54E08A75">
                            <w:pPr>
                              <w:rPr>
                                <w:rFonts w:hint="eastAsia" w:ascii="楷体_GB2312" w:hAnsi="宋体" w:eastAsia="楷体_GB2312"/>
                                <w:b/>
                                <w:bCs/>
                                <w:sz w:val="18"/>
                                <w:szCs w:val="18"/>
                              </w:rPr>
                            </w:pPr>
                            <w:r>
                              <w:rPr>
                                <w:rFonts w:hint="eastAsia" w:ascii="楷体_GB2312" w:hAnsi="宋体" w:eastAsia="楷体_GB2312" w:cs="楷体_GB2312"/>
                                <w:b/>
                                <w:bCs/>
                                <w:sz w:val="18"/>
                                <w:szCs w:val="18"/>
                              </w:rPr>
                              <w:t>签发期中支付证书</w:t>
                            </w:r>
                          </w:p>
                        </w:txbxContent>
                      </wps:txbx>
                      <wps:bodyPr wrap="square"/>
                    </wps:wsp>
                  </a:graphicData>
                </a:graphic>
              </wp:anchor>
            </w:drawing>
          </mc:Choice>
          <mc:Fallback>
            <w:pict>
              <v:rect id="000233" o:spid="_x0000_s1026" o:spt="1" style="position:absolute;left:0pt;margin-left:-9pt;margin-top:0pt;height:52.8pt;width:72pt;z-index:252017664;mso-width-relative:page;mso-height-relative:page;" filled="f" stroked="f" coordsize="21600,21600" o:gfxdata="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JWMqG2AAAAAgBAAAPAAAAAAAAAAEAIAAAACIA&#10;AABkcnMvZG93bnJldi54bWxQSwECFAAUAAAACACHTuJAZHQZ05cBAAA4AwAADgAAAAAAAAABACAA&#10;AAAnAQAAZHJzL2Uyb0RvYy54bWxQSwUGAAAAAAYABgBZAQAAMAUAAAAA&#10;">
                <v:fill on="f" focussize="0,0"/>
                <v:stroke on="f"/>
                <v:imagedata o:title=""/>
                <o:lock v:ext="edit" aspectratio="f"/>
                <v:textbox>
                  <w:txbxContent>
                    <w:p w14:paraId="54E08A75">
                      <w:pPr>
                        <w:rPr>
                          <w:rFonts w:hint="eastAsia" w:ascii="楷体_GB2312" w:hAnsi="宋体" w:eastAsia="楷体_GB2312"/>
                          <w:b/>
                          <w:bCs/>
                          <w:sz w:val="18"/>
                          <w:szCs w:val="18"/>
                        </w:rPr>
                      </w:pPr>
                      <w:r>
                        <w:rPr>
                          <w:rFonts w:hint="eastAsia" w:ascii="楷体_GB2312" w:hAnsi="宋体" w:eastAsia="楷体_GB2312" w:cs="楷体_GB2312"/>
                          <w:b/>
                          <w:bCs/>
                          <w:sz w:val="18"/>
                          <w:szCs w:val="18"/>
                        </w:rPr>
                        <w:t>签发期中支付证书</w:t>
                      </w:r>
                    </w:p>
                  </w:txbxContent>
                </v:textbox>
              </v:rect>
            </w:pict>
          </mc:Fallback>
        </mc:AlternateContent>
      </w:r>
      <w:r>
        <w:rPr>
          <w:rFonts w:hint="eastAsia" w:hAnsi="宋体" w:eastAsia="宋体" w:cs="宋体"/>
          <w:color w:val="auto"/>
          <w:sz w:val="24"/>
          <w:szCs w:val="24"/>
          <w:highlight w:val="none"/>
        </w:rPr>
        <w:t>造价工程师在收到上述资料后，应按照第62条的规定进行计量，并根据计量结果和合同约定对资料内容予以核实。在收到上述资料后的28天内报发包人确认后向发包人签发期中支付证书，同时抄送承包人。</w:t>
      </w:r>
    </w:p>
    <w:p w14:paraId="33354A9F">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14:paraId="4C3F2FE0">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造价工程师签发期中支付证书，不应视为发包人已同意、批准或接受了承包人完成该部分工作。</w:t>
      </w:r>
    </w:p>
    <w:p w14:paraId="53C8B98D">
      <w:pPr>
        <w:pStyle w:val="22"/>
        <w:tabs>
          <w:tab w:val="left" w:pos="1320"/>
        </w:tabs>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81.3  </w:t>
      </w:r>
      <w:r>
        <w:rPr>
          <w:rFonts w:hint="eastAsia" w:hAnsi="宋体" w:eastAsia="宋体" w:cs="宋体"/>
          <w:b/>
          <w:bCs/>
          <w:color w:val="auto"/>
          <w:sz w:val="24"/>
          <w:szCs w:val="24"/>
          <w:highlight w:val="none"/>
          <w:u w:val="dotted"/>
        </w:rPr>
        <w:t xml:space="preserve">                                                                                                        </w:t>
      </w:r>
    </w:p>
    <w:p w14:paraId="69C79AA1">
      <w:pPr>
        <w:pStyle w:val="22"/>
        <w:adjustRightInd w:val="0"/>
        <w:snapToGrid w:val="0"/>
        <w:spacing w:line="300" w:lineRule="auto"/>
        <w:ind w:left="1619" w:leftChars="771"/>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18688"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1377" name="000234"/>
                <wp:cNvGraphicFramePr/>
                <a:graphic xmlns:a="http://schemas.openxmlformats.org/drawingml/2006/main">
                  <a:graphicData uri="http://schemas.microsoft.com/office/word/2010/wordprocessingShape">
                    <wps:wsp>
                      <wps:cNvSpPr/>
                      <wps:spPr>
                        <a:xfrm>
                          <a:off x="0" y="0"/>
                          <a:ext cx="1028700" cy="267970"/>
                        </a:xfrm>
                        <a:prstGeom prst="rect">
                          <a:avLst/>
                        </a:prstGeom>
                        <a:ln>
                          <a:noFill/>
                        </a:ln>
                      </wps:spPr>
                      <wps:txbx>
                        <w:txbxContent>
                          <w:p w14:paraId="4709E4B9">
                            <w:pPr>
                              <w:rPr>
                                <w:rFonts w:hint="eastAsia" w:ascii="楷体_GB2312" w:hAnsi="宋体" w:eastAsia="楷体_GB2312"/>
                                <w:b/>
                                <w:bCs/>
                                <w:sz w:val="18"/>
                                <w:szCs w:val="18"/>
                              </w:rPr>
                            </w:pPr>
                            <w:r>
                              <w:rPr>
                                <w:rFonts w:hint="eastAsia" w:ascii="楷体_GB2312" w:hAnsi="宋体" w:eastAsia="楷体_GB2312" w:cs="楷体_GB2312"/>
                                <w:b/>
                                <w:bCs/>
                                <w:sz w:val="18"/>
                                <w:szCs w:val="18"/>
                              </w:rPr>
                              <w:t>进度款支付</w:t>
                            </w:r>
                          </w:p>
                        </w:txbxContent>
                      </wps:txbx>
                      <wps:bodyPr wrap="square"/>
                    </wps:wsp>
                  </a:graphicData>
                </a:graphic>
              </wp:anchor>
            </w:drawing>
          </mc:Choice>
          <mc:Fallback>
            <w:pict>
              <v:rect id="000234" o:spid="_x0000_s1026" o:spt="1" style="position:absolute;left:0pt;margin-left:-9pt;margin-top:0.5pt;height:21.1pt;width:81pt;z-index:252018688;mso-width-relative:page;mso-height-relative:page;" filled="f" stroked="f" coordsize="21600,21600" o:gfxdata="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CU0012AAAAAgBAAAPAAAAAAAAAAEAIAAAACIA&#10;AABkcnMvZG93bnJldi54bWxQSwECFAAUAAAACACHTuJAsABF45cBAAA5AwAADgAAAAAAAAABACAA&#10;AAAnAQAAZHJzL2Uyb0RvYy54bWxQSwUGAAAAAAYABgBZAQAAMAUAAAAA&#10;">
                <v:fill on="f" focussize="0,0"/>
                <v:stroke on="f"/>
                <v:imagedata o:title=""/>
                <o:lock v:ext="edit" aspectratio="f"/>
                <v:textbox>
                  <w:txbxContent>
                    <w:p w14:paraId="4709E4B9">
                      <w:pPr>
                        <w:rPr>
                          <w:rFonts w:hint="eastAsia" w:ascii="楷体_GB2312" w:hAnsi="宋体" w:eastAsia="楷体_GB2312"/>
                          <w:b/>
                          <w:bCs/>
                          <w:sz w:val="18"/>
                          <w:szCs w:val="18"/>
                        </w:rPr>
                      </w:pPr>
                      <w:r>
                        <w:rPr>
                          <w:rFonts w:hint="eastAsia" w:ascii="楷体_GB2312" w:hAnsi="宋体" w:eastAsia="楷体_GB2312" w:cs="楷体_GB2312"/>
                          <w:b/>
                          <w:bCs/>
                          <w:sz w:val="18"/>
                          <w:szCs w:val="18"/>
                        </w:rPr>
                        <w:t>进度款支付</w:t>
                      </w:r>
                    </w:p>
                  </w:txbxContent>
                </v:textbox>
              </v:rect>
            </w:pict>
          </mc:Fallback>
        </mc:AlternateContent>
      </w:r>
      <w:r>
        <w:rPr>
          <w:rFonts w:hint="eastAsia" w:hAnsi="宋体" w:eastAsia="宋体" w:cs="宋体"/>
          <w:color w:val="auto"/>
          <w:sz w:val="24"/>
          <w:szCs w:val="24"/>
          <w:highlight w:val="none"/>
        </w:rPr>
        <w:t>发包人应在造价工程师签发期中支付证书后的14天内，按照期中支付证书列明的金额向承包人支付进度款，并通知造价工程师。</w:t>
      </w:r>
    </w:p>
    <w:p w14:paraId="669CC2BA">
      <w:pPr>
        <w:pStyle w:val="22"/>
        <w:tabs>
          <w:tab w:val="left" w:pos="1320"/>
        </w:tabs>
        <w:adjustRightInd w:val="0"/>
        <w:snapToGrid w:val="0"/>
        <w:spacing w:line="300" w:lineRule="auto"/>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81.4</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4E02CDB5">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19712"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1378" name="000235"/>
                <wp:cNvGraphicFramePr/>
                <a:graphic xmlns:a="http://schemas.openxmlformats.org/drawingml/2006/main">
                  <a:graphicData uri="http://schemas.microsoft.com/office/word/2010/wordprocessingShape">
                    <wps:wsp>
                      <wps:cNvSpPr/>
                      <wps:spPr>
                        <a:xfrm>
                          <a:off x="0" y="0"/>
                          <a:ext cx="914400" cy="647700"/>
                        </a:xfrm>
                        <a:prstGeom prst="rect">
                          <a:avLst/>
                        </a:prstGeom>
                        <a:ln>
                          <a:noFill/>
                        </a:ln>
                      </wps:spPr>
                      <wps:txbx>
                        <w:txbxContent>
                          <w:p w14:paraId="361819A1">
                            <w:pPr>
                              <w:jc w:val="left"/>
                              <w:rPr>
                                <w:rFonts w:hint="eastAsia" w:ascii="楷体_GB2312" w:hAnsi="宋体" w:eastAsia="楷体_GB2312"/>
                                <w:b/>
                                <w:bCs/>
                                <w:sz w:val="18"/>
                                <w:szCs w:val="18"/>
                              </w:rPr>
                            </w:pPr>
                            <w:r>
                              <w:rPr>
                                <w:rFonts w:hint="eastAsia" w:ascii="楷体_GB2312" w:hAnsi="宋体" w:eastAsia="楷体_GB2312" w:cs="楷体_GB2312"/>
                                <w:b/>
                                <w:bCs/>
                                <w:sz w:val="18"/>
                                <w:szCs w:val="18"/>
                              </w:rPr>
                              <w:t>签发期中支付证书的限制</w:t>
                            </w:r>
                          </w:p>
                        </w:txbxContent>
                      </wps:txbx>
                      <wps:bodyPr wrap="square"/>
                    </wps:wsp>
                  </a:graphicData>
                </a:graphic>
              </wp:anchor>
            </w:drawing>
          </mc:Choice>
          <mc:Fallback>
            <w:pict>
              <v:rect id="000235" o:spid="_x0000_s1026" o:spt="1" style="position:absolute;left:0pt;margin-left:-9pt;margin-top:0.65pt;height:51pt;width:72pt;z-index:252019712;mso-width-relative:page;mso-height-relative:page;" filled="f" stroked="f" coordsize="21600,21600" o:gfxdata="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uZAyY9gAAAAJAQAADwAAAAAAAAABACAAAAAiAAAA&#10;ZHJzL2Rvd25yZXYueG1sUEsBAhQAFAAAAAgAh07iQM/qsN+VAQAAOAMAAA4AAAAAAAAAAQAgAAAA&#10;JwEAAGRycy9lMm9Eb2MueG1sUEsFBgAAAAAGAAYAWQEAAC4FAAAAAA==&#10;">
                <v:fill on="f" focussize="0,0"/>
                <v:stroke on="f"/>
                <v:imagedata o:title=""/>
                <o:lock v:ext="edit" aspectratio="f"/>
                <v:textbox>
                  <w:txbxContent>
                    <w:p w14:paraId="361819A1">
                      <w:pPr>
                        <w:jc w:val="left"/>
                        <w:rPr>
                          <w:rFonts w:hint="eastAsia" w:ascii="楷体_GB2312" w:hAnsi="宋体" w:eastAsia="楷体_GB2312"/>
                          <w:b/>
                          <w:bCs/>
                          <w:sz w:val="18"/>
                          <w:szCs w:val="18"/>
                        </w:rPr>
                      </w:pPr>
                      <w:r>
                        <w:rPr>
                          <w:rFonts w:hint="eastAsia" w:ascii="楷体_GB2312" w:hAnsi="宋体" w:eastAsia="楷体_GB2312" w:cs="楷体_GB2312"/>
                          <w:b/>
                          <w:bCs/>
                          <w:sz w:val="18"/>
                          <w:szCs w:val="18"/>
                        </w:rPr>
                        <w:t>签发期中支付证书的限制</w:t>
                      </w:r>
                    </w:p>
                  </w:txbxContent>
                </v:textbox>
              </v:rect>
            </w:pict>
          </mc:Fallback>
        </mc:AlternateContent>
      </w:r>
      <w:r>
        <w:rPr>
          <w:rFonts w:hint="eastAsia" w:hAnsi="宋体" w:eastAsia="宋体" w:cs="宋体"/>
          <w:color w:val="auto"/>
          <w:sz w:val="24"/>
          <w:szCs w:val="24"/>
          <w:highlight w:val="none"/>
        </w:rPr>
        <w:t>如果造价工程师未在第81.2款规定的期限内签发期中支付证书的，则视为承包人提交的支付申请已被认可，承包人应及时向发包人发出要求支付的通知。发包人应在收到通知后的14天内，按照承包人支付申请列明的金额向承包人支付进度款。</w:t>
      </w:r>
    </w:p>
    <w:p w14:paraId="2B114008">
      <w:pPr>
        <w:pStyle w:val="22"/>
        <w:tabs>
          <w:tab w:val="left" w:pos="1320"/>
        </w:tabs>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81.5  </w:t>
      </w:r>
      <w:r>
        <w:rPr>
          <w:rFonts w:hint="eastAsia" w:hAnsi="宋体" w:eastAsia="宋体" w:cs="宋体"/>
          <w:b/>
          <w:bCs/>
          <w:color w:val="auto"/>
          <w:sz w:val="24"/>
          <w:szCs w:val="24"/>
          <w:highlight w:val="none"/>
          <w:u w:val="dotted"/>
        </w:rPr>
        <w:t xml:space="preserve">                                                                                                        </w:t>
      </w:r>
    </w:p>
    <w:p w14:paraId="71E8DF39">
      <w:pPr>
        <w:pStyle w:val="6"/>
        <w:adjustRightInd w:val="0"/>
        <w:snapToGrid w:val="0"/>
        <w:spacing w:line="300" w:lineRule="auto"/>
        <w:ind w:left="1619" w:leftChars="77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2020736"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1379" name="000236"/>
                <wp:cNvGraphicFramePr/>
                <a:graphic xmlns:a="http://schemas.openxmlformats.org/drawingml/2006/main">
                  <a:graphicData uri="http://schemas.microsoft.com/office/word/2010/wordprocessingShape">
                    <wps:wsp>
                      <wps:cNvSpPr/>
                      <wps:spPr>
                        <a:xfrm>
                          <a:off x="0" y="0"/>
                          <a:ext cx="914400" cy="647065"/>
                        </a:xfrm>
                        <a:prstGeom prst="rect">
                          <a:avLst/>
                        </a:prstGeom>
                        <a:ln>
                          <a:noFill/>
                        </a:ln>
                      </wps:spPr>
                      <wps:txbx>
                        <w:txbxContent>
                          <w:p w14:paraId="2A5876B5">
                            <w:pPr>
                              <w:jc w:val="left"/>
                              <w:rPr>
                                <w:rFonts w:hint="eastAsia" w:ascii="楷体_GB2312" w:hAnsi="宋体" w:eastAsia="楷体_GB2312"/>
                                <w:b/>
                                <w:bCs/>
                                <w:sz w:val="18"/>
                                <w:szCs w:val="18"/>
                              </w:rPr>
                            </w:pPr>
                            <w:r>
                              <w:rPr>
                                <w:rFonts w:hint="eastAsia" w:ascii="楷体_GB2312" w:hAnsi="宋体" w:eastAsia="楷体_GB2312" w:cs="楷体_GB2312"/>
                                <w:b/>
                                <w:bCs/>
                                <w:sz w:val="18"/>
                                <w:szCs w:val="18"/>
                              </w:rPr>
                              <w:t>进度款支付的限制</w:t>
                            </w:r>
                          </w:p>
                        </w:txbxContent>
                      </wps:txbx>
                      <wps:bodyPr wrap="square"/>
                    </wps:wsp>
                  </a:graphicData>
                </a:graphic>
              </wp:anchor>
            </w:drawing>
          </mc:Choice>
          <mc:Fallback>
            <w:pict>
              <v:rect id="000236" o:spid="_x0000_s1026" o:spt="1" style="position:absolute;left:0pt;margin-left:-9pt;margin-top:0.95pt;height:50.95pt;width:72pt;z-index:252020736;mso-width-relative:page;mso-height-relative:page;" filled="f" stroked="f" coordsize="21600,21600" o:gfxdata="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JSO8s/YAAAACQEAAA8AAAAAAAAAAQAgAAAAIgAA&#10;AGRycy9kb3ducmV2LnhtbFBLAQIUABQAAAAIAIdO4kBSZp+vlgEAADgDAAAOAAAAAAAAAAEAIAAA&#10;ACcBAABkcnMvZTJvRG9jLnhtbFBLBQYAAAAABgAGAFkBAAAvBQAAAAA=&#10;">
                <v:fill on="f" focussize="0,0"/>
                <v:stroke on="f"/>
                <v:imagedata o:title=""/>
                <o:lock v:ext="edit" aspectratio="f"/>
                <v:textbox>
                  <w:txbxContent>
                    <w:p w14:paraId="2A5876B5">
                      <w:pPr>
                        <w:jc w:val="left"/>
                        <w:rPr>
                          <w:rFonts w:hint="eastAsia" w:ascii="楷体_GB2312" w:hAnsi="宋体" w:eastAsia="楷体_GB2312"/>
                          <w:b/>
                          <w:bCs/>
                          <w:sz w:val="18"/>
                          <w:szCs w:val="18"/>
                        </w:rPr>
                      </w:pPr>
                      <w:r>
                        <w:rPr>
                          <w:rFonts w:hint="eastAsia" w:ascii="楷体_GB2312" w:hAnsi="宋体" w:eastAsia="楷体_GB2312" w:cs="楷体_GB2312"/>
                          <w:b/>
                          <w:bCs/>
                          <w:sz w:val="18"/>
                          <w:szCs w:val="18"/>
                        </w:rPr>
                        <w:t>进度款支付的限制</w:t>
                      </w:r>
                    </w:p>
                  </w:txbxContent>
                </v:textbox>
              </v:rect>
            </w:pict>
          </mc:Fallback>
        </mc:AlternateContent>
      </w:r>
      <w:r>
        <w:rPr>
          <w:rFonts w:hint="eastAsia" w:ascii="宋体" w:hAnsi="宋体" w:eastAsia="宋体" w:cs="宋体"/>
          <w:color w:val="auto"/>
          <w:sz w:val="24"/>
          <w:highlight w:val="none"/>
        </w:rPr>
        <w:t>发包人未按照第81.3款和第81.4款规定支付进度款的，承包人应及时向发包人发出要求支付的通知；发包人收到通知后仍不按要求支付的，可与承包人协商签订延期支付协议，经承包人同意后可延期支付，承包人有权按照第78.2款规定获得延期支付的利息。</w:t>
      </w:r>
    </w:p>
    <w:p w14:paraId="067FDFA1">
      <w:pPr>
        <w:pStyle w:val="6"/>
        <w:adjustRightInd w:val="0"/>
        <w:snapToGrid w:val="0"/>
        <w:spacing w:line="300" w:lineRule="auto"/>
        <w:ind w:left="1640" w:leftChars="78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发包人未按照按照合同约定支付进度款，合同双方当事人又未达成延期支付协议，导致无法施工的，承包人可停止施工。发包人应承担由此增加的费用和（或）延误的工期，并向承包人支付合理利润。</w:t>
      </w:r>
    </w:p>
    <w:p w14:paraId="6C642953">
      <w:pPr>
        <w:pStyle w:val="22"/>
        <w:tabs>
          <w:tab w:val="left" w:pos="1320"/>
        </w:tabs>
        <w:adjustRightInd w:val="0"/>
        <w:snapToGrid w:val="0"/>
        <w:spacing w:line="300" w:lineRule="auto"/>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81.6</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5CD5B0CA">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21760"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1380" name="000237"/>
                <wp:cNvGraphicFramePr/>
                <a:graphic xmlns:a="http://schemas.openxmlformats.org/drawingml/2006/main">
                  <a:graphicData uri="http://schemas.microsoft.com/office/word/2010/wordprocessingShape">
                    <wps:wsp>
                      <wps:cNvSpPr/>
                      <wps:spPr>
                        <a:xfrm>
                          <a:off x="0" y="0"/>
                          <a:ext cx="1028700" cy="266065"/>
                        </a:xfrm>
                        <a:prstGeom prst="rect">
                          <a:avLst/>
                        </a:prstGeom>
                        <a:ln>
                          <a:noFill/>
                        </a:ln>
                      </wps:spPr>
                      <wps:txbx>
                        <w:txbxContent>
                          <w:p w14:paraId="11018E43">
                            <w:pPr>
                              <w:rPr>
                                <w:rFonts w:hint="eastAsia" w:ascii="楷体_GB2312" w:hAnsi="宋体" w:eastAsia="楷体_GB2312"/>
                                <w:b/>
                                <w:bCs/>
                                <w:sz w:val="18"/>
                                <w:szCs w:val="18"/>
                              </w:rPr>
                            </w:pPr>
                            <w:r>
                              <w:rPr>
                                <w:rFonts w:hint="eastAsia" w:ascii="楷体_GB2312" w:hAnsi="宋体" w:eastAsia="楷体_GB2312" w:cs="楷体_GB2312"/>
                                <w:b/>
                                <w:bCs/>
                                <w:sz w:val="18"/>
                                <w:szCs w:val="18"/>
                              </w:rPr>
                              <w:t>修正支付证书</w:t>
                            </w:r>
                          </w:p>
                        </w:txbxContent>
                      </wps:txbx>
                      <wps:bodyPr wrap="square"/>
                    </wps:wsp>
                  </a:graphicData>
                </a:graphic>
              </wp:anchor>
            </w:drawing>
          </mc:Choice>
          <mc:Fallback>
            <w:pict>
              <v:rect id="000237" o:spid="_x0000_s1026" o:spt="1" style="position:absolute;left:0pt;margin-left:-9pt;margin-top:1.25pt;height:20.95pt;width:81pt;z-index:252021760;mso-width-relative:page;mso-height-relative:page;" filled="f" stroked="f" coordsize="21600,21600" o:gfxdata="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oE2UvtgAAAAIAQAADwAAAAAAAAABACAAAAAiAAAA&#10;ZHJzL2Rvd25yZXYueG1sUEsBAhQAFAAAAAgAh07iQLIyGxuVAQAAOQMAAA4AAAAAAAAAAQAgAAAA&#10;JwEAAGRycy9lMm9Eb2MueG1sUEsFBgAAAAAGAAYAWQEAAC4FAAAAAA==&#10;">
                <v:fill on="f" focussize="0,0"/>
                <v:stroke on="f"/>
                <v:imagedata o:title=""/>
                <o:lock v:ext="edit" aspectratio="f"/>
                <v:textbox>
                  <w:txbxContent>
                    <w:p w14:paraId="11018E43">
                      <w:pPr>
                        <w:rPr>
                          <w:rFonts w:hint="eastAsia" w:ascii="楷体_GB2312" w:hAnsi="宋体" w:eastAsia="楷体_GB2312"/>
                          <w:b/>
                          <w:bCs/>
                          <w:sz w:val="18"/>
                          <w:szCs w:val="18"/>
                        </w:rPr>
                      </w:pPr>
                      <w:r>
                        <w:rPr>
                          <w:rFonts w:hint="eastAsia" w:ascii="楷体_GB2312" w:hAnsi="宋体" w:eastAsia="楷体_GB2312" w:cs="楷体_GB2312"/>
                          <w:b/>
                          <w:bCs/>
                          <w:sz w:val="18"/>
                          <w:szCs w:val="18"/>
                        </w:rPr>
                        <w:t>修正支付证书</w:t>
                      </w:r>
                    </w:p>
                  </w:txbxContent>
                </v:textbox>
              </v:rect>
            </w:pict>
          </mc:Fallback>
        </mc:AlternateContent>
      </w:r>
      <w:r>
        <w:rPr>
          <w:rFonts w:hint="eastAsia" w:hAnsi="宋体" w:eastAsia="宋体" w:cs="宋体"/>
          <w:color w:val="auto"/>
          <w:sz w:val="24"/>
          <w:szCs w:val="24"/>
          <w:highlight w:val="none"/>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14:paraId="0CB1145B">
      <w:pPr>
        <w:pStyle w:val="22"/>
        <w:adjustRightInd w:val="0"/>
        <w:snapToGrid w:val="0"/>
        <w:spacing w:line="300" w:lineRule="auto"/>
        <w:ind w:right="-238"/>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48849C3F">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189" w:name="_Toc46860887"/>
      <w:bookmarkStart w:id="190" w:name="_Toc469384066"/>
      <w:r>
        <w:rPr>
          <w:rFonts w:hint="eastAsia" w:hAnsi="宋体" w:eastAsia="宋体" w:cs="宋体"/>
          <w:b/>
          <w:bCs/>
          <w:color w:val="auto"/>
          <w:sz w:val="24"/>
          <w:szCs w:val="24"/>
          <w:highlight w:val="none"/>
        </w:rPr>
        <w:t>★82  竣工结算</w:t>
      </w:r>
      <w:bookmarkEnd w:id="189"/>
      <w:bookmarkEnd w:id="190"/>
    </w:p>
    <w:p w14:paraId="271D15F9">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82.1      </w:t>
      </w:r>
    </w:p>
    <w:p w14:paraId="4F9359C8">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22784"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1381" name="000238"/>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280874CA">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约定结算程序和期限</w:t>
                            </w:r>
                          </w:p>
                        </w:txbxContent>
                      </wps:txbx>
                      <wps:bodyPr wrap="square"/>
                    </wps:wsp>
                  </a:graphicData>
                </a:graphic>
              </wp:anchor>
            </w:drawing>
          </mc:Choice>
          <mc:Fallback>
            <w:pict>
              <v:rect id="000238" o:spid="_x0000_s1026" o:spt="1" style="position:absolute;left:0pt;margin-left:-9pt;margin-top:3.05pt;height:31.2pt;width:72pt;z-index:252022784;mso-width-relative:page;mso-height-relative:page;" filled="f" stroked="f" coordsize="21600,21600" o:gfxdata="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5dWNmtcAAAAIAQAADwAAAAAAAAABACAAAAAiAAAA&#10;ZHJzL2Rvd25yZXYueG1sUEsBAhQAFAAAAAgAh07iQLudXwmWAQAAOAMAAA4AAAAAAAAAAQAgAAAA&#10;JgEAAGRycy9lMm9Eb2MueG1sUEsFBgAAAAAGAAYAWQEAAC4FAAAAAA==&#10;">
                <v:fill on="f" focussize="0,0"/>
                <v:stroke on="f"/>
                <v:imagedata o:title=""/>
                <o:lock v:ext="edit" aspectratio="f"/>
                <v:textbox>
                  <w:txbxContent>
                    <w:p w14:paraId="280874CA">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约定结算程序和期限</w:t>
                      </w:r>
                    </w:p>
                  </w:txbxContent>
                </v:textbox>
              </v:rect>
            </w:pict>
          </mc:Fallback>
        </mc:AlternateContent>
      </w:r>
      <w:r>
        <w:rPr>
          <w:rFonts w:hint="eastAsia" w:hAnsi="宋体" w:eastAsia="宋体" w:cs="宋体"/>
          <w:color w:val="auto"/>
          <w:sz w:val="24"/>
          <w:szCs w:val="24"/>
          <w:highlight w:val="none"/>
        </w:rPr>
        <w:t>合同双方当事人应按照国家标准《建设工程工程量清单计价规范》（GBGB50500-2013）规定在专用条款中明确办理竣工结算的程序和时限。专用条款没有约定的，竣工结算按照第82.2款至第82.5款规定办理。</w:t>
      </w:r>
    </w:p>
    <w:p w14:paraId="48594758">
      <w:pPr>
        <w:spacing w:line="300" w:lineRule="auto"/>
        <w:ind w:left="1920" w:hanging="1920" w:hangingChars="8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建设工程施工过程结算是指在房屋建筑和市政设施工程发承包</w:t>
      </w:r>
    </w:p>
    <w:p w14:paraId="032DEDF6">
      <w:pPr>
        <w:spacing w:line="300" w:lineRule="auto"/>
        <w:ind w:left="1680" w:leftChars="8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14:paraId="22770AE1">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在办理竣工结算期间，发包人按照第78条规定应向承包人支付的工程款及其他款项不停止。</w:t>
      </w:r>
    </w:p>
    <w:p w14:paraId="2988C98A">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82.2  </w:t>
      </w:r>
      <w:r>
        <w:rPr>
          <w:rFonts w:hint="eastAsia" w:hAnsi="宋体" w:eastAsia="宋体" w:cs="宋体"/>
          <w:b/>
          <w:bCs/>
          <w:color w:val="auto"/>
          <w:sz w:val="24"/>
          <w:szCs w:val="24"/>
          <w:highlight w:val="none"/>
          <w:u w:val="dotted"/>
        </w:rPr>
        <w:t xml:space="preserve">                                                                                                       </w:t>
      </w:r>
    </w:p>
    <w:p w14:paraId="1CE5DE2E">
      <w:pPr>
        <w:pStyle w:val="22"/>
        <w:tabs>
          <w:tab w:val="left" w:pos="2641"/>
        </w:tabs>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23808"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1382" name="000239"/>
                <wp:cNvGraphicFramePr/>
                <a:graphic xmlns:a="http://schemas.openxmlformats.org/drawingml/2006/main">
                  <a:graphicData uri="http://schemas.microsoft.com/office/word/2010/wordprocessingShape">
                    <wps:wsp>
                      <wps:cNvSpPr/>
                      <wps:spPr>
                        <a:xfrm>
                          <a:off x="0" y="0"/>
                          <a:ext cx="914400" cy="459105"/>
                        </a:xfrm>
                        <a:prstGeom prst="rect">
                          <a:avLst/>
                        </a:prstGeom>
                        <a:ln>
                          <a:noFill/>
                        </a:ln>
                      </wps:spPr>
                      <wps:txbx>
                        <w:txbxContent>
                          <w:p w14:paraId="0D8786A6">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递交结算文件及其限制</w:t>
                            </w:r>
                          </w:p>
                        </w:txbxContent>
                      </wps:txbx>
                      <wps:bodyPr wrap="square"/>
                    </wps:wsp>
                  </a:graphicData>
                </a:graphic>
              </wp:anchor>
            </w:drawing>
          </mc:Choice>
          <mc:Fallback>
            <w:pict>
              <v:rect id="000239" o:spid="_x0000_s1026" o:spt="1" style="position:absolute;left:0pt;margin-left:-9pt;margin-top:1.85pt;height:36.15pt;width:72pt;z-index:252023808;mso-width-relative:page;mso-height-relative:page;" filled="f" stroked="f" coordsize="21600,21600" o:gfxdata="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PomRgXYAAAACAEAAA8AAAAAAAAAAQAgAAAAIgAA&#10;AGRycy9kb3ducmV2LnhtbFBLAQIUABQAAAAIAIdO4kCYBplLlgEAADgDAAAOAAAAAAAAAAEAIAAA&#10;ACcBAABkcnMvZTJvRG9jLnhtbFBLBQYAAAAABgAGAFkBAAAvBQAAAAA=&#10;">
                <v:fill on="f" focussize="0,0"/>
                <v:stroke on="f"/>
                <v:imagedata o:title=""/>
                <o:lock v:ext="edit" aspectratio="f"/>
                <v:textbox>
                  <w:txbxContent>
                    <w:p w14:paraId="0D8786A6">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递交结算文件及其限制</w:t>
                      </w:r>
                    </w:p>
                  </w:txbxContent>
                </v:textbox>
              </v:rect>
            </w:pict>
          </mc:Fallback>
        </mc:AlternateContent>
      </w:r>
      <w:r>
        <w:rPr>
          <w:rFonts w:hint="eastAsia" w:hAnsi="宋体" w:eastAsia="宋体" w:cs="宋体"/>
          <w:color w:val="auto"/>
          <w:sz w:val="24"/>
          <w:szCs w:val="24"/>
          <w:highlight w:val="none"/>
        </w:rPr>
        <w:t>承包人应在提交竣工验收申请报告前编制完成竣工结算文件，并在提交竣工验收申请报告的同时向造价工程师递交竣工结算文件。竣工结算文件清单由双方在专用条款中约定。</w:t>
      </w:r>
    </w:p>
    <w:p w14:paraId="0700255E">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14:paraId="56B7DA54">
      <w:pPr>
        <w:pStyle w:val="22"/>
        <w:adjustRightInd w:val="0"/>
        <w:snapToGrid w:val="0"/>
        <w:spacing w:line="300" w:lineRule="auto"/>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rPr>
        <w:t xml:space="preserve">82.3  </w:t>
      </w:r>
      <w:r>
        <w:rPr>
          <w:rFonts w:hint="eastAsia" w:hAnsi="宋体" w:eastAsia="宋体" w:cs="宋体"/>
          <w:b/>
          <w:bCs/>
          <w:color w:val="auto"/>
          <w:sz w:val="24"/>
          <w:szCs w:val="24"/>
          <w:highlight w:val="none"/>
          <w:u w:val="dotted"/>
        </w:rPr>
        <w:t xml:space="preserve">                                                                                                        </w:t>
      </w:r>
    </w:p>
    <w:p w14:paraId="3A74191A">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24832"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1383" name="00023a"/>
                <wp:cNvGraphicFramePr/>
                <a:graphic xmlns:a="http://schemas.openxmlformats.org/drawingml/2006/main">
                  <a:graphicData uri="http://schemas.microsoft.com/office/word/2010/wordprocessingShape">
                    <wps:wsp>
                      <wps:cNvSpPr/>
                      <wps:spPr>
                        <a:xfrm>
                          <a:off x="0" y="0"/>
                          <a:ext cx="914400" cy="418465"/>
                        </a:xfrm>
                        <a:prstGeom prst="rect">
                          <a:avLst/>
                        </a:prstGeom>
                        <a:ln>
                          <a:noFill/>
                        </a:ln>
                      </wps:spPr>
                      <wps:txbx>
                        <w:txbxContent>
                          <w:p w14:paraId="0C31A844">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核实结算文件及其限制</w:t>
                            </w:r>
                          </w:p>
                        </w:txbxContent>
                      </wps:txbx>
                      <wps:bodyPr wrap="square"/>
                    </wps:wsp>
                  </a:graphicData>
                </a:graphic>
              </wp:anchor>
            </w:drawing>
          </mc:Choice>
          <mc:Fallback>
            <w:pict>
              <v:rect id="00023a" o:spid="_x0000_s1026" o:spt="1" style="position:absolute;left:0pt;margin-left:-9pt;margin-top:3.05pt;height:32.95pt;width:72pt;z-index:252024832;mso-width-relative:page;mso-height-relative:page;" filled="f" stroked="f" coordsize="21600,21600" o:gfxdata="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&#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e8hs1wAAAAgBAAAPAAAAAAAAAAEAIAAAACIAAABk&#10;cnMvZG93bnJldi54bWxQSwECFAAUAAAACACHTuJA8vqxU5UBAAA4AwAADgAAAAAAAAABACAAAAAm&#10;AQAAZHJzL2Uyb0RvYy54bWxQSwUGAAAAAAYABgBZAQAALQUAAAAA&#10;">
                <v:fill on="f" focussize="0,0"/>
                <v:stroke on="f"/>
                <v:imagedata o:title=""/>
                <o:lock v:ext="edit" aspectratio="f"/>
                <v:textbox>
                  <w:txbxContent>
                    <w:p w14:paraId="0C31A844">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核实结算文件及其限制</w:t>
                      </w:r>
                    </w:p>
                  </w:txbxContent>
                </v:textbox>
              </v:rect>
            </w:pict>
          </mc:Fallback>
        </mc:AlternateContent>
      </w:r>
      <w:r>
        <w:rPr>
          <w:rFonts w:hint="eastAsia" w:hAnsi="宋体" w:eastAsia="宋体" w:cs="宋体"/>
          <w:color w:val="auto"/>
          <w:sz w:val="24"/>
          <w:szCs w:val="24"/>
          <w:highlight w:val="none"/>
        </w:rPr>
        <w:t>造价工程师应在收到承包人按照第82.2款规定递交的竣工结算文件后的28天内予以核实，并向承包人提出完整的核实意见（包括进一步补充资料和修改结算文件），同时抄报发包人。承包人在收到核实意见后的28天内按照造价工程师提出的合理要求补充资料，修改竣工结算文件，并再次递交给造价工程师。</w:t>
      </w:r>
    </w:p>
    <w:p w14:paraId="0A5A99B1">
      <w:pPr>
        <w:rPr>
          <w:rFonts w:hint="eastAsia"/>
          <w:color w:val="auto"/>
          <w:highlight w:val="none"/>
        </w:rPr>
      </w:pPr>
    </w:p>
    <w:p w14:paraId="0340A183">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造价工程师在收到竣工结算文件后的28天内，不核实竣工结算或未提出核实意见的，视为承包人递交的竣工结算已被认可。</w:t>
      </w:r>
    </w:p>
    <w:p w14:paraId="1D1E8969">
      <w:pPr>
        <w:pStyle w:val="22"/>
        <w:adjustRightInd w:val="0"/>
        <w:snapToGrid w:val="0"/>
        <w:spacing w:line="300" w:lineRule="auto"/>
        <w:ind w:left="1619" w:leftChars="771"/>
        <w:rPr>
          <w:rFonts w:hint="eastAsia" w:hAnsi="宋体" w:eastAsia="宋体" w:cs="宋体"/>
          <w:color w:val="auto"/>
          <w:sz w:val="24"/>
          <w:szCs w:val="24"/>
          <w:highlight w:val="none"/>
          <w:u w:val="single"/>
        </w:rPr>
      </w:pPr>
      <w:r>
        <w:rPr>
          <w:rFonts w:hint="eastAsia" w:hAnsi="宋体" w:eastAsia="宋体" w:cs="宋体"/>
          <w:color w:val="auto"/>
          <w:sz w:val="24"/>
          <w:szCs w:val="24"/>
          <w:highlight w:val="none"/>
        </w:rPr>
        <w:t>承包人在收到造价工程师提出的核实意见后的28天内，不确认也未提出异议的，视为造价工程师提出的核实意见已被认可，竣工结算办理完毕。</w:t>
      </w:r>
    </w:p>
    <w:p w14:paraId="7B3273A2">
      <w:pPr>
        <w:pStyle w:val="22"/>
        <w:adjustRightInd w:val="0"/>
        <w:snapToGrid w:val="0"/>
        <w:spacing w:line="300" w:lineRule="auto"/>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rPr>
        <w:t xml:space="preserve">82.4  </w:t>
      </w:r>
      <w:r>
        <w:rPr>
          <w:rFonts w:hint="eastAsia" w:hAnsi="宋体" w:eastAsia="宋体" w:cs="宋体"/>
          <w:b/>
          <w:bCs/>
          <w:color w:val="auto"/>
          <w:sz w:val="24"/>
          <w:szCs w:val="24"/>
          <w:highlight w:val="none"/>
          <w:u w:val="dotted"/>
        </w:rPr>
        <w:t xml:space="preserve">                                                                                                        </w:t>
      </w:r>
    </w:p>
    <w:p w14:paraId="76DA6ED7">
      <w:pPr>
        <w:pStyle w:val="22"/>
        <w:adjustRightInd w:val="0"/>
        <w:snapToGrid w:val="0"/>
        <w:spacing w:line="300" w:lineRule="auto"/>
        <w:ind w:left="1619" w:leftChars="771"/>
        <w:rPr>
          <w:rFonts w:hint="eastAsia" w:hAnsi="宋体" w:eastAsia="宋体" w:cs="宋体"/>
          <w:color w:val="auto"/>
          <w:sz w:val="24"/>
          <w:szCs w:val="24"/>
          <w:highlight w:val="none"/>
          <w:u w:val="single"/>
        </w:rPr>
      </w:pPr>
      <w:r>
        <w:rPr>
          <w:rFonts w:hint="eastAsia" w:hAnsi="宋体" w:eastAsia="宋体" w:cs="宋体"/>
          <w:color w:val="auto"/>
          <w:sz w:val="24"/>
          <w:szCs w:val="24"/>
          <w:highlight w:val="none"/>
        </w:rPr>
        <mc:AlternateContent>
          <mc:Choice Requires="wps">
            <w:drawing>
              <wp:anchor distT="0" distB="0" distL="0" distR="0" simplePos="0" relativeHeight="252025856"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1384" name="00023b"/>
                <wp:cNvGraphicFramePr/>
                <a:graphic xmlns:a="http://schemas.openxmlformats.org/drawingml/2006/main">
                  <a:graphicData uri="http://schemas.microsoft.com/office/word/2010/wordprocessingShape">
                    <wps:wsp>
                      <wps:cNvSpPr/>
                      <wps:spPr>
                        <a:xfrm>
                          <a:off x="0" y="0"/>
                          <a:ext cx="914400" cy="718185"/>
                        </a:xfrm>
                        <a:prstGeom prst="rect">
                          <a:avLst/>
                        </a:prstGeom>
                        <a:ln>
                          <a:noFill/>
                        </a:ln>
                      </wps:spPr>
                      <wps:txbx>
                        <w:txbxContent>
                          <w:p w14:paraId="0D6FE3AD">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复核再次递交结算文件</w:t>
                            </w:r>
                          </w:p>
                        </w:txbxContent>
                      </wps:txbx>
                      <wps:bodyPr wrap="square"/>
                    </wps:wsp>
                  </a:graphicData>
                </a:graphic>
              </wp:anchor>
            </w:drawing>
          </mc:Choice>
          <mc:Fallback>
            <w:pict>
              <v:rect id="00023b" o:spid="_x0000_s1026" o:spt="1" style="position:absolute;left:0pt;margin-left:-9pt;margin-top:1.25pt;height:56.55pt;width:72pt;z-index:252025856;mso-width-relative:page;mso-height-relative:page;" filled="f" stroked="f" coordsize="21600,21600" o:gfxdata="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vfWu/2QAAAAkBAAAPAAAAAAAAAAEAIAAAACIA&#10;AABkcnMvZG93bnJldi54bWxQSwECFAAUAAAACACHTuJAQCpG55YBAAA4AwAADgAAAAAAAAABACAA&#10;AAAoAQAAZHJzL2Uyb0RvYy54bWxQSwUGAAAAAAYABgBZAQAAMAUAAAAA&#10;">
                <v:fill on="f" focussize="0,0"/>
                <v:stroke on="f"/>
                <v:imagedata o:title=""/>
                <o:lock v:ext="edit" aspectratio="f"/>
                <v:textbox>
                  <w:txbxContent>
                    <w:p w14:paraId="0D6FE3AD">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复核再次递交结算文件</w:t>
                      </w:r>
                    </w:p>
                  </w:txbxContent>
                </v:textbox>
              </v:rect>
            </w:pict>
          </mc:Fallback>
        </mc:AlternateContent>
      </w:r>
      <w:r>
        <w:rPr>
          <w:rFonts w:hint="eastAsia" w:hAnsi="宋体" w:eastAsia="宋体" w:cs="宋体"/>
          <w:color w:val="auto"/>
          <w:sz w:val="24"/>
          <w:szCs w:val="24"/>
          <w:highlight w:val="none"/>
        </w:rPr>
        <w:t>造价工程师应在收到承包人按照第82.3款规定再次递交的竣工结算文件后的28天内予以复核，并将复核结果通知承包人、抄报发包人。</w:t>
      </w:r>
    </w:p>
    <w:p w14:paraId="1575F92C">
      <w:pPr>
        <w:pStyle w:val="22"/>
        <w:adjustRightInd w:val="0"/>
        <w:snapToGrid w:val="0"/>
        <w:spacing w:line="300" w:lineRule="auto"/>
        <w:ind w:left="1615"/>
        <w:rPr>
          <w:rFonts w:hint="eastAsia" w:hAnsi="宋体" w:eastAsia="宋体" w:cs="宋体"/>
          <w:color w:val="auto"/>
          <w:sz w:val="24"/>
          <w:szCs w:val="24"/>
          <w:highlight w:val="none"/>
        </w:rPr>
      </w:pPr>
      <w:r>
        <w:rPr>
          <w:rFonts w:hint="eastAsia" w:hAnsi="宋体" w:eastAsia="宋体" w:cs="宋体"/>
          <w:color w:val="auto"/>
          <w:sz w:val="24"/>
          <w:szCs w:val="24"/>
          <w:highlight w:val="none"/>
        </w:rPr>
        <w:t>（1）经复核无误的，除属于第86条规定的争议外，发包人应在7天内在竣工结算文件上签字确认，竣工结算办理完毕。</w:t>
      </w:r>
    </w:p>
    <w:p w14:paraId="40EA5F58">
      <w:pPr>
        <w:pStyle w:val="22"/>
        <w:adjustRightInd w:val="0"/>
        <w:snapToGrid w:val="0"/>
        <w:spacing w:line="300" w:lineRule="auto"/>
        <w:ind w:left="1615"/>
        <w:rPr>
          <w:rFonts w:hint="eastAsia" w:hAnsi="宋体" w:eastAsia="宋体" w:cs="宋体"/>
          <w:color w:val="auto"/>
          <w:sz w:val="24"/>
          <w:szCs w:val="24"/>
          <w:highlight w:val="none"/>
          <w:u w:val="single"/>
        </w:rPr>
      </w:pPr>
      <w:r>
        <w:rPr>
          <w:rFonts w:hint="eastAsia" w:hAnsi="宋体" w:eastAsia="宋体" w:cs="宋体"/>
          <w:color w:val="auto"/>
          <w:sz w:val="24"/>
          <w:szCs w:val="24"/>
          <w:highlight w:val="none"/>
        </w:rPr>
        <w:t>（2）经复核认为有误的：无误部分按照本款第(1)点规定办理不完全竣工结算；有误部分由造价工程师与合同双方当事人协商解决，或按照第86条规定处理。</w:t>
      </w:r>
    </w:p>
    <w:p w14:paraId="27FD0AAE">
      <w:pPr>
        <w:pStyle w:val="22"/>
        <w:adjustRightInd w:val="0"/>
        <w:snapToGrid w:val="0"/>
        <w:spacing w:line="300" w:lineRule="auto"/>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82.5</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5521AB91">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26880"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1385" name="00023c"/>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165AF934">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交付工程</w:t>
                            </w:r>
                          </w:p>
                        </w:txbxContent>
                      </wps:txbx>
                      <wps:bodyPr wrap="square"/>
                    </wps:wsp>
                  </a:graphicData>
                </a:graphic>
              </wp:anchor>
            </w:drawing>
          </mc:Choice>
          <mc:Fallback>
            <w:pict>
              <v:rect id="00023c" o:spid="_x0000_s1026" o:spt="1" style="position:absolute;left:0pt;margin-left:-9pt;margin-top:0.45pt;height:31.2pt;width:72pt;z-index:252026880;mso-width-relative:page;mso-height-relative:page;" filled="f" stroked="f" coordsize="21600,21600" o:gfxdata="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uPEBQdcAAAAHAQAADwAAAAAAAAABACAAAAAiAAAA&#10;ZHJzL2Rvd25yZXYueG1sUEsBAhQAFAAAAAgAh07iQGiPy9uWAQAAOAMAAA4AAAAAAAAAAQAgAAAA&#10;JgEAAGRycy9lMm9Eb2MueG1sUEsFBgAAAAAGAAYAWQEAAC4FAAAAAA==&#10;">
                <v:fill on="f" focussize="0,0"/>
                <v:stroke on="f"/>
                <v:imagedata o:title=""/>
                <o:lock v:ext="edit" aspectratio="f"/>
                <v:textbox>
                  <w:txbxContent>
                    <w:p w14:paraId="165AF934">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交付工程</w:t>
                      </w:r>
                    </w:p>
                  </w:txbxContent>
                </v:textbox>
              </v:rect>
            </w:pict>
          </mc:Fallback>
        </mc:AlternateContent>
      </w:r>
      <w:r>
        <w:rPr>
          <w:rFonts w:hint="eastAsia" w:hAnsi="宋体" w:eastAsia="宋体" w:cs="宋体"/>
          <w:color w:val="auto"/>
          <w:sz w:val="24"/>
          <w:szCs w:val="24"/>
          <w:highlight w:val="none"/>
        </w:rPr>
        <w:t>发包人应在已核实无误的竣工结算文件上签名确认，拒不签认的，承包人可不交付竣工工程。</w:t>
      </w:r>
    </w:p>
    <w:p w14:paraId="583E2799">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承包人未及时递交竣工结算文件的，发包人要求交付竣工工程，承包人应当交付；发包人不要求交付竣工工程，承包人承担照管永久工程责任。</w:t>
      </w:r>
    </w:p>
    <w:p w14:paraId="195C8642">
      <w:pPr>
        <w:pStyle w:val="22"/>
        <w:adjustRightInd w:val="0"/>
        <w:snapToGrid w:val="0"/>
        <w:spacing w:line="300" w:lineRule="auto"/>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08140503">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191" w:name="_Toc46860888"/>
      <w:bookmarkStart w:id="192" w:name="_Toc469384067"/>
      <w:r>
        <w:rPr>
          <w:rFonts w:hint="eastAsia" w:hAnsi="宋体" w:eastAsia="宋体" w:cs="宋体"/>
          <w:b/>
          <w:bCs/>
          <w:color w:val="auto"/>
          <w:sz w:val="24"/>
          <w:szCs w:val="24"/>
          <w:highlight w:val="none"/>
        </w:rPr>
        <w:t>★83  结算款</w:t>
      </w:r>
      <w:bookmarkEnd w:id="191"/>
      <w:bookmarkEnd w:id="192"/>
    </w:p>
    <w:p w14:paraId="3E99AC6F">
      <w:pPr>
        <w:pStyle w:val="22"/>
        <w:adjustRightInd w:val="0"/>
        <w:snapToGrid w:val="0"/>
        <w:spacing w:line="300" w:lineRule="auto"/>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 xml:space="preserve">83.1 </w:t>
      </w:r>
      <w:r>
        <w:rPr>
          <w:rFonts w:hint="eastAsia" w:hAnsi="宋体" w:eastAsia="宋体" w:cs="宋体"/>
          <w:color w:val="auto"/>
          <w:sz w:val="24"/>
          <w:szCs w:val="24"/>
          <w:highlight w:val="none"/>
        </w:rPr>
        <w:t xml:space="preserve"> </w:t>
      </w:r>
    </w:p>
    <w:p w14:paraId="670DE927">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27904"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1386" name="00023d"/>
                <wp:cNvGraphicFramePr/>
                <a:graphic xmlns:a="http://schemas.openxmlformats.org/drawingml/2006/main">
                  <a:graphicData uri="http://schemas.microsoft.com/office/word/2010/wordprocessingShape">
                    <wps:wsp>
                      <wps:cNvSpPr/>
                      <wps:spPr>
                        <a:xfrm>
                          <a:off x="0" y="0"/>
                          <a:ext cx="914400" cy="459105"/>
                        </a:xfrm>
                        <a:prstGeom prst="rect">
                          <a:avLst/>
                        </a:prstGeom>
                        <a:ln>
                          <a:noFill/>
                        </a:ln>
                      </wps:spPr>
                      <wps:txbx>
                        <w:txbxContent>
                          <w:p w14:paraId="57A92394">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提交竣工支付申请</w:t>
                            </w:r>
                          </w:p>
                        </w:txbxContent>
                      </wps:txbx>
                      <wps:bodyPr wrap="square"/>
                    </wps:wsp>
                  </a:graphicData>
                </a:graphic>
              </wp:anchor>
            </w:drawing>
          </mc:Choice>
          <mc:Fallback>
            <w:pict>
              <v:rect id="00023d" o:spid="_x0000_s1026" o:spt="1" style="position:absolute;left:0pt;margin-left:-9pt;margin-top:2.85pt;height:36.15pt;width:72pt;z-index:252027904;mso-width-relative:page;mso-height-relative:page;" filled="f" stroked="f" coordsize="21600,21600" o:gfxdata="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F0TfKjYAAAACAEAAA8AAAAAAAAAAQAgAAAAIgAA&#10;AGRycy9kb3ducmV2LnhtbFBLAQIUABQAAAAIAIdO4kAETW1clgEAADgDAAAOAAAAAAAAAAEAIAAA&#10;ACcBAABkcnMvZTJvRG9jLnhtbFBLBQYAAAAABgAGAFkBAAAvBQAAAAA=&#10;">
                <v:fill on="f" focussize="0,0"/>
                <v:stroke on="f"/>
                <v:imagedata o:title=""/>
                <o:lock v:ext="edit" aspectratio="f"/>
                <v:textbox>
                  <w:txbxContent>
                    <w:p w14:paraId="57A92394">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提交竣工支付申请</w:t>
                      </w:r>
                    </w:p>
                  </w:txbxContent>
                </v:textbox>
              </v:rect>
            </w:pict>
          </mc:Fallback>
        </mc:AlternateContent>
      </w:r>
      <w:r>
        <w:rPr>
          <w:rFonts w:hint="eastAsia" w:hAnsi="宋体" w:eastAsia="宋体" w:cs="宋体"/>
          <w:color w:val="auto"/>
          <w:sz w:val="24"/>
          <w:szCs w:val="24"/>
          <w:highlight w:val="none"/>
        </w:rPr>
        <w:t>合同双方当事人应在专用条款中明确结算款的支付时限。专用条款没有约定的，结算款支付按照第83.2款至第83.5款规定办理。涉及政府投资资金的工程,支付期、支付方法等需调整的，应在专用条款中约定。</w:t>
      </w:r>
    </w:p>
    <w:p w14:paraId="72B837A6">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承包人应按照第82.2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14:paraId="288022CB">
      <w:pPr>
        <w:pStyle w:val="22"/>
        <w:tabs>
          <w:tab w:val="left" w:pos="2641"/>
        </w:tabs>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（1）根据合同完成全部或所有工程的总造价；</w:t>
      </w:r>
    </w:p>
    <w:p w14:paraId="5DCB5916">
      <w:pPr>
        <w:pStyle w:val="22"/>
        <w:tabs>
          <w:tab w:val="left" w:pos="2641"/>
        </w:tabs>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（2）根据合同约定发包人应付的所有款项。</w:t>
      </w:r>
    </w:p>
    <w:p w14:paraId="19991310">
      <w:pPr>
        <w:pStyle w:val="22"/>
        <w:tabs>
          <w:tab w:val="left" w:pos="2641"/>
        </w:tabs>
        <w:adjustRightInd w:val="0"/>
        <w:snapToGrid w:val="0"/>
        <w:spacing w:line="300" w:lineRule="auto"/>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rPr>
        <w:t xml:space="preserve">83.2  </w:t>
      </w:r>
      <w:r>
        <w:rPr>
          <w:rFonts w:hint="eastAsia" w:hAnsi="宋体" w:eastAsia="宋体" w:cs="宋体"/>
          <w:b/>
          <w:bCs/>
          <w:color w:val="auto"/>
          <w:sz w:val="24"/>
          <w:szCs w:val="24"/>
          <w:highlight w:val="none"/>
          <w:u w:val="dotted"/>
        </w:rPr>
        <w:t xml:space="preserve">                                                                                                        </w:t>
      </w:r>
    </w:p>
    <w:p w14:paraId="143BAFDC">
      <w:pPr>
        <w:pStyle w:val="22"/>
        <w:adjustRightInd w:val="0"/>
        <w:snapToGrid w:val="0"/>
        <w:spacing w:line="300" w:lineRule="auto"/>
        <w:ind w:left="1619" w:leftChars="771"/>
        <w:rPr>
          <w:rFonts w:hint="eastAsia" w:hAnsi="宋体" w:eastAsia="宋体" w:cs="宋体"/>
          <w:color w:val="auto"/>
          <w:sz w:val="24"/>
          <w:szCs w:val="24"/>
          <w:highlight w:val="none"/>
          <w:u w:val="single"/>
        </w:rPr>
      </w:pPr>
      <w:r>
        <w:rPr>
          <w:rFonts w:hint="eastAsia" w:hAnsi="宋体" w:eastAsia="宋体" w:cs="宋体"/>
          <w:color w:val="auto"/>
          <w:sz w:val="24"/>
          <w:szCs w:val="24"/>
          <w:highlight w:val="none"/>
        </w:rPr>
        <mc:AlternateContent>
          <mc:Choice Requires="wps">
            <w:drawing>
              <wp:anchor distT="0" distB="0" distL="0" distR="0" simplePos="0" relativeHeight="252028928"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1387" name="00023e"/>
                <wp:cNvGraphicFramePr/>
                <a:graphic xmlns:a="http://schemas.openxmlformats.org/drawingml/2006/main">
                  <a:graphicData uri="http://schemas.microsoft.com/office/word/2010/wordprocessingShape">
                    <wps:wsp>
                      <wps:cNvSpPr/>
                      <wps:spPr>
                        <a:xfrm>
                          <a:off x="0" y="0"/>
                          <a:ext cx="914400" cy="718185"/>
                        </a:xfrm>
                        <a:prstGeom prst="rect">
                          <a:avLst/>
                        </a:prstGeom>
                        <a:ln>
                          <a:noFill/>
                        </a:ln>
                      </wps:spPr>
                      <wps:txbx>
                        <w:txbxContent>
                          <w:p w14:paraId="197C34BB">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签发竣工结算支付证书</w:t>
                            </w:r>
                          </w:p>
                        </w:txbxContent>
                      </wps:txbx>
                      <wps:bodyPr wrap="square"/>
                    </wps:wsp>
                  </a:graphicData>
                </a:graphic>
              </wp:anchor>
            </w:drawing>
          </mc:Choice>
          <mc:Fallback>
            <w:pict>
              <v:rect id="00023e" o:spid="_x0000_s1026" o:spt="1" style="position:absolute;left:0pt;margin-left:-9pt;margin-top:1.25pt;height:56.55pt;width:72pt;z-index:252028928;mso-width-relative:page;mso-height-relative:page;" filled="f" stroked="f" coordsize="21600,21600" o:gfxdata="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vfWu/2QAAAAkBAAAPAAAAAAAAAAEAIAAAACIA&#10;AABkcnMvZG93bnJldi54bWxQSwECFAAUAAAACACHTuJAIF8RaJYBAAA4AwAADgAAAAAAAAABACAA&#10;AAAoAQAAZHJzL2Uyb0RvYy54bWxQSwUGAAAAAAYABgBZAQAAMAUAAAAA&#10;">
                <v:fill on="f" focussize="0,0"/>
                <v:stroke on="f"/>
                <v:imagedata o:title=""/>
                <o:lock v:ext="edit" aspectratio="f"/>
                <v:textbox>
                  <w:txbxContent>
                    <w:p w14:paraId="197C34BB">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签发竣工结算支付证书</w:t>
                      </w:r>
                    </w:p>
                  </w:txbxContent>
                </v:textbox>
              </v:rect>
            </w:pict>
          </mc:Fallback>
        </mc:AlternateContent>
      </w:r>
      <w:r>
        <w:rPr>
          <w:rFonts w:hint="eastAsia" w:hAnsi="宋体" w:eastAsia="宋体" w:cs="宋体"/>
          <w:color w:val="auto"/>
          <w:sz w:val="24"/>
          <w:szCs w:val="24"/>
          <w:highlight w:val="none"/>
        </w:rPr>
        <w:t>造价工程师在收到上述资料后，应按照第82.3款、第82.4款规定核实竣工结算文件，并在发包人签字确认竣工结算文件后的7天内，向发包人签发竣工结算支付证书，同时抄送承包人。</w:t>
      </w:r>
    </w:p>
    <w:p w14:paraId="646CB245">
      <w:pPr>
        <w:pStyle w:val="22"/>
        <w:adjustRightInd w:val="0"/>
        <w:snapToGrid w:val="0"/>
        <w:spacing w:line="300" w:lineRule="auto"/>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83.3</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536644D4">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29952"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1388" name="00023f"/>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50EAFEF4">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竣工结算款支付</w:t>
                            </w:r>
                          </w:p>
                        </w:txbxContent>
                      </wps:txbx>
                      <wps:bodyPr wrap="square"/>
                    </wps:wsp>
                  </a:graphicData>
                </a:graphic>
              </wp:anchor>
            </w:drawing>
          </mc:Choice>
          <mc:Fallback>
            <w:pict>
              <v:rect id="00023f" o:spid="_x0000_s1026" o:spt="1" style="position:absolute;left:0pt;margin-left:-9pt;margin-top:0.45pt;height:31.2pt;width:72pt;z-index:252029952;mso-width-relative:page;mso-height-relative:page;" filled="f" stroked="f" coordsize="21600,21600" o:gfxdata="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48QFB1wAAAAcBAAAPAAAAAAAAAAEAIAAAACIAAABk&#10;cnMvZG93bnJldi54bWxQSwECFAAUAAAACACHTuJAJmTbQpUBAAA4AwAADgAAAAAAAAABACAAAAAm&#10;AQAAZHJzL2Uyb0RvYy54bWxQSwUGAAAAAAYABgBZAQAALQUAAAAA&#10;">
                <v:fill on="f" focussize="0,0"/>
                <v:stroke on="f"/>
                <v:imagedata o:title=""/>
                <o:lock v:ext="edit" aspectratio="f"/>
                <v:textbox>
                  <w:txbxContent>
                    <w:p w14:paraId="50EAFEF4">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竣工结算款支付</w:t>
                      </w:r>
                    </w:p>
                  </w:txbxContent>
                </v:textbox>
              </v:rect>
            </w:pict>
          </mc:Fallback>
        </mc:AlternateContent>
      </w:r>
      <w:r>
        <w:rPr>
          <w:rFonts w:hint="eastAsia" w:hAnsi="宋体" w:eastAsia="宋体" w:cs="宋体"/>
          <w:color w:val="auto"/>
          <w:sz w:val="24"/>
          <w:szCs w:val="24"/>
          <w:highlight w:val="none"/>
        </w:rPr>
        <w:t>发包人应在造价工程师签发竣工结算支付证书后的28天内，按照竣工结算支付证书列明的金额向承包人支付结算款，并通知造价工程师。</w:t>
      </w:r>
    </w:p>
    <w:p w14:paraId="325948EB">
      <w:pPr>
        <w:pStyle w:val="22"/>
        <w:tabs>
          <w:tab w:val="left" w:pos="1320"/>
        </w:tabs>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83.4  </w:t>
      </w:r>
      <w:r>
        <w:rPr>
          <w:rFonts w:hint="eastAsia" w:hAnsi="宋体" w:eastAsia="宋体" w:cs="宋体"/>
          <w:b/>
          <w:bCs/>
          <w:color w:val="auto"/>
          <w:sz w:val="24"/>
          <w:szCs w:val="24"/>
          <w:highlight w:val="none"/>
          <w:u w:val="dotted"/>
        </w:rPr>
        <w:t xml:space="preserve">                                                                                                        </w:t>
      </w:r>
    </w:p>
    <w:p w14:paraId="126FC29F">
      <w:pPr>
        <w:pStyle w:val="22"/>
        <w:adjustRightInd w:val="0"/>
        <w:snapToGrid w:val="0"/>
        <w:spacing w:line="300" w:lineRule="auto"/>
        <w:ind w:left="1678" w:leftChars="799" w:firstLine="2"/>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30976"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1389" name="000240"/>
                <wp:cNvGraphicFramePr/>
                <a:graphic xmlns:a="http://schemas.openxmlformats.org/drawingml/2006/main">
                  <a:graphicData uri="http://schemas.microsoft.com/office/word/2010/wordprocessingShape">
                    <wps:wsp>
                      <wps:cNvSpPr/>
                      <wps:spPr>
                        <a:xfrm>
                          <a:off x="0" y="0"/>
                          <a:ext cx="1047750" cy="829310"/>
                        </a:xfrm>
                        <a:prstGeom prst="rect">
                          <a:avLst/>
                        </a:prstGeom>
                        <a:ln>
                          <a:noFill/>
                        </a:ln>
                      </wps:spPr>
                      <wps:txbx>
                        <w:txbxContent>
                          <w:p w14:paraId="39794C33">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签发竣工结算</w:t>
                            </w:r>
                          </w:p>
                          <w:p w14:paraId="7F03023E">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支付证书的限</w:t>
                            </w:r>
                          </w:p>
                          <w:p w14:paraId="2D0A76E9">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制</w:t>
                            </w:r>
                          </w:p>
                        </w:txbxContent>
                      </wps:txbx>
                      <wps:bodyPr wrap="square"/>
                    </wps:wsp>
                  </a:graphicData>
                </a:graphic>
              </wp:anchor>
            </w:drawing>
          </mc:Choice>
          <mc:Fallback>
            <w:pict>
              <v:rect id="000240" o:spid="_x0000_s1026" o:spt="1" style="position:absolute;left:0pt;margin-left:-5.25pt;margin-top:0.95pt;height:65.3pt;width:82.5pt;z-index:252030976;mso-width-relative:page;mso-height-relative:page;" filled="f" stroked="f" coordsize="21600,21600" o:gfxdata="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aPYEM2AAAAAkBAAAPAAAAAAAAAAEAIAAAACIA&#10;AABkcnMvZG93bnJldi54bWxQSwECFAAUAAAACACHTuJASnzBuJcBAAA5AwAADgAAAAAAAAABACAA&#10;AAAnAQAAZHJzL2Uyb0RvYy54bWxQSwUGAAAAAAYABgBZAQAAMAUAAAAA&#10;">
                <v:fill on="f" focussize="0,0"/>
                <v:stroke on="f"/>
                <v:imagedata o:title=""/>
                <o:lock v:ext="edit" aspectratio="f"/>
                <v:textbox>
                  <w:txbxContent>
                    <w:p w14:paraId="39794C33">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签发竣工结算</w:t>
                      </w:r>
                    </w:p>
                    <w:p w14:paraId="7F03023E">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支付证书的限</w:t>
                      </w:r>
                    </w:p>
                    <w:p w14:paraId="2D0A76E9">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制</w:t>
                      </w:r>
                    </w:p>
                  </w:txbxContent>
                </v:textbox>
              </v:rect>
            </w:pict>
          </mc:Fallback>
        </mc:AlternateContent>
      </w:r>
      <w:r>
        <w:rPr>
          <w:rFonts w:hint="eastAsia" w:hAnsi="宋体" w:eastAsia="宋体" w:cs="宋体"/>
          <w:color w:val="auto"/>
          <w:sz w:val="24"/>
          <w:szCs w:val="24"/>
          <w:highlight w:val="none"/>
        </w:rPr>
        <w:t>如果造价工程师未在第83.2款规定的期限内签发竣工结算支付证书的，则视为承包人提交的竣工支付申请已被认可，承包人应及时向发包人发出要求支付竣工结算款的通知。发包人应在收到通知后的28天内，按照承包人支付申请列明的金额向承包人支付竣工结算款。</w:t>
      </w:r>
    </w:p>
    <w:p w14:paraId="3F6E17E6">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83.5  </w:t>
      </w:r>
      <w:r>
        <w:rPr>
          <w:rFonts w:hint="eastAsia" w:hAnsi="宋体" w:eastAsia="宋体" w:cs="宋体"/>
          <w:b/>
          <w:bCs/>
          <w:color w:val="auto"/>
          <w:sz w:val="24"/>
          <w:szCs w:val="24"/>
          <w:highlight w:val="none"/>
          <w:u w:val="dotted"/>
        </w:rPr>
        <w:t xml:space="preserve">                                                                                                        </w:t>
      </w:r>
    </w:p>
    <w:p w14:paraId="3E75BB56">
      <w:pPr>
        <w:pStyle w:val="22"/>
        <w:adjustRightInd w:val="0"/>
        <w:snapToGrid w:val="0"/>
        <w:spacing w:line="300" w:lineRule="auto"/>
        <w:ind w:left="1680" w:leftChars="800"/>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32000" behindDoc="0" locked="0" layoutInCell="1" allowOverlap="1">
                <wp:simplePos x="0" y="0"/>
                <wp:positionH relativeFrom="column">
                  <wp:posOffset>-114300</wp:posOffset>
                </wp:positionH>
                <wp:positionV relativeFrom="paragraph">
                  <wp:posOffset>57785</wp:posOffset>
                </wp:positionV>
                <wp:extent cx="914400" cy="407670"/>
                <wp:effectExtent l="0" t="0" r="0" b="0"/>
                <wp:wrapNone/>
                <wp:docPr id="1390" name="000241"/>
                <wp:cNvGraphicFramePr/>
                <a:graphic xmlns:a="http://schemas.openxmlformats.org/drawingml/2006/main">
                  <a:graphicData uri="http://schemas.microsoft.com/office/word/2010/wordprocessingShape">
                    <wps:wsp>
                      <wps:cNvSpPr/>
                      <wps:spPr>
                        <a:xfrm>
                          <a:off x="0" y="0"/>
                          <a:ext cx="914400" cy="407670"/>
                        </a:xfrm>
                        <a:prstGeom prst="rect">
                          <a:avLst/>
                        </a:prstGeom>
                        <a:ln>
                          <a:noFill/>
                        </a:ln>
                      </wps:spPr>
                      <wps:txbx>
                        <w:txbxContent>
                          <w:p w14:paraId="53B30514">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竣工结算款支付的限制</w:t>
                            </w:r>
                          </w:p>
                        </w:txbxContent>
                      </wps:txbx>
                      <wps:bodyPr wrap="square"/>
                    </wps:wsp>
                  </a:graphicData>
                </a:graphic>
              </wp:anchor>
            </w:drawing>
          </mc:Choice>
          <mc:Fallback>
            <w:pict>
              <v:rect id="000241" o:spid="_x0000_s1026" o:spt="1" style="position:absolute;left:0pt;margin-left:-9pt;margin-top:4.55pt;height:32.1pt;width:72pt;z-index:252032000;mso-width-relative:page;mso-height-relative:page;" filled="f" stroked="f" coordsize="21600,21600" o:gfxdata="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LECbULYAAAACAEAAA8AAAAAAAAAAQAgAAAAIgAA&#10;AGRycy9kb3ducmV2LnhtbFBLAQIUABQAAAAIAIdO4kDZSps5lgEAADgDAAAOAAAAAAAAAAEAIAAA&#10;ACcBAABkcnMvZTJvRG9jLnhtbFBLBQYAAAAABgAGAFkBAAAvBQAAAAA=&#10;">
                <v:fill on="f" focussize="0,0"/>
                <v:stroke on="f"/>
                <v:imagedata o:title=""/>
                <o:lock v:ext="edit" aspectratio="f"/>
                <v:textbox>
                  <w:txbxContent>
                    <w:p w14:paraId="53B30514">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竣工结算款支付的限制</w:t>
                      </w:r>
                    </w:p>
                  </w:txbxContent>
                </v:textbox>
              </v:rect>
            </w:pict>
          </mc:Fallback>
        </mc:AlternateContent>
      </w:r>
      <w:r>
        <w:rPr>
          <w:rFonts w:hint="eastAsia" w:hAnsi="宋体" w:eastAsia="宋体" w:cs="宋体"/>
          <w:color w:val="auto"/>
          <w:sz w:val="24"/>
          <w:szCs w:val="24"/>
          <w:highlight w:val="none"/>
        </w:rPr>
        <w:t>发包人未按照第83.3款和第83.4款规定支付竣工结算款的，承包人可催告发包人支付竣工结算款，如双方达成延期支付协议，承包人有权按照第78.2款规定获得延期支付的利息。</w:t>
      </w:r>
    </w:p>
    <w:p w14:paraId="520C45D1">
      <w:pPr>
        <w:pStyle w:val="22"/>
        <w:adjustRightInd w:val="0"/>
        <w:snapToGrid w:val="0"/>
        <w:spacing w:line="300" w:lineRule="auto"/>
        <w:ind w:left="1680" w:leftChars="800"/>
        <w:rPr>
          <w:rFonts w:hint="eastAsia" w:hAnsi="宋体" w:eastAsia="宋体" w:cs="宋体"/>
          <w:color w:val="auto"/>
          <w:sz w:val="24"/>
          <w:szCs w:val="24"/>
          <w:highlight w:val="none"/>
        </w:rPr>
      </w:pPr>
      <w:r>
        <w:rPr>
          <w:rFonts w:hint="eastAsia" w:hAnsi="宋体" w:eastAsia="宋体" w:cs="宋体"/>
          <w:color w:val="auto"/>
          <w:sz w:val="24"/>
          <w:szCs w:val="24"/>
          <w:highlight w:val="none"/>
        </w:rPr>
        <w:t>发包人在收到竣工结算支付证书后的56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14:paraId="6C953063">
      <w:pPr>
        <w:pStyle w:val="22"/>
        <w:adjustRightInd w:val="0"/>
        <w:snapToGrid w:val="0"/>
        <w:spacing w:line="300" w:lineRule="auto"/>
        <w:rPr>
          <w:rFonts w:hint="eastAsia" w:hAnsi="宋体" w:eastAsia="宋体" w:cs="宋体"/>
          <w:color w:val="auto"/>
          <w:highlight w:val="none"/>
        </w:rPr>
      </w:pPr>
      <w:r>
        <w:rPr>
          <w:rFonts w:hint="eastAsia" w:hAnsi="宋体" w:eastAsia="宋体" w:cs="宋体"/>
          <w:b/>
          <w:bCs/>
          <w:color w:val="auto"/>
          <w:sz w:val="24"/>
          <w:szCs w:val="24"/>
          <w:highlight w:val="none"/>
          <w:u w:val="single"/>
        </w:rPr>
        <w:t xml:space="preserve">                                                                                                              </w:t>
      </w:r>
    </w:p>
    <w:p w14:paraId="568D04D8">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193" w:name="_Toc46860889"/>
      <w:bookmarkStart w:id="194" w:name="_Toc469384068"/>
      <w:r>
        <w:rPr>
          <w:rFonts w:hint="eastAsia" w:hAnsi="宋体" w:eastAsia="宋体" w:cs="宋体"/>
          <w:b/>
          <w:bCs/>
          <w:color w:val="auto"/>
          <w:sz w:val="24"/>
          <w:szCs w:val="24"/>
          <w:highlight w:val="none"/>
        </w:rPr>
        <w:t>★84  质量保证金</w:t>
      </w:r>
      <w:bookmarkEnd w:id="193"/>
      <w:bookmarkEnd w:id="194"/>
    </w:p>
    <w:p w14:paraId="69442AB0">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84.1     </w:t>
      </w:r>
    </w:p>
    <w:p w14:paraId="23AFACDC">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33024"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1391" name="000242"/>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67E9AB39">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质量保证金的用途和限制</w:t>
                            </w:r>
                          </w:p>
                        </w:txbxContent>
                      </wps:txbx>
                      <wps:bodyPr wrap="square"/>
                    </wps:wsp>
                  </a:graphicData>
                </a:graphic>
              </wp:anchor>
            </w:drawing>
          </mc:Choice>
          <mc:Fallback>
            <w:pict>
              <v:rect id="000242" o:spid="_x0000_s1026" o:spt="1" style="position:absolute;left:0pt;margin-left:-9pt;margin-top:0.65pt;height:31.2pt;width:72pt;z-index:252033024;mso-width-relative:page;mso-height-relative:page;" filled="f" stroked="f" coordsize="21600,21600" o:gfxdata="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2I7pGdcAAAAIAQAADwAAAAAAAAABACAAAAAiAAAA&#10;ZHJzL2Rvd25yZXYueG1sUEsBAhQAFAAAAAgAh07iQBgTKimWAQAAOAMAAA4AAAAAAAAAAQAgAAAA&#10;JgEAAGRycy9lMm9Eb2MueG1sUEsFBgAAAAAGAAYAWQEAAC4FAAAAAA==&#10;">
                <v:fill on="f" focussize="0,0"/>
                <v:stroke on="f"/>
                <v:imagedata o:title=""/>
                <o:lock v:ext="edit" aspectratio="f"/>
                <v:textbox>
                  <w:txbxContent>
                    <w:p w14:paraId="67E9AB39">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质量保证金的用途和限制</w:t>
                      </w:r>
                    </w:p>
                  </w:txbxContent>
                </v:textbox>
              </v:rect>
            </w:pict>
          </mc:Fallback>
        </mc:AlternateContent>
      </w:r>
      <w:r>
        <w:rPr>
          <w:rFonts w:hint="eastAsia" w:hAnsi="宋体" w:eastAsia="宋体" w:cs="宋体"/>
          <w:color w:val="auto"/>
          <w:sz w:val="24"/>
          <w:szCs w:val="24"/>
          <w:highlight w:val="none"/>
        </w:rPr>
        <w:t>质量保证金用于承包人对合同工程质量的担保。承包人未按照法律有关规定和合同约定履行质量保修义务的，发包人有权从质量保证金中扣留用于质量保修的各项支出。</w:t>
      </w:r>
    </w:p>
    <w:p w14:paraId="698316C0">
      <w:pPr>
        <w:pStyle w:val="22"/>
        <w:tabs>
          <w:tab w:val="left" w:pos="900"/>
        </w:tabs>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84.2  </w:t>
      </w:r>
      <w:r>
        <w:rPr>
          <w:rFonts w:hint="eastAsia" w:hAnsi="宋体" w:eastAsia="宋体" w:cs="宋体"/>
          <w:b/>
          <w:bCs/>
          <w:color w:val="auto"/>
          <w:sz w:val="24"/>
          <w:szCs w:val="24"/>
          <w:highlight w:val="none"/>
          <w:u w:val="dotted"/>
        </w:rPr>
        <w:t xml:space="preserve">                                                                                                       </w:t>
      </w:r>
    </w:p>
    <w:p w14:paraId="33B201BB">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合同双方当事人应在专用条款中约定质量保证金金额</w:t>
      </w:r>
      <w:r>
        <w:rPr>
          <w:rFonts w:hint="eastAsia" w:hAnsi="宋体" w:eastAsia="宋体" w:cs="宋体"/>
          <w:color w:val="auto"/>
          <w:sz w:val="24"/>
          <w:szCs w:val="24"/>
          <w:highlight w:val="none"/>
        </w:rPr>
        <mc:AlternateContent>
          <mc:Choice Requires="wps">
            <w:drawing>
              <wp:anchor distT="0" distB="0" distL="0" distR="0" simplePos="0" relativeHeight="252034048"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1392" name="000243"/>
                <wp:cNvGraphicFramePr/>
                <a:graphic xmlns:a="http://schemas.openxmlformats.org/drawingml/2006/main">
                  <a:graphicData uri="http://schemas.microsoft.com/office/word/2010/wordprocessingShape">
                    <wps:wsp>
                      <wps:cNvSpPr/>
                      <wps:spPr>
                        <a:xfrm>
                          <a:off x="0" y="0"/>
                          <a:ext cx="914400" cy="519430"/>
                        </a:xfrm>
                        <a:prstGeom prst="rect">
                          <a:avLst/>
                        </a:prstGeom>
                        <a:ln>
                          <a:noFill/>
                        </a:ln>
                      </wps:spPr>
                      <wps:txbx>
                        <w:txbxContent>
                          <w:p w14:paraId="359FCEA5">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质量保证金的约定与扣留</w:t>
                            </w:r>
                          </w:p>
                        </w:txbxContent>
                      </wps:txbx>
                      <wps:bodyPr wrap="square"/>
                    </wps:wsp>
                  </a:graphicData>
                </a:graphic>
              </wp:anchor>
            </w:drawing>
          </mc:Choice>
          <mc:Fallback>
            <w:pict>
              <v:rect id="000243" o:spid="_x0000_s1026" o:spt="1" style="position:absolute;left:0pt;margin-left:-9pt;margin-top:1.6pt;height:40.9pt;width:72pt;z-index:252034048;mso-width-relative:page;mso-height-relative:page;" filled="f" stroked="f" coordsize="21600,21600" o:gfxdata="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Bxo2kvYAAAACAEAAA8AAAAAAAAAAQAgAAAAIgAA&#10;AGRycy9kb3ducmV2LnhtbFBLAQIUABQAAAAIAIdO4kAWXmHClgEAADgDAAAOAAAAAAAAAAEAIAAA&#10;ACcBAABkcnMvZTJvRG9jLnhtbFBLBQYAAAAABgAGAFkBAAAvBQAAAAA=&#10;">
                <v:fill on="f" focussize="0,0"/>
                <v:stroke on="f"/>
                <v:imagedata o:title=""/>
                <o:lock v:ext="edit" aspectratio="f"/>
                <v:textbox>
                  <w:txbxContent>
                    <w:p w14:paraId="359FCEA5">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质量保证金的约定与扣留</w:t>
                      </w:r>
                    </w:p>
                  </w:txbxContent>
                </v:textbox>
              </v:rect>
            </w:pict>
          </mc:Fallback>
        </mc:AlternateContent>
      </w:r>
      <w:r>
        <w:rPr>
          <w:rFonts w:hint="eastAsia" w:hAnsi="宋体" w:eastAsia="宋体" w:cs="宋体"/>
          <w:color w:val="auto"/>
          <w:sz w:val="24"/>
          <w:szCs w:val="24"/>
          <w:highlight w:val="none"/>
        </w:rPr>
        <w:t>。除专用条款另有约定外，质量保证金为合同价款的3％（采取银行保函）。发包人应按照该比例从每支付期应支付给承包人的进度款或结算款中扣留，直到扣留的质量保证金总额达到专用条款约定的的金额为止。</w:t>
      </w:r>
    </w:p>
    <w:p w14:paraId="48B41C7B">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84.3  </w:t>
      </w:r>
      <w:r>
        <w:rPr>
          <w:rFonts w:hint="eastAsia" w:hAnsi="宋体" w:eastAsia="宋体" w:cs="宋体"/>
          <w:b/>
          <w:bCs/>
          <w:color w:val="auto"/>
          <w:sz w:val="24"/>
          <w:szCs w:val="24"/>
          <w:highlight w:val="none"/>
          <w:u w:val="dotted"/>
        </w:rPr>
        <w:t xml:space="preserve">                                                                                                       </w:t>
      </w:r>
    </w:p>
    <w:p w14:paraId="786CC72D">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35072"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1393" name="000244"/>
                <wp:cNvGraphicFramePr/>
                <a:graphic xmlns:a="http://schemas.openxmlformats.org/drawingml/2006/main">
                  <a:graphicData uri="http://schemas.microsoft.com/office/word/2010/wordprocessingShape">
                    <wps:wsp>
                      <wps:cNvSpPr/>
                      <wps:spPr>
                        <a:xfrm>
                          <a:off x="0" y="0"/>
                          <a:ext cx="914400" cy="462915"/>
                        </a:xfrm>
                        <a:prstGeom prst="rect">
                          <a:avLst/>
                        </a:prstGeom>
                        <a:ln>
                          <a:noFill/>
                        </a:ln>
                      </wps:spPr>
                      <wps:txbx>
                        <w:txbxContent>
                          <w:p w14:paraId="14A46105">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质量保证金返还</w:t>
                            </w:r>
                          </w:p>
                        </w:txbxContent>
                      </wps:txbx>
                      <wps:bodyPr wrap="square"/>
                    </wps:wsp>
                  </a:graphicData>
                </a:graphic>
              </wp:anchor>
            </w:drawing>
          </mc:Choice>
          <mc:Fallback>
            <w:pict>
              <v:rect id="000244" o:spid="_x0000_s1026" o:spt="1" style="position:absolute;left:0pt;margin-left:-9pt;margin-top:3.6pt;height:36.45pt;width:72pt;z-index:252035072;mso-width-relative:page;mso-height-relative:page;" filled="f" stroked="f" coordsize="21600,21600" o:gfxdata="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5G7h2dcAAAAIAQAADwAAAAAAAAABACAAAAAiAAAA&#10;ZHJzL2Rvd25yZXYueG1sUEsBAhQAFAAAAAgAh07iQDjqDcKWAQAAOAMAAA4AAAAAAAAAAQAgAAAA&#10;JgEAAGRycy9lMm9Eb2MueG1sUEsFBgAAAAAGAAYAWQEAAC4FAAAAAA==&#10;">
                <v:fill on="f" focussize="0,0"/>
                <v:stroke on="f"/>
                <v:imagedata o:title=""/>
                <o:lock v:ext="edit" aspectratio="f"/>
                <v:textbox>
                  <w:txbxContent>
                    <w:p w14:paraId="14A46105">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质量保证金返还</w:t>
                      </w:r>
                    </w:p>
                  </w:txbxContent>
                </v:textbox>
              </v:rect>
            </w:pict>
          </mc:Fallback>
        </mc:AlternateContent>
      </w:r>
      <w:r>
        <w:rPr>
          <w:rFonts w:hint="eastAsia" w:hAnsi="宋体" w:eastAsia="宋体" w:cs="宋体"/>
          <w:color w:val="auto"/>
          <w:sz w:val="24"/>
          <w:szCs w:val="24"/>
          <w:highlight w:val="none"/>
        </w:rPr>
        <w:t>缺陷责任期（包括第59.2款延长的期限）满时，承包人应向发包人申请到期应返还的剩余质量保证金金额。发包人如无异议，应在缺陷责任期满后的14天内将剩余的质量保证金返还给承包人。剩余质量保证金的返还，并不能免除承包人按照合同约定应承担的质量保修责任和应履行的质量保修义务。</w:t>
      </w:r>
      <w:r>
        <w:rPr>
          <w:rFonts w:hint="eastAsia" w:hAnsi="宋体" w:eastAsia="宋体" w:cs="宋体"/>
          <w:color w:val="auto"/>
          <w:kern w:val="0"/>
          <w:sz w:val="24"/>
          <w:szCs w:val="24"/>
          <w:highlight w:val="none"/>
        </w:rPr>
        <w:t>发包人在退还质量保证金的同时按照中国人民银行发布的同期同类贷款基准利率支付利息。</w:t>
      </w:r>
    </w:p>
    <w:p w14:paraId="2BB6B751">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84.4  </w:t>
      </w:r>
      <w:r>
        <w:rPr>
          <w:rFonts w:hint="eastAsia" w:hAnsi="宋体" w:eastAsia="宋体" w:cs="宋体"/>
          <w:b/>
          <w:bCs/>
          <w:color w:val="auto"/>
          <w:sz w:val="24"/>
          <w:szCs w:val="24"/>
          <w:highlight w:val="none"/>
          <w:u w:val="dotted"/>
        </w:rPr>
        <w:t xml:space="preserve">                                                                                                       </w:t>
      </w:r>
    </w:p>
    <w:p w14:paraId="19D68734">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36096"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1394" name="000245"/>
                <wp:cNvGraphicFramePr/>
                <a:graphic xmlns:a="http://schemas.openxmlformats.org/drawingml/2006/main">
                  <a:graphicData uri="http://schemas.microsoft.com/office/word/2010/wordprocessingShape">
                    <wps:wsp>
                      <wps:cNvSpPr/>
                      <wps:spPr>
                        <a:xfrm>
                          <a:off x="0" y="0"/>
                          <a:ext cx="914400" cy="462915"/>
                        </a:xfrm>
                        <a:prstGeom prst="rect">
                          <a:avLst/>
                        </a:prstGeom>
                        <a:ln>
                          <a:noFill/>
                        </a:ln>
                      </wps:spPr>
                      <wps:txbx>
                        <w:txbxContent>
                          <w:p w14:paraId="33B0EF44">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质量保证金扣留</w:t>
                            </w:r>
                          </w:p>
                        </w:txbxContent>
                      </wps:txbx>
                      <wps:bodyPr wrap="square"/>
                    </wps:wsp>
                  </a:graphicData>
                </a:graphic>
              </wp:anchor>
            </w:drawing>
          </mc:Choice>
          <mc:Fallback>
            <w:pict>
              <v:rect id="000245" o:spid="_x0000_s1026" o:spt="1" style="position:absolute;left:0pt;margin-left:-9pt;margin-top:3.6pt;height:36.45pt;width:72pt;z-index:252036096;mso-width-relative:page;mso-height-relative:page;" filled="f" stroked="f" coordsize="21600,21600" o:gfxdata="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5G7h2dcAAAAIAQAADwAAAAAAAAABACAAAAAiAAAA&#10;ZHJzL2Rvd25yZXYueG1sUEsBAhQAFAAAAAgAh07iQC8lLsmWAQAAOAMAAA4AAAAAAAAAAQAgAAAA&#10;JgEAAGRycy9lMm9Eb2MueG1sUEsFBgAAAAAGAAYAWQEAAC4FAAAAAA==&#10;">
                <v:fill on="f" focussize="0,0"/>
                <v:stroke on="f"/>
                <v:imagedata o:title=""/>
                <o:lock v:ext="edit" aspectratio="f"/>
                <v:textbox>
                  <w:txbxContent>
                    <w:p w14:paraId="33B0EF44">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质量保证金扣留</w:t>
                      </w:r>
                    </w:p>
                  </w:txbxContent>
                </v:textbox>
              </v:rect>
            </w:pict>
          </mc:Fallback>
        </mc:AlternateContent>
      </w:r>
      <w:r>
        <w:rPr>
          <w:rFonts w:hint="eastAsia" w:hAnsi="宋体" w:eastAsia="宋体" w:cs="宋体"/>
          <w:color w:val="auto"/>
          <w:sz w:val="24"/>
          <w:szCs w:val="24"/>
          <w:highlight w:val="none"/>
        </w:rPr>
        <w:t>缺陷责任期（包括第59.2款延长的期限）满时，承包人没有完成缺陷责任的，发包人有权扣留承包人未完成缺陷责任剩余工作所需的部分质量保证金余额，并有权根据第59.2款约定要求延长缺陷责任期，直到完成剩余工作为止。</w:t>
      </w:r>
    </w:p>
    <w:p w14:paraId="46488B2A">
      <w:pPr>
        <w:pStyle w:val="22"/>
        <w:adjustRightInd w:val="0"/>
        <w:snapToGrid w:val="0"/>
        <w:spacing w:line="300" w:lineRule="auto"/>
        <w:ind w:right="-238"/>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0D4F2B16">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195" w:name="_Toc46860890"/>
      <w:r>
        <w:rPr>
          <w:rFonts w:hint="eastAsia" w:hAnsi="宋体" w:eastAsia="宋体" w:cs="宋体"/>
          <w:b/>
          <w:bCs/>
          <w:color w:val="auto"/>
          <w:sz w:val="24"/>
          <w:szCs w:val="24"/>
          <w:highlight w:val="none"/>
        </w:rPr>
        <w:t>85  最终清算款</w:t>
      </w:r>
      <w:bookmarkEnd w:id="195"/>
    </w:p>
    <w:p w14:paraId="0462E8AA">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85.1     </w:t>
      </w:r>
    </w:p>
    <w:p w14:paraId="054A0C1B">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2037120"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1395" name="000246"/>
                <wp:cNvGraphicFramePr/>
                <a:graphic xmlns:a="http://schemas.openxmlformats.org/drawingml/2006/main">
                  <a:graphicData uri="http://schemas.microsoft.com/office/word/2010/wordprocessingShape">
                    <wps:wsp>
                      <wps:cNvSpPr/>
                      <wps:spPr>
                        <a:xfrm>
                          <a:off x="0" y="0"/>
                          <a:ext cx="914400" cy="396239"/>
                        </a:xfrm>
                        <a:prstGeom prst="rect">
                          <a:avLst/>
                        </a:prstGeom>
                        <a:ln>
                          <a:noFill/>
                        </a:ln>
                      </wps:spPr>
                      <wps:txbx>
                        <w:txbxContent>
                          <w:p w14:paraId="3D5F0B99">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提交最终清算支付申请</w:t>
                            </w:r>
                          </w:p>
                        </w:txbxContent>
                      </wps:txbx>
                      <wps:bodyPr wrap="square"/>
                    </wps:wsp>
                  </a:graphicData>
                </a:graphic>
              </wp:anchor>
            </w:drawing>
          </mc:Choice>
          <mc:Fallback>
            <w:pict>
              <v:rect id="000246" o:spid="_x0000_s1026" o:spt="1" style="position:absolute;left:0pt;margin-left:-9pt;margin-top:5.85pt;height:31.2pt;width:72pt;z-index:252037120;mso-width-relative:page;mso-height-relative:page;" filled="f" stroked="f" coordsize="21600,21600" o:gfxdata="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C4fy8fZAAAACQEAAA8AAAAAAAAAAQAgAAAAIgAA&#10;AGRycy9kb3ducmV2LnhtbFBLAQIUABQAAAAIAIdO4kBQQA+mlQEAADgDAAAOAAAAAAAAAAEAIAAA&#10;ACgBAABkcnMvZTJvRG9jLnhtbFBLBQYAAAAABgAGAFkBAAAvBQAAAAA=&#10;">
                <v:fill on="f" focussize="0,0"/>
                <v:stroke on="f"/>
                <v:imagedata o:title=""/>
                <o:lock v:ext="edit" aspectratio="f"/>
                <v:textbox>
                  <w:txbxContent>
                    <w:p w14:paraId="3D5F0B99">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提交最终清算支付申请</w:t>
                      </w:r>
                    </w:p>
                  </w:txbxContent>
                </v:textbox>
              </v:rect>
            </w:pict>
          </mc:Fallback>
        </mc:AlternateContent>
      </w:r>
      <w:r>
        <w:rPr>
          <w:rFonts w:hint="eastAsia" w:ascii="宋体" w:hAnsi="宋体" w:eastAsia="宋体" w:cs="宋体"/>
          <w:color w:val="auto"/>
          <w:sz w:val="24"/>
          <w:highlight w:val="none"/>
        </w:rPr>
        <w:t>合同双方当事人应在专用条款中明确最终清算款的支付时限。专用条款没有约定的,最终清算款按照第85.2款至第85.5款规定办理。涉及政府投资资金的工程，支付期、支付方法等需调整的，应在专用条款中约定。</w:t>
      </w:r>
    </w:p>
    <w:p w14:paraId="5A39C743">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14:paraId="3FE1B523">
      <w:pPr>
        <w:pStyle w:val="22"/>
        <w:tabs>
          <w:tab w:val="left" w:pos="900"/>
        </w:tabs>
        <w:adjustRightInd w:val="0"/>
        <w:snapToGrid w:val="0"/>
        <w:spacing w:line="300" w:lineRule="auto"/>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85.2</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0441E6D7">
      <w:pPr>
        <w:pStyle w:val="22"/>
        <w:adjustRightInd w:val="0"/>
        <w:snapToGrid w:val="0"/>
        <w:spacing w:line="300" w:lineRule="auto"/>
        <w:ind w:left="1619" w:leftChars="771"/>
        <w:rPr>
          <w:rFonts w:hint="eastAsia" w:hAnsi="宋体" w:eastAsia="宋体" w:cs="宋体"/>
          <w:color w:val="auto"/>
          <w:sz w:val="24"/>
          <w:szCs w:val="24"/>
          <w:highlight w:val="none"/>
          <w:u w:val="single"/>
        </w:rPr>
      </w:pPr>
      <w:r>
        <w:rPr>
          <w:rFonts w:hint="eastAsia" w:hAnsi="宋体" w:eastAsia="宋体" w:cs="宋体"/>
          <w:color w:val="auto"/>
          <w:sz w:val="24"/>
          <w:szCs w:val="24"/>
          <w:highlight w:val="none"/>
        </w:rPr>
        <mc:AlternateContent>
          <mc:Choice Requires="wps">
            <w:drawing>
              <wp:anchor distT="0" distB="0" distL="0" distR="0" simplePos="0" relativeHeight="252038144"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1396" name="000247"/>
                <wp:cNvGraphicFramePr/>
                <a:graphic xmlns:a="http://schemas.openxmlformats.org/drawingml/2006/main">
                  <a:graphicData uri="http://schemas.microsoft.com/office/word/2010/wordprocessingShape">
                    <wps:wsp>
                      <wps:cNvSpPr/>
                      <wps:spPr>
                        <a:xfrm>
                          <a:off x="0" y="0"/>
                          <a:ext cx="1028700" cy="462915"/>
                        </a:xfrm>
                        <a:prstGeom prst="rect">
                          <a:avLst/>
                        </a:prstGeom>
                        <a:ln>
                          <a:noFill/>
                        </a:ln>
                      </wps:spPr>
                      <wps:txbx>
                        <w:txbxContent>
                          <w:p w14:paraId="2A0FEE86">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签发最终清算</w:t>
                            </w:r>
                          </w:p>
                          <w:p w14:paraId="5FB2750D">
                            <w:pPr>
                              <w:spacing w:line="240" w:lineRule="exact"/>
                              <w:rPr>
                                <w:rFonts w:hint="eastAsia" w:ascii="宋体"/>
                                <w:b/>
                                <w:bCs/>
                                <w:sz w:val="18"/>
                                <w:szCs w:val="18"/>
                              </w:rPr>
                            </w:pPr>
                            <w:r>
                              <w:rPr>
                                <w:rFonts w:hint="eastAsia" w:ascii="楷体_GB2312" w:hAnsi="宋体" w:eastAsia="楷体_GB2312" w:cs="楷体_GB2312"/>
                                <w:b/>
                                <w:bCs/>
                                <w:sz w:val="18"/>
                                <w:szCs w:val="18"/>
                              </w:rPr>
                              <w:t>支付证书</w:t>
                            </w:r>
                          </w:p>
                        </w:txbxContent>
                      </wps:txbx>
                      <wps:bodyPr wrap="square"/>
                    </wps:wsp>
                  </a:graphicData>
                </a:graphic>
              </wp:anchor>
            </w:drawing>
          </mc:Choice>
          <mc:Fallback>
            <w:pict>
              <v:rect id="000247" o:spid="_x0000_s1026" o:spt="1" style="position:absolute;left:0pt;margin-left:-9pt;margin-top:0.7pt;height:36.45pt;width:81pt;z-index:252038144;mso-width-relative:page;mso-height-relative:page;" filled="f" stroked="f" coordsize="21600,21600" o:gfxdata="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9r6VA2AAAAAgBAAAPAAAAAAAAAAEAIAAAACIA&#10;AABkcnMvZG93bnJldi54bWxQSwECFAAUAAAACACHTuJAc+BarJcBAAA5AwAADgAAAAAAAAABACAA&#10;AAAnAQAAZHJzL2Uyb0RvYy54bWxQSwUGAAAAAAYABgBZAQAAMAUAAAAA&#10;">
                <v:fill on="f" focussize="0,0"/>
                <v:stroke on="f"/>
                <v:imagedata o:title=""/>
                <o:lock v:ext="edit" aspectratio="f"/>
                <v:textbox>
                  <w:txbxContent>
                    <w:p w14:paraId="2A0FEE86">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签发最终清算</w:t>
                      </w:r>
                    </w:p>
                    <w:p w14:paraId="5FB2750D">
                      <w:pPr>
                        <w:spacing w:line="240" w:lineRule="exact"/>
                        <w:rPr>
                          <w:rFonts w:hint="eastAsia" w:ascii="宋体"/>
                          <w:b/>
                          <w:bCs/>
                          <w:sz w:val="18"/>
                          <w:szCs w:val="18"/>
                        </w:rPr>
                      </w:pPr>
                      <w:r>
                        <w:rPr>
                          <w:rFonts w:hint="eastAsia" w:ascii="楷体_GB2312" w:hAnsi="宋体" w:eastAsia="楷体_GB2312" w:cs="楷体_GB2312"/>
                          <w:b/>
                          <w:bCs/>
                          <w:sz w:val="18"/>
                          <w:szCs w:val="18"/>
                        </w:rPr>
                        <w:t>支付证书</w:t>
                      </w:r>
                    </w:p>
                  </w:txbxContent>
                </v:textbox>
              </v:rect>
            </w:pict>
          </mc:Fallback>
        </mc:AlternateContent>
      </w:r>
      <w:r>
        <w:rPr>
          <w:rFonts w:hint="eastAsia" w:hAnsi="宋体" w:eastAsia="宋体" w:cs="宋体"/>
          <w:color w:val="auto"/>
          <w:sz w:val="24"/>
          <w:szCs w:val="24"/>
          <w:highlight w:val="none"/>
        </w:rPr>
        <w:t>造价工程师应在收到最终清算支付申请后的14天内予以计量、核实，并将核实结果通知承包人、抄报发包人。发包人应在收到核实结果后的7天内在最终清算文件上签字确认。造价工程师应在发包人签字确认最终清算文件后的7天内，向发包人签发最终清算支付证书，同时抄送承包人。</w:t>
      </w:r>
    </w:p>
    <w:p w14:paraId="394C1CCC">
      <w:pPr>
        <w:pStyle w:val="22"/>
        <w:adjustRightInd w:val="0"/>
        <w:snapToGrid w:val="0"/>
        <w:spacing w:line="300" w:lineRule="auto"/>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39168" behindDoc="0" locked="0" layoutInCell="1" allowOverlap="1">
                <wp:simplePos x="0" y="0"/>
                <wp:positionH relativeFrom="column">
                  <wp:posOffset>-114300</wp:posOffset>
                </wp:positionH>
                <wp:positionV relativeFrom="paragraph">
                  <wp:posOffset>229235</wp:posOffset>
                </wp:positionV>
                <wp:extent cx="914400" cy="462915"/>
                <wp:effectExtent l="0" t="0" r="0" b="0"/>
                <wp:wrapNone/>
                <wp:docPr id="1397" name="000248"/>
                <wp:cNvGraphicFramePr/>
                <a:graphic xmlns:a="http://schemas.openxmlformats.org/drawingml/2006/main">
                  <a:graphicData uri="http://schemas.microsoft.com/office/word/2010/wordprocessingShape">
                    <wps:wsp>
                      <wps:cNvSpPr/>
                      <wps:spPr>
                        <a:xfrm>
                          <a:off x="0" y="0"/>
                          <a:ext cx="914400" cy="462914"/>
                        </a:xfrm>
                        <a:prstGeom prst="rect">
                          <a:avLst/>
                        </a:prstGeom>
                        <a:ln>
                          <a:noFill/>
                        </a:ln>
                      </wps:spPr>
                      <wps:txbx>
                        <w:txbxContent>
                          <w:p w14:paraId="41805957">
                            <w:pPr>
                              <w:spacing w:line="240" w:lineRule="exact"/>
                              <w:rPr>
                                <w:rFonts w:hint="eastAsia" w:ascii="宋体"/>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wps:txbx>
                      <wps:bodyPr wrap="square"/>
                    </wps:wsp>
                  </a:graphicData>
                </a:graphic>
              </wp:anchor>
            </w:drawing>
          </mc:Choice>
          <mc:Fallback>
            <w:pict>
              <v:rect id="000248" o:spid="_x0000_s1026" o:spt="1" style="position:absolute;left:0pt;margin-left:-9pt;margin-top:18.05pt;height:36.45pt;width:72pt;z-index:252039168;mso-width-relative:page;mso-height-relative:page;" filled="f" stroked="f" coordsize="21600,21600" o:gfxdata="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GUoFQbaAAAACgEAAA8AAAAAAAAAAQAgAAAAIgAA&#10;AGRycy9kb3ducmV2LnhtbFBLAQIUABQAAAAIAIdO4kA+61JwlAEAADgDAAAOAAAAAAAAAAEAIAAA&#10;ACkBAABkcnMvZTJvRG9jLnhtbFBLBQYAAAAABgAGAFkBAAAvBQAAAAA=&#10;">
                <v:fill on="f" focussize="0,0"/>
                <v:stroke on="f"/>
                <v:imagedata o:title=""/>
                <o:lock v:ext="edit" aspectratio="f"/>
                <v:textbox>
                  <w:txbxContent>
                    <w:p w14:paraId="41805957">
                      <w:pPr>
                        <w:spacing w:line="240" w:lineRule="exact"/>
                        <w:rPr>
                          <w:rFonts w:hint="eastAsia" w:ascii="宋体"/>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v:textbox>
              </v:rect>
            </w:pict>
          </mc:Fallback>
        </mc:AlternateContent>
      </w:r>
      <w:r>
        <w:rPr>
          <w:rFonts w:hint="eastAsia" w:hAnsi="宋体" w:eastAsia="宋体" w:cs="宋体"/>
          <w:b/>
          <w:bCs/>
          <w:color w:val="auto"/>
          <w:sz w:val="24"/>
          <w:szCs w:val="24"/>
          <w:highlight w:val="none"/>
        </w:rPr>
        <w:t>85.3</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09726A78">
      <w:pPr>
        <w:pStyle w:val="22"/>
        <w:adjustRightInd w:val="0"/>
        <w:snapToGrid w:val="0"/>
        <w:spacing w:line="300" w:lineRule="auto"/>
        <w:ind w:left="1619" w:leftChars="771" w:firstLine="1"/>
        <w:rPr>
          <w:rFonts w:hint="eastAsia" w:hAnsi="宋体" w:eastAsia="宋体" w:cs="宋体"/>
          <w:color w:val="auto"/>
          <w:sz w:val="24"/>
          <w:szCs w:val="24"/>
          <w:highlight w:val="none"/>
        </w:rPr>
      </w:pPr>
      <w:r>
        <w:rPr>
          <w:rFonts w:hint="eastAsia" w:hAnsi="宋体" w:eastAsia="宋体" w:cs="宋体"/>
          <w:color w:val="auto"/>
          <w:sz w:val="24"/>
          <w:szCs w:val="24"/>
          <w:highlight w:val="none"/>
        </w:rPr>
        <w:t>发包人应在造价工程师签发最终清算支付证书后的14 天内，按照最终清算支付证书列明的金额向承包人支付最终清算款，并通知造价工程师。</w:t>
      </w:r>
    </w:p>
    <w:p w14:paraId="438171D4">
      <w:pPr>
        <w:pStyle w:val="22"/>
        <w:adjustRightInd w:val="0"/>
        <w:snapToGrid w:val="0"/>
        <w:spacing w:line="300" w:lineRule="auto"/>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40192"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1398" name="000249"/>
                <wp:cNvGraphicFramePr/>
                <a:graphic xmlns:a="http://schemas.openxmlformats.org/drawingml/2006/main">
                  <a:graphicData uri="http://schemas.microsoft.com/office/word/2010/wordprocessingShape">
                    <wps:wsp>
                      <wps:cNvSpPr/>
                      <wps:spPr>
                        <a:xfrm>
                          <a:off x="0" y="0"/>
                          <a:ext cx="914400" cy="462915"/>
                        </a:xfrm>
                        <a:prstGeom prst="rect">
                          <a:avLst/>
                        </a:prstGeom>
                        <a:ln>
                          <a:noFill/>
                        </a:ln>
                      </wps:spPr>
                      <wps:txbx>
                        <w:txbxContent>
                          <w:p w14:paraId="614E864A">
                            <w:pPr>
                              <w:spacing w:line="240" w:lineRule="exact"/>
                              <w:rPr>
                                <w:rFonts w:hint="eastAsia" w:ascii="宋体"/>
                                <w:b/>
                                <w:bCs/>
                                <w:sz w:val="18"/>
                                <w:szCs w:val="18"/>
                              </w:rPr>
                            </w:pPr>
                            <w:r>
                              <w:rPr>
                                <w:rFonts w:hint="eastAsia" w:ascii="楷体_GB2312" w:hAnsi="宋体" w:eastAsia="楷体_GB2312" w:cs="楷体_GB2312"/>
                                <w:b/>
                                <w:bCs/>
                                <w:sz w:val="18"/>
                                <w:szCs w:val="18"/>
                              </w:rPr>
                              <w:t>签发最终清算支付证书限制</w:t>
                            </w:r>
                          </w:p>
                        </w:txbxContent>
                      </wps:txbx>
                      <wps:bodyPr wrap="square"/>
                    </wps:wsp>
                  </a:graphicData>
                </a:graphic>
              </wp:anchor>
            </w:drawing>
          </mc:Choice>
          <mc:Fallback>
            <w:pict>
              <v:rect id="000249" o:spid="_x0000_s1026" o:spt="1" style="position:absolute;left:0pt;margin-left:-9pt;margin-top:18.45pt;height:36.45pt;width:72pt;z-index:252040192;mso-width-relative:page;mso-height-relative:page;" filled="f" stroked="f" coordsize="21600,21600" o:gfxdata="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npgS09sAAAAKAQAADwAAAAAAAAABACAAAAAi&#10;AAAAZHJzL2Rvd25yZXYueG1sUEsBAhQAFAAAAAgAh07iQLi0oluVAQAAOAMAAA4AAAAAAAAAAQAg&#10;AAAAKgEAAGRycy9lMm9Eb2MueG1sUEsFBgAAAAAGAAYAWQEAADEFAAAAAA==&#10;">
                <v:fill on="f" focussize="0,0"/>
                <v:stroke on="f"/>
                <v:imagedata o:title=""/>
                <o:lock v:ext="edit" aspectratio="f"/>
                <v:textbox>
                  <w:txbxContent>
                    <w:p w14:paraId="614E864A">
                      <w:pPr>
                        <w:spacing w:line="240" w:lineRule="exact"/>
                        <w:rPr>
                          <w:rFonts w:hint="eastAsia" w:ascii="宋体"/>
                          <w:b/>
                          <w:bCs/>
                          <w:sz w:val="18"/>
                          <w:szCs w:val="18"/>
                        </w:rPr>
                      </w:pPr>
                      <w:r>
                        <w:rPr>
                          <w:rFonts w:hint="eastAsia" w:ascii="楷体_GB2312" w:hAnsi="宋体" w:eastAsia="楷体_GB2312" w:cs="楷体_GB2312"/>
                          <w:b/>
                          <w:bCs/>
                          <w:sz w:val="18"/>
                          <w:szCs w:val="18"/>
                        </w:rPr>
                        <w:t>签发最终清算支付证书限制</w:t>
                      </w:r>
                    </w:p>
                  </w:txbxContent>
                </v:textbox>
              </v:rect>
            </w:pict>
          </mc:Fallback>
        </mc:AlternateContent>
      </w:r>
      <w:r>
        <w:rPr>
          <w:rFonts w:hint="eastAsia" w:hAnsi="宋体" w:eastAsia="宋体" w:cs="宋体"/>
          <w:b/>
          <w:bCs/>
          <w:color w:val="auto"/>
          <w:sz w:val="24"/>
          <w:szCs w:val="24"/>
          <w:highlight w:val="none"/>
        </w:rPr>
        <w:t xml:space="preserve">85.4 </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7DA4E454">
      <w:pPr>
        <w:pStyle w:val="22"/>
        <w:adjustRightInd w:val="0"/>
        <w:snapToGrid w:val="0"/>
        <w:spacing w:line="300" w:lineRule="auto"/>
        <w:ind w:left="1576" w:leftChars="750" w:hanging="1"/>
        <w:rPr>
          <w:rFonts w:hint="eastAsia" w:hAnsi="宋体" w:eastAsia="宋体" w:cs="宋体"/>
          <w:color w:val="auto"/>
          <w:sz w:val="24"/>
          <w:szCs w:val="24"/>
          <w:highlight w:val="none"/>
        </w:rPr>
      </w:pPr>
      <w:r>
        <w:rPr>
          <w:rFonts w:hint="eastAsia" w:hAnsi="宋体" w:eastAsia="宋体" w:cs="宋体"/>
          <w:color w:val="auto"/>
          <w:sz w:val="24"/>
          <w:szCs w:val="24"/>
          <w:highlight w:val="none"/>
        </w:rPr>
        <w:t>如果造价工程师未在第85.2款规定的期限内签发最终清算支付证书的，则视为承包人提交的最终清算支付申请已被认可，承包人应及时向发包人发出要求支付最终清算款的通知。发包人应在收到通知后的14天内，按照承包人提交最终清算支付申请列明的金额向承包人支付最终清算款。</w:t>
      </w:r>
    </w:p>
    <w:p w14:paraId="70DDCB21">
      <w:pPr>
        <w:pStyle w:val="22"/>
        <w:adjustRightInd w:val="0"/>
        <w:snapToGrid w:val="0"/>
        <w:spacing w:line="300" w:lineRule="auto"/>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 xml:space="preserve">85.5 </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6368F1AA">
      <w:pPr>
        <w:spacing w:line="300" w:lineRule="auto"/>
        <w:ind w:left="1576" w:leftChars="750" w:hanging="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2041216"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1399" name="00024a"/>
                <wp:cNvGraphicFramePr/>
                <a:graphic xmlns:a="http://schemas.openxmlformats.org/drawingml/2006/main">
                  <a:graphicData uri="http://schemas.microsoft.com/office/word/2010/wordprocessingShape">
                    <wps:wsp>
                      <wps:cNvSpPr/>
                      <wps:spPr>
                        <a:xfrm>
                          <a:off x="0" y="0"/>
                          <a:ext cx="1028700" cy="407670"/>
                        </a:xfrm>
                        <a:prstGeom prst="rect">
                          <a:avLst/>
                        </a:prstGeom>
                        <a:ln>
                          <a:noFill/>
                        </a:ln>
                      </wps:spPr>
                      <wps:txbx>
                        <w:txbxContent>
                          <w:p w14:paraId="7DEBFF58">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最终清算款支</w:t>
                            </w:r>
                          </w:p>
                          <w:p w14:paraId="5C41BD47">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付的限制</w:t>
                            </w:r>
                          </w:p>
                        </w:txbxContent>
                      </wps:txbx>
                      <wps:bodyPr wrap="square"/>
                    </wps:wsp>
                  </a:graphicData>
                </a:graphic>
              </wp:anchor>
            </w:drawing>
          </mc:Choice>
          <mc:Fallback>
            <w:pict>
              <v:rect id="00024a" o:spid="_x0000_s1026" o:spt="1" style="position:absolute;left:0pt;margin-left:-9pt;margin-top:0.65pt;height:32.1pt;width:81pt;z-index:252041216;mso-width-relative:page;mso-height-relative:page;" filled="f" stroked="f" coordsize="21600,21600" o:gfxdata="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fP3R72AAAAAgBAAAPAAAAAAAAAAEAIAAAACIA&#10;AABkcnMvZG93bnJldi54bWxQSwECFAAUAAAACACHTuJACsRC35cBAAA5AwAADgAAAAAAAAABACAA&#10;AAAnAQAAZHJzL2Uyb0RvYy54bWxQSwUGAAAAAAYABgBZAQAAMAUAAAAA&#10;">
                <v:fill on="f" focussize="0,0"/>
                <v:stroke on="f"/>
                <v:imagedata o:title=""/>
                <o:lock v:ext="edit" aspectratio="f"/>
                <v:textbox>
                  <w:txbxContent>
                    <w:p w14:paraId="7DEBFF58">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最终清算款支</w:t>
                      </w:r>
                    </w:p>
                    <w:p w14:paraId="5C41BD47">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付的限制</w:t>
                      </w:r>
                    </w:p>
                  </w:txbxContent>
                </v:textbox>
              </v:rect>
            </w:pict>
          </mc:Fallback>
        </mc:AlternateContent>
      </w:r>
      <w:r>
        <w:rPr>
          <w:rFonts w:hint="eastAsia" w:ascii="宋体" w:hAnsi="宋体" w:eastAsia="宋体" w:cs="宋体"/>
          <w:color w:val="auto"/>
          <w:sz w:val="24"/>
          <w:highlight w:val="none"/>
        </w:rPr>
        <w:t>发包人未按照第85.3款和第85.4款规定支付最终清算款的，承包人可催告发包人支付最终清算款，如双方达成延期支付协议，承包人有权按照第78.2款规定获得延期支付的利息。若该永久工程按照第83.5款规定进行折价或依法拍卖的，承包人就该工程折价或拍卖的价款优先受偿。</w:t>
      </w:r>
    </w:p>
    <w:p w14:paraId="2EDD4163">
      <w:pPr>
        <w:pStyle w:val="22"/>
        <w:adjustRightInd w:val="0"/>
        <w:snapToGrid w:val="0"/>
        <w:spacing w:line="300" w:lineRule="auto"/>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 xml:space="preserve">85.6 </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5A086ABC">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2042240"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1400" name="00024b"/>
                <wp:cNvGraphicFramePr/>
                <a:graphic xmlns:a="http://schemas.openxmlformats.org/drawingml/2006/main">
                  <a:graphicData uri="http://schemas.microsoft.com/office/word/2010/wordprocessingShape">
                    <wps:wsp>
                      <wps:cNvSpPr/>
                      <wps:spPr>
                        <a:xfrm>
                          <a:off x="0" y="0"/>
                          <a:ext cx="914400" cy="462915"/>
                        </a:xfrm>
                        <a:prstGeom prst="rect">
                          <a:avLst/>
                        </a:prstGeom>
                        <a:ln>
                          <a:noFill/>
                        </a:ln>
                      </wps:spPr>
                      <wps:txbx>
                        <w:txbxContent>
                          <w:p w14:paraId="73CB3326">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最终清算款争议的处理</w:t>
                            </w:r>
                          </w:p>
                        </w:txbxContent>
                      </wps:txbx>
                      <wps:bodyPr wrap="square"/>
                    </wps:wsp>
                  </a:graphicData>
                </a:graphic>
              </wp:anchor>
            </w:drawing>
          </mc:Choice>
          <mc:Fallback>
            <w:pict>
              <v:rect id="00024b" o:spid="_x0000_s1026" o:spt="1" style="position:absolute;left:0pt;margin-left:-9pt;margin-top:3.6pt;height:36.45pt;width:72pt;z-index:252042240;mso-width-relative:page;mso-height-relative:page;" filled="f" stroked="f" coordsize="21600,21600" o:gfxdata="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5G7h2dcAAAAIAQAADwAAAAAAAAABACAAAAAiAAAAZHJz&#10;L2Rvd25yZXYueG1sUEsBAhQAFAAAAAgAh07iQFbJUc+TAQAAOAMAAA4AAAAAAAAAAQAgAAAAJgEA&#10;AGRycy9lMm9Eb2MueG1sUEsFBgAAAAAGAAYAWQEAACsFAAAAAA==&#10;">
                <v:fill on="f" focussize="0,0"/>
                <v:stroke on="f"/>
                <v:imagedata o:title=""/>
                <o:lock v:ext="edit" aspectratio="f"/>
                <v:textbox>
                  <w:txbxContent>
                    <w:p w14:paraId="73CB3326">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最终清算款争议的处理</w:t>
                      </w:r>
                    </w:p>
                  </w:txbxContent>
                </v:textbox>
              </v:rect>
            </w:pict>
          </mc:Fallback>
        </mc:AlternateContent>
      </w:r>
      <w:r>
        <w:rPr>
          <w:rFonts w:hint="eastAsia" w:ascii="宋体" w:hAnsi="宋体" w:eastAsia="宋体" w:cs="宋体"/>
          <w:color w:val="auto"/>
          <w:sz w:val="24"/>
          <w:highlight w:val="none"/>
        </w:rPr>
        <w:t>承包人对发包人支付的最终清算款有异议的，按照第86条约定的争议处理。</w:t>
      </w:r>
    </w:p>
    <w:p w14:paraId="52966391">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u w:val="single"/>
        </w:rPr>
        <w:t xml:space="preserve">                                                                                                              </w:t>
      </w:r>
    </w:p>
    <w:p w14:paraId="7EA739FB">
      <w:pPr>
        <w:pStyle w:val="22"/>
        <w:adjustRightInd w:val="0"/>
        <w:snapToGrid w:val="0"/>
        <w:spacing w:line="300" w:lineRule="auto"/>
        <w:outlineLvl w:val="1"/>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                        </w:t>
      </w:r>
      <w:bookmarkStart w:id="196" w:name="_Toc469384069"/>
      <w:bookmarkStart w:id="197" w:name="_Toc46860891"/>
      <w:r>
        <w:rPr>
          <w:rFonts w:hint="eastAsia" w:hAnsi="宋体" w:eastAsia="宋体" w:cs="宋体"/>
          <w:b/>
          <w:bCs/>
          <w:color w:val="auto"/>
          <w:sz w:val="24"/>
          <w:szCs w:val="24"/>
          <w:highlight w:val="none"/>
        </w:rPr>
        <w:t>七、合同争议、解除与终止</w:t>
      </w:r>
      <w:bookmarkEnd w:id="196"/>
      <w:bookmarkEnd w:id="197"/>
    </w:p>
    <w:p w14:paraId="23C0EB2E">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198" w:name="_Toc469384070"/>
      <w:bookmarkStart w:id="199" w:name="_Toc46860892"/>
      <w:r>
        <w:rPr>
          <w:rFonts w:hint="eastAsia" w:hAnsi="宋体" w:eastAsia="宋体" w:cs="宋体"/>
          <w:b/>
          <w:bCs/>
          <w:color w:val="auto"/>
          <w:sz w:val="24"/>
          <w:szCs w:val="24"/>
          <w:highlight w:val="none"/>
        </w:rPr>
        <w:t>86  合同争议</w:t>
      </w:r>
      <w:bookmarkEnd w:id="198"/>
      <w:bookmarkEnd w:id="199"/>
    </w:p>
    <w:p w14:paraId="345360B3">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43264"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1401" name="00024c"/>
                <wp:cNvGraphicFramePr/>
                <a:graphic xmlns:a="http://schemas.openxmlformats.org/drawingml/2006/main">
                  <a:graphicData uri="http://schemas.microsoft.com/office/word/2010/wordprocessingShape">
                    <wps:wsp>
                      <wps:cNvSpPr/>
                      <wps:spPr>
                        <a:xfrm>
                          <a:off x="0" y="0"/>
                          <a:ext cx="914400" cy="469900"/>
                        </a:xfrm>
                        <a:prstGeom prst="rect">
                          <a:avLst/>
                        </a:prstGeom>
                        <a:ln>
                          <a:noFill/>
                        </a:ln>
                      </wps:spPr>
                      <wps:txbx>
                        <w:txbxContent>
                          <w:p w14:paraId="7BDCF9EF">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认可暂定结果或产生争议</w:t>
                            </w:r>
                          </w:p>
                        </w:txbxContent>
                      </wps:txbx>
                      <wps:bodyPr wrap="square"/>
                    </wps:wsp>
                  </a:graphicData>
                </a:graphic>
              </wp:anchor>
            </w:drawing>
          </mc:Choice>
          <mc:Fallback>
            <w:pict>
              <v:rect id="00024c" o:spid="_x0000_s1026" o:spt="1" style="position:absolute;left:0pt;margin-left:-9pt;margin-top:22.4pt;height:37pt;width:72pt;z-index:252043264;mso-width-relative:page;mso-height-relative:page;" filled="f" stroked="f" coordsize="21600,21600" o:gfxdata="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ML+8VvaAAAACgEAAA8AAAAAAAAAAQAgAAAAIgAA&#10;AGRycy9kb3ducmV2LnhtbFBLAQIUABQAAAAIAIdO4kD8iHLRlAEAADgDAAAOAAAAAAAAAAEAIAAA&#10;ACkBAABkcnMvZTJvRG9jLnhtbFBLBQYAAAAABgAGAFkBAAAvBQAAAAA=&#10;">
                <v:fill on="f" focussize="0,0"/>
                <v:stroke on="f"/>
                <v:imagedata o:title=""/>
                <o:lock v:ext="edit" aspectratio="f"/>
                <v:textbox>
                  <w:txbxContent>
                    <w:p w14:paraId="7BDCF9EF">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认可暂定结果或产生争议</w:t>
                      </w:r>
                    </w:p>
                  </w:txbxContent>
                </v:textbox>
              </v:rect>
            </w:pict>
          </mc:Fallback>
        </mc:AlternateContent>
      </w:r>
      <w:r>
        <w:rPr>
          <w:rFonts w:hint="eastAsia" w:hAnsi="宋体" w:eastAsia="宋体" w:cs="宋体"/>
          <w:b/>
          <w:bCs/>
          <w:color w:val="auto"/>
          <w:sz w:val="24"/>
          <w:szCs w:val="24"/>
          <w:highlight w:val="none"/>
        </w:rPr>
        <w:t xml:space="preserve">86.1    </w:t>
      </w:r>
    </w:p>
    <w:p w14:paraId="4F92F3C2">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本合同履行期间，合同双方当事人应在收到监理工程师或造价工程师依据合同约定作出暂定结果之后的14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14:paraId="75903392">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合同双方当事人在收到监理工程师或造价工程师的暂定结果之日起，超过14天，未对暂定结果予以确认也未提出意见的，视为合同双方当事人已认可暂定结果。</w:t>
      </w:r>
    </w:p>
    <w:p w14:paraId="395F2662">
      <w:pPr>
        <w:pStyle w:val="22"/>
        <w:tabs>
          <w:tab w:val="left" w:pos="1320"/>
        </w:tabs>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86.2  </w:t>
      </w:r>
      <w:r>
        <w:rPr>
          <w:rFonts w:hint="eastAsia" w:hAnsi="宋体" w:eastAsia="宋体" w:cs="宋体"/>
          <w:b/>
          <w:bCs/>
          <w:color w:val="auto"/>
          <w:sz w:val="24"/>
          <w:szCs w:val="24"/>
          <w:highlight w:val="none"/>
          <w:u w:val="dotted"/>
        </w:rPr>
        <w:t xml:space="preserve">                                                                                                        </w:t>
      </w:r>
    </w:p>
    <w:p w14:paraId="38732977">
      <w:pPr>
        <w:pStyle w:val="22"/>
        <w:tabs>
          <w:tab w:val="left" w:pos="1320"/>
        </w:tabs>
        <w:adjustRightInd w:val="0"/>
        <w:snapToGrid w:val="0"/>
        <w:spacing w:line="300" w:lineRule="auto"/>
        <w:ind w:left="1680" w:leftChars="800"/>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44288" behindDoc="0" locked="0" layoutInCell="1" allowOverlap="1">
                <wp:simplePos x="0" y="0"/>
                <wp:positionH relativeFrom="column">
                  <wp:posOffset>-114300</wp:posOffset>
                </wp:positionH>
                <wp:positionV relativeFrom="paragraph">
                  <wp:posOffset>26035</wp:posOffset>
                </wp:positionV>
                <wp:extent cx="800100" cy="373380"/>
                <wp:effectExtent l="0" t="0" r="0" b="0"/>
                <wp:wrapNone/>
                <wp:docPr id="1402" name="00024d"/>
                <wp:cNvGraphicFramePr/>
                <a:graphic xmlns:a="http://schemas.openxmlformats.org/drawingml/2006/main">
                  <a:graphicData uri="http://schemas.microsoft.com/office/word/2010/wordprocessingShape">
                    <wps:wsp>
                      <wps:cNvSpPr/>
                      <wps:spPr>
                        <a:xfrm>
                          <a:off x="0" y="0"/>
                          <a:ext cx="800100" cy="373380"/>
                        </a:xfrm>
                        <a:prstGeom prst="rect">
                          <a:avLst/>
                        </a:prstGeom>
                        <a:ln>
                          <a:noFill/>
                        </a:ln>
                      </wps:spPr>
                      <wps:txbx>
                        <w:txbxContent>
                          <w:p w14:paraId="6348C8A8">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双方协商</w:t>
                            </w:r>
                          </w:p>
                        </w:txbxContent>
                      </wps:txbx>
                      <wps:bodyPr wrap="square"/>
                    </wps:wsp>
                  </a:graphicData>
                </a:graphic>
              </wp:anchor>
            </w:drawing>
          </mc:Choice>
          <mc:Fallback>
            <w:pict>
              <v:rect id="00024d" o:spid="_x0000_s1026" o:spt="1" style="position:absolute;left:0pt;margin-left:-9pt;margin-top:2.05pt;height:29.4pt;width:63pt;z-index:252044288;mso-width-relative:page;mso-height-relative:page;" filled="f" stroked="f" coordsize="21600,21600" o:gfxdata="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&#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C0Z3DnXAAAACAEAAA8AAAAAAAAAAQAgAAAAIgAAAGRy&#10;cy9kb3ducmV2LnhtbFBLAQIUABQAAAAIAIdO4kADXgg/lAEAADgDAAAOAAAAAAAAAAEAIAAAACYB&#10;AABkcnMvZTJvRG9jLnhtbFBLBQYAAAAABgAGAFkBAAAsBQAAAAA=&#10;">
                <v:fill on="f" focussize="0,0"/>
                <v:stroke on="f"/>
                <v:imagedata o:title=""/>
                <o:lock v:ext="edit" aspectratio="f"/>
                <v:textbox>
                  <w:txbxContent>
                    <w:p w14:paraId="6348C8A8">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双方协商</w:t>
                      </w:r>
                    </w:p>
                  </w:txbxContent>
                </v:textbox>
              </v:rect>
            </w:pict>
          </mc:Fallback>
        </mc:AlternateContent>
      </w:r>
      <w:r>
        <w:rPr>
          <w:rFonts w:hint="eastAsia" w:hAnsi="宋体" w:eastAsia="宋体" w:cs="宋体"/>
          <w:color w:val="auto"/>
          <w:sz w:val="24"/>
          <w:szCs w:val="24"/>
          <w:highlight w:val="none"/>
        </w:rPr>
        <w:t>争议发生后的14天内，合同双方当事人可进一步进行协商。协商达成一致的，合同双方当事人应签订书面协议，并将结果抄送监理工程师或造价工程师；协商仍不能达成一致的，按照第86.3款至第86.6款规定进行调解或认定、仲裁或诉讼。</w:t>
      </w:r>
    </w:p>
    <w:p w14:paraId="36AA4E71">
      <w:pPr>
        <w:pStyle w:val="22"/>
        <w:tabs>
          <w:tab w:val="left" w:pos="1320"/>
        </w:tabs>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86.3  </w:t>
      </w:r>
      <w:r>
        <w:rPr>
          <w:rFonts w:hint="eastAsia" w:hAnsi="宋体" w:eastAsia="宋体" w:cs="宋体"/>
          <w:b/>
          <w:bCs/>
          <w:color w:val="auto"/>
          <w:sz w:val="24"/>
          <w:szCs w:val="24"/>
          <w:highlight w:val="none"/>
          <w:u w:val="dotted"/>
        </w:rPr>
        <w:t xml:space="preserve">                                                                                                        </w:t>
      </w:r>
    </w:p>
    <w:p w14:paraId="453CE50C">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45312"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1403" name="00024e"/>
                <wp:cNvGraphicFramePr/>
                <a:graphic xmlns:a="http://schemas.openxmlformats.org/drawingml/2006/main">
                  <a:graphicData uri="http://schemas.microsoft.com/office/word/2010/wordprocessingShape">
                    <wps:wsp>
                      <wps:cNvSpPr/>
                      <wps:spPr>
                        <a:xfrm>
                          <a:off x="0" y="0"/>
                          <a:ext cx="1028700" cy="325120"/>
                        </a:xfrm>
                        <a:prstGeom prst="rect">
                          <a:avLst/>
                        </a:prstGeom>
                        <a:ln>
                          <a:noFill/>
                        </a:ln>
                      </wps:spPr>
                      <wps:txbx>
                        <w:txbxContent>
                          <w:p w14:paraId="77E0E318">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解决争议方式</w:t>
                            </w:r>
                          </w:p>
                        </w:txbxContent>
                      </wps:txbx>
                      <wps:bodyPr wrap="square"/>
                    </wps:wsp>
                  </a:graphicData>
                </a:graphic>
              </wp:anchor>
            </w:drawing>
          </mc:Choice>
          <mc:Fallback>
            <w:pict>
              <v:rect id="00024e" o:spid="_x0000_s1026" o:spt="1" style="position:absolute;left:0pt;margin-left:-9pt;margin-top:0.9pt;height:25.6pt;width:81pt;z-index:252045312;mso-width-relative:page;mso-height-relative:page;" filled="f" stroked="f" coordsize="21600,21600" o:gfxdata="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ADZ4Ou1wAAAAgBAAAPAAAAAAAAAAEAIAAAACIAAABk&#10;cnMvZG93bnJldi54bWxQSwECFAAUAAAACACHTuJAGIW/3pUBAAA5AwAADgAAAAAAAAABACAAAAAm&#10;AQAAZHJzL2Uyb0RvYy54bWxQSwUGAAAAAAYABgBZAQAALQUAAAAA&#10;">
                <v:fill on="f" focussize="0,0"/>
                <v:stroke on="f"/>
                <v:imagedata o:title=""/>
                <o:lock v:ext="edit" aspectratio="f"/>
                <v:textbox>
                  <w:txbxContent>
                    <w:p w14:paraId="77E0E318">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解决争议方式</w:t>
                      </w:r>
                    </w:p>
                  </w:txbxContent>
                </v:textbox>
              </v:rect>
            </w:pict>
          </mc:Fallback>
        </mc:AlternateContent>
      </w:r>
      <w:r>
        <w:rPr>
          <w:rFonts w:hint="eastAsia" w:hAnsi="宋体" w:eastAsia="宋体" w:cs="宋体"/>
          <w:color w:val="auto"/>
          <w:sz w:val="24"/>
          <w:szCs w:val="24"/>
          <w:highlight w:val="none"/>
        </w:rPr>
        <w:t>合同双方当事人没有按照第86.2款规定进一步协商的，或虽然协商但未在规定期限内达成一致的，合同双方或一方当事人可在争议发生后的28天内，将争议提交争议调解或认定机构处理，或直接按照专用条款第86.6款规定提请仲裁或诉讼。</w:t>
      </w:r>
    </w:p>
    <w:p w14:paraId="0B2D41F7">
      <w:pPr>
        <w:pStyle w:val="22"/>
        <w:tabs>
          <w:tab w:val="left" w:pos="1320"/>
        </w:tabs>
        <w:adjustRightInd w:val="0"/>
        <w:snapToGrid w:val="0"/>
        <w:spacing w:line="300" w:lineRule="auto"/>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 xml:space="preserve">86.4 </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0356DD4D">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46336"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1404" name="00024f"/>
                <wp:cNvGraphicFramePr/>
                <a:graphic xmlns:a="http://schemas.openxmlformats.org/drawingml/2006/main">
                  <a:graphicData uri="http://schemas.microsoft.com/office/word/2010/wordprocessingShape">
                    <wps:wsp>
                      <wps:cNvSpPr/>
                      <wps:spPr>
                        <a:xfrm>
                          <a:off x="0" y="0"/>
                          <a:ext cx="1028700" cy="378459"/>
                        </a:xfrm>
                        <a:prstGeom prst="rect">
                          <a:avLst/>
                        </a:prstGeom>
                        <a:ln>
                          <a:noFill/>
                        </a:ln>
                      </wps:spPr>
                      <wps:txbx>
                        <w:txbxContent>
                          <w:p w14:paraId="187C4384">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调解或认定</w:t>
                            </w:r>
                          </w:p>
                        </w:txbxContent>
                      </wps:txbx>
                      <wps:bodyPr wrap="square"/>
                    </wps:wsp>
                  </a:graphicData>
                </a:graphic>
              </wp:anchor>
            </w:drawing>
          </mc:Choice>
          <mc:Fallback>
            <w:pict>
              <v:rect id="00024f" o:spid="_x0000_s1026" o:spt="1" style="position:absolute;left:0pt;margin-left:-9pt;margin-top:4.7pt;height:29.8pt;width:81pt;z-index:252046336;mso-width-relative:page;mso-height-relative:page;" filled="f" stroked="f" coordsize="21600,21600" o:gfxdata="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BkB3hbYAAAACAEAAA8AAAAAAAAAAQAgAAAAIgAA&#10;AGRycy9kb3ducmV2LnhtbFBLAQIUABQAAAAIAIdO4kCWh1kNlgEAADkDAAAOAAAAAAAAAAEAIAAA&#10;ACcBAABkcnMvZTJvRG9jLnhtbFBLBQYAAAAABgAGAFkBAAAvBQAAAAA=&#10;">
                <v:fill on="f" focussize="0,0"/>
                <v:stroke on="f"/>
                <v:imagedata o:title=""/>
                <o:lock v:ext="edit" aspectratio="f"/>
                <v:textbox>
                  <w:txbxContent>
                    <w:p w14:paraId="187C4384">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调解或认定</w:t>
                      </w:r>
                    </w:p>
                  </w:txbxContent>
                </v:textbox>
              </v:rect>
            </w:pict>
          </mc:Fallback>
        </mc:AlternateContent>
      </w:r>
      <w:r>
        <w:rPr>
          <w:rFonts w:hint="eastAsia" w:hAnsi="宋体" w:eastAsia="宋体" w:cs="宋体"/>
          <w:color w:val="auto"/>
          <w:sz w:val="24"/>
          <w:szCs w:val="24"/>
          <w:highlight w:val="none"/>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14:paraId="555F5E0D">
      <w:pPr>
        <w:pStyle w:val="22"/>
        <w:adjustRightInd w:val="0"/>
        <w:snapToGrid w:val="0"/>
        <w:spacing w:line="300" w:lineRule="auto"/>
        <w:ind w:left="1620"/>
        <w:rPr>
          <w:rFonts w:hint="eastAsia" w:hAnsi="宋体" w:eastAsia="宋体" w:cs="宋体"/>
          <w:color w:val="auto"/>
          <w:sz w:val="24"/>
          <w:szCs w:val="24"/>
          <w:highlight w:val="none"/>
        </w:rPr>
      </w:pPr>
      <w:r>
        <w:rPr>
          <w:rFonts w:hint="eastAsia" w:hAnsi="宋体" w:eastAsia="宋体" w:cs="宋体"/>
          <w:color w:val="auto"/>
          <w:sz w:val="24"/>
          <w:szCs w:val="24"/>
          <w:highlight w:val="none"/>
        </w:rPr>
        <w:t>(1) 建设工程安全监督机构，负责有关工程安全方面争议的调解或认定；</w:t>
      </w:r>
    </w:p>
    <w:p w14:paraId="3D1FBCD8">
      <w:pPr>
        <w:pStyle w:val="22"/>
        <w:adjustRightInd w:val="0"/>
        <w:snapToGrid w:val="0"/>
        <w:spacing w:line="300" w:lineRule="auto"/>
        <w:ind w:left="1620"/>
        <w:rPr>
          <w:rFonts w:hint="eastAsia" w:hAnsi="宋体" w:eastAsia="宋体" w:cs="宋体"/>
          <w:color w:val="auto"/>
          <w:sz w:val="24"/>
          <w:szCs w:val="24"/>
          <w:highlight w:val="none"/>
        </w:rPr>
      </w:pPr>
      <w:r>
        <w:rPr>
          <w:rFonts w:hint="eastAsia" w:hAnsi="宋体" w:eastAsia="宋体" w:cs="宋体"/>
          <w:color w:val="auto"/>
          <w:sz w:val="24"/>
          <w:szCs w:val="24"/>
          <w:highlight w:val="none"/>
        </w:rPr>
        <w:t>(2) 建设工程质量监督机构，负责有关工程质量方面争议的调解或认定；</w:t>
      </w:r>
    </w:p>
    <w:p w14:paraId="312C802C">
      <w:pPr>
        <w:pStyle w:val="22"/>
        <w:adjustRightInd w:val="0"/>
        <w:snapToGrid w:val="0"/>
        <w:spacing w:line="300" w:lineRule="auto"/>
        <w:ind w:left="1620"/>
        <w:rPr>
          <w:rFonts w:hint="eastAsia" w:hAnsi="宋体" w:eastAsia="宋体" w:cs="宋体"/>
          <w:b/>
          <w:bCs/>
          <w:color w:val="auto"/>
          <w:sz w:val="24"/>
          <w:szCs w:val="24"/>
          <w:highlight w:val="none"/>
        </w:rPr>
      </w:pPr>
      <w:r>
        <w:rPr>
          <w:rFonts w:hint="eastAsia" w:hAnsi="宋体" w:eastAsia="宋体" w:cs="宋体"/>
          <w:color w:val="auto"/>
          <w:sz w:val="24"/>
          <w:szCs w:val="24"/>
          <w:highlight w:val="none"/>
        </w:rPr>
        <w:t>(3) 建设工程造价管理机构，负责有关工程造价方面争议的调解或认定。</w:t>
      </w:r>
    </w:p>
    <w:p w14:paraId="0C4B57DC">
      <w:pPr>
        <w:pStyle w:val="22"/>
        <w:tabs>
          <w:tab w:val="left" w:pos="1320"/>
        </w:tabs>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86.5  </w:t>
      </w:r>
      <w:r>
        <w:rPr>
          <w:rFonts w:hint="eastAsia" w:hAnsi="宋体" w:eastAsia="宋体" w:cs="宋体"/>
          <w:b/>
          <w:bCs/>
          <w:color w:val="auto"/>
          <w:sz w:val="24"/>
          <w:szCs w:val="24"/>
          <w:highlight w:val="none"/>
          <w:u w:val="dotted"/>
        </w:rPr>
        <w:t xml:space="preserve">                                                                                                        </w:t>
      </w:r>
    </w:p>
    <w:p w14:paraId="6940363F">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47360" behindDoc="0" locked="0" layoutInCell="1" allowOverlap="1">
                <wp:simplePos x="0" y="0"/>
                <wp:positionH relativeFrom="column">
                  <wp:posOffset>-114300</wp:posOffset>
                </wp:positionH>
                <wp:positionV relativeFrom="paragraph">
                  <wp:posOffset>31750</wp:posOffset>
                </wp:positionV>
                <wp:extent cx="914400" cy="464820"/>
                <wp:effectExtent l="0" t="0" r="0" b="0"/>
                <wp:wrapNone/>
                <wp:docPr id="1405" name="000250"/>
                <wp:cNvGraphicFramePr/>
                <a:graphic xmlns:a="http://schemas.openxmlformats.org/drawingml/2006/main">
                  <a:graphicData uri="http://schemas.microsoft.com/office/word/2010/wordprocessingShape">
                    <wps:wsp>
                      <wps:cNvSpPr/>
                      <wps:spPr>
                        <a:xfrm>
                          <a:off x="0" y="0"/>
                          <a:ext cx="914400" cy="464820"/>
                        </a:xfrm>
                        <a:prstGeom prst="rect">
                          <a:avLst/>
                        </a:prstGeom>
                        <a:ln>
                          <a:noFill/>
                        </a:ln>
                      </wps:spPr>
                      <wps:txbx>
                        <w:txbxContent>
                          <w:p w14:paraId="2148DD1C">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调解或认定结果的确认</w:t>
                            </w:r>
                          </w:p>
                        </w:txbxContent>
                      </wps:txbx>
                      <wps:bodyPr wrap="square"/>
                    </wps:wsp>
                  </a:graphicData>
                </a:graphic>
              </wp:anchor>
            </w:drawing>
          </mc:Choice>
          <mc:Fallback>
            <w:pict>
              <v:rect id="000250" o:spid="_x0000_s1026" o:spt="1" style="position:absolute;left:0pt;margin-left:-9pt;margin-top:2.5pt;height:36.6pt;width:72pt;z-index:252047360;mso-width-relative:page;mso-height-relative:page;" filled="f" stroked="f" coordsize="21600,21600" o:gfxdata="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MU2eIDZAAAACAEAAA8AAAAAAAAAAQAgAAAAIgAA&#10;AGRycy9kb3ducmV2LnhtbFBLAQIUABQAAAAIAIdO4kBfYA1PlQEAADgDAAAOAAAAAAAAAAEAIAAA&#10;ACgBAABkcnMvZTJvRG9jLnhtbFBLBQYAAAAABgAGAFkBAAAvBQAAAAA=&#10;">
                <v:fill on="f" focussize="0,0"/>
                <v:stroke on="f"/>
                <v:imagedata o:title=""/>
                <o:lock v:ext="edit" aspectratio="f"/>
                <v:textbox>
                  <w:txbxContent>
                    <w:p w14:paraId="2148DD1C">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调解或认定结果的确认</w:t>
                      </w:r>
                    </w:p>
                  </w:txbxContent>
                </v:textbox>
              </v:rect>
            </w:pict>
          </mc:Fallback>
        </mc:AlternateContent>
      </w:r>
      <w:r>
        <w:rPr>
          <w:rFonts w:hint="eastAsia" w:hAnsi="宋体" w:eastAsia="宋体" w:cs="宋体"/>
          <w:color w:val="auto"/>
          <w:sz w:val="24"/>
          <w:szCs w:val="24"/>
          <w:highlight w:val="none"/>
        </w:rPr>
        <w:t>合同双方当事人应在收到争议调解或认定机构书面结果后的28天内，对调解或认定结果以书面形式予以确认。</w:t>
      </w:r>
    </w:p>
    <w:p w14:paraId="40FD1587">
      <w:pPr>
        <w:pStyle w:val="22"/>
        <w:tabs>
          <w:tab w:val="left" w:pos="1320"/>
        </w:tabs>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86.6  </w:t>
      </w:r>
      <w:r>
        <w:rPr>
          <w:rFonts w:hint="eastAsia" w:hAnsi="宋体" w:eastAsia="宋体" w:cs="宋体"/>
          <w:b/>
          <w:bCs/>
          <w:color w:val="auto"/>
          <w:sz w:val="24"/>
          <w:szCs w:val="24"/>
          <w:highlight w:val="none"/>
          <w:u w:val="dotted"/>
        </w:rPr>
        <w:t xml:space="preserve">                                                                                                        </w:t>
      </w:r>
    </w:p>
    <w:p w14:paraId="4B328090">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48384"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1406" name="000251"/>
                <wp:cNvGraphicFramePr/>
                <a:graphic xmlns:a="http://schemas.openxmlformats.org/drawingml/2006/main">
                  <a:graphicData uri="http://schemas.microsoft.com/office/word/2010/wordprocessingShape">
                    <wps:wsp>
                      <wps:cNvSpPr/>
                      <wps:spPr>
                        <a:xfrm>
                          <a:off x="0" y="0"/>
                          <a:ext cx="1028700" cy="334645"/>
                        </a:xfrm>
                        <a:prstGeom prst="rect">
                          <a:avLst/>
                        </a:prstGeom>
                        <a:ln>
                          <a:noFill/>
                        </a:ln>
                      </wps:spPr>
                      <wps:txbx>
                        <w:txbxContent>
                          <w:p w14:paraId="0C791515">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仲裁或诉讼</w:t>
                            </w:r>
                          </w:p>
                        </w:txbxContent>
                      </wps:txbx>
                      <wps:bodyPr wrap="square"/>
                    </wps:wsp>
                  </a:graphicData>
                </a:graphic>
              </wp:anchor>
            </w:drawing>
          </mc:Choice>
          <mc:Fallback>
            <w:pict>
              <v:rect id="000251" o:spid="_x0000_s1026" o:spt="1" style="position:absolute;left:0pt;margin-left:-9pt;margin-top:0.95pt;height:26.35pt;width:81pt;z-index:252048384;mso-width-relative:page;mso-height-relative:page;" filled="f" stroked="f" coordsize="21600,21600" o:gfxdata="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BYea0fYAAAACAEAAA8AAAAAAAAAAQAgAAAAIgAA&#10;AGRycy9kb3ducmV2LnhtbFBLAQIUABQAAAAIAIdO4kA/T+5ZlgEAADkDAAAOAAAAAAAAAAEAIAAA&#10;ACcBAABkcnMvZTJvRG9jLnhtbFBLBQYAAAAABgAGAFkBAAAvBQAAAAA=&#10;">
                <v:fill on="f" focussize="0,0"/>
                <v:stroke on="f"/>
                <v:imagedata o:title=""/>
                <o:lock v:ext="edit" aspectratio="f"/>
                <v:textbox>
                  <w:txbxContent>
                    <w:p w14:paraId="0C791515">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仲裁或诉讼</w:t>
                      </w:r>
                    </w:p>
                  </w:txbxContent>
                </v:textbox>
              </v:rect>
            </w:pict>
          </mc:Fallback>
        </mc:AlternateContent>
      </w:r>
      <w:r>
        <w:rPr>
          <w:rFonts w:hint="eastAsia" w:hAnsi="宋体" w:eastAsia="宋体" w:cs="宋体"/>
          <w:color w:val="auto"/>
          <w:sz w:val="24"/>
          <w:szCs w:val="24"/>
          <w:highlight w:val="none"/>
        </w:rPr>
        <w:t>若合同双方或一方当事人在收到争议调解或认定机构的书面结果后明确表示不同意，或在28天内没有书面确认，任何一方均可按照专用条款约定的下列任一种方式解决争议：</w:t>
      </w:r>
    </w:p>
    <w:p w14:paraId="062D055F">
      <w:pPr>
        <w:pStyle w:val="22"/>
        <w:adjustRightInd w:val="0"/>
        <w:snapToGrid w:val="0"/>
        <w:spacing w:line="300" w:lineRule="auto"/>
        <w:ind w:left="1620"/>
        <w:rPr>
          <w:rFonts w:hint="eastAsia" w:hAnsi="宋体" w:eastAsia="宋体" w:cs="宋体"/>
          <w:color w:val="auto"/>
          <w:sz w:val="24"/>
          <w:szCs w:val="24"/>
          <w:highlight w:val="none"/>
        </w:rPr>
      </w:pPr>
      <w:r>
        <w:rPr>
          <w:rFonts w:hint="eastAsia" w:hAnsi="宋体" w:eastAsia="宋体" w:cs="宋体"/>
          <w:color w:val="auto"/>
          <w:sz w:val="24"/>
          <w:szCs w:val="24"/>
          <w:highlight w:val="none"/>
        </w:rPr>
        <w:t>(1) 向约定的仲裁委员会申请仲裁；</w:t>
      </w:r>
    </w:p>
    <w:p w14:paraId="56AE1FD1">
      <w:pPr>
        <w:pStyle w:val="22"/>
        <w:adjustRightInd w:val="0"/>
        <w:snapToGrid w:val="0"/>
        <w:spacing w:line="300" w:lineRule="auto"/>
        <w:ind w:left="1620"/>
        <w:rPr>
          <w:rFonts w:hint="eastAsia" w:hAnsi="宋体" w:eastAsia="宋体" w:cs="宋体"/>
          <w:color w:val="auto"/>
          <w:sz w:val="24"/>
          <w:szCs w:val="24"/>
          <w:highlight w:val="none"/>
        </w:rPr>
      </w:pPr>
      <w:r>
        <w:rPr>
          <w:rFonts w:hint="eastAsia" w:hAnsi="宋体" w:eastAsia="宋体" w:cs="宋体"/>
          <w:color w:val="auto"/>
          <w:sz w:val="24"/>
          <w:szCs w:val="24"/>
          <w:highlight w:val="none"/>
        </w:rPr>
        <w:t>(2) 向有管辖权的人民法院提起诉讼。</w:t>
      </w:r>
    </w:p>
    <w:p w14:paraId="2EF30526">
      <w:pPr>
        <w:pStyle w:val="22"/>
        <w:adjustRightInd w:val="0"/>
        <w:snapToGrid w:val="0"/>
        <w:spacing w:line="300" w:lineRule="auto"/>
        <w:ind w:left="1620"/>
        <w:rPr>
          <w:rFonts w:hint="eastAsia" w:hAnsi="宋体" w:eastAsia="宋体" w:cs="宋体"/>
          <w:color w:val="auto"/>
          <w:sz w:val="24"/>
          <w:szCs w:val="24"/>
          <w:highlight w:val="none"/>
        </w:rPr>
      </w:pPr>
    </w:p>
    <w:p w14:paraId="7F3B3843">
      <w:pPr>
        <w:pStyle w:val="22"/>
        <w:tabs>
          <w:tab w:val="left" w:pos="1320"/>
        </w:tabs>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86.7  </w:t>
      </w:r>
      <w:r>
        <w:rPr>
          <w:rFonts w:hint="eastAsia" w:hAnsi="宋体" w:eastAsia="宋体" w:cs="宋体"/>
          <w:b/>
          <w:bCs/>
          <w:color w:val="auto"/>
          <w:sz w:val="24"/>
          <w:szCs w:val="24"/>
          <w:highlight w:val="none"/>
          <w:u w:val="dotted"/>
        </w:rPr>
        <w:t xml:space="preserve">                                                                                                        </w:t>
      </w:r>
    </w:p>
    <w:p w14:paraId="415CF1E3">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49408"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1407" name="000252"/>
                <wp:cNvGraphicFramePr/>
                <a:graphic xmlns:a="http://schemas.openxmlformats.org/drawingml/2006/main">
                  <a:graphicData uri="http://schemas.microsoft.com/office/word/2010/wordprocessingShape">
                    <wps:wsp>
                      <wps:cNvSpPr/>
                      <wps:spPr>
                        <a:xfrm>
                          <a:off x="0" y="0"/>
                          <a:ext cx="914400" cy="460375"/>
                        </a:xfrm>
                        <a:prstGeom prst="rect">
                          <a:avLst/>
                        </a:prstGeom>
                        <a:ln>
                          <a:noFill/>
                        </a:ln>
                      </wps:spPr>
                      <wps:txbx>
                        <w:txbxContent>
                          <w:p w14:paraId="73E24A37">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争议期间继续施工</w:t>
                            </w:r>
                          </w:p>
                        </w:txbxContent>
                      </wps:txbx>
                      <wps:bodyPr wrap="square"/>
                    </wps:wsp>
                  </a:graphicData>
                </a:graphic>
              </wp:anchor>
            </w:drawing>
          </mc:Choice>
          <mc:Fallback>
            <w:pict>
              <v:rect id="000252" o:spid="_x0000_s1026" o:spt="1" style="position:absolute;left:0pt;margin-left:-9pt;margin-top:1.25pt;height:36.25pt;width:72pt;z-index:252049408;mso-width-relative:page;mso-height-relative:page;" filled="f" stroked="f" coordsize="21600,21600" o:gfxdata="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ETTj9vYAAAACAEAAA8AAAAAAAAAAQAgAAAAIgAA&#10;AGRycy9kb3ducmV2LnhtbFBLAQIUABQAAAAIAIdO4kDfNb2OlgEAADgDAAAOAAAAAAAAAAEAIAAA&#10;ACcBAABkcnMvZTJvRG9jLnhtbFBLBQYAAAAABgAGAFkBAAAvBQAAAAA=&#10;">
                <v:fill on="f" focussize="0,0"/>
                <v:stroke on="f"/>
                <v:imagedata o:title=""/>
                <o:lock v:ext="edit" aspectratio="f"/>
                <v:textbox>
                  <w:txbxContent>
                    <w:p w14:paraId="73E24A37">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争议期间继续施工</w:t>
                      </w:r>
                    </w:p>
                  </w:txbxContent>
                </v:textbox>
              </v:rect>
            </w:pict>
          </mc:Fallback>
        </mc:AlternateContent>
      </w:r>
      <w:r>
        <w:rPr>
          <w:rFonts w:hint="eastAsia" w:hAnsi="宋体" w:eastAsia="宋体" w:cs="宋体"/>
          <w:color w:val="auto"/>
          <w:sz w:val="24"/>
          <w:szCs w:val="24"/>
          <w:highlight w:val="none"/>
        </w:rPr>
        <w:t>争议期间，除下列情况停止施工外，合同双方当事人都应继续履行合同，保持工程连续施工，保护好已完工程：</w:t>
      </w:r>
    </w:p>
    <w:p w14:paraId="7CFA8623">
      <w:pPr>
        <w:pStyle w:val="22"/>
        <w:adjustRightInd w:val="0"/>
        <w:snapToGrid w:val="0"/>
        <w:spacing w:line="300" w:lineRule="auto"/>
        <w:ind w:left="1620"/>
        <w:rPr>
          <w:rFonts w:hint="eastAsia" w:hAnsi="宋体" w:eastAsia="宋体" w:cs="宋体"/>
          <w:color w:val="auto"/>
          <w:sz w:val="24"/>
          <w:szCs w:val="24"/>
          <w:highlight w:val="none"/>
        </w:rPr>
      </w:pPr>
      <w:r>
        <w:rPr>
          <w:rFonts w:hint="eastAsia" w:hAnsi="宋体" w:eastAsia="宋体" w:cs="宋体"/>
          <w:color w:val="auto"/>
          <w:sz w:val="24"/>
          <w:szCs w:val="24"/>
          <w:highlight w:val="none"/>
        </w:rPr>
        <w:t>(1) 合同双方当事人协商同意；</w:t>
      </w:r>
    </w:p>
    <w:p w14:paraId="51CFF4D2">
      <w:pPr>
        <w:pStyle w:val="22"/>
        <w:adjustRightInd w:val="0"/>
        <w:snapToGrid w:val="0"/>
        <w:spacing w:line="300" w:lineRule="auto"/>
        <w:ind w:left="1620"/>
        <w:rPr>
          <w:rFonts w:hint="eastAsia" w:hAnsi="宋体" w:eastAsia="宋体" w:cs="宋体"/>
          <w:color w:val="auto"/>
          <w:sz w:val="24"/>
          <w:szCs w:val="24"/>
          <w:highlight w:val="none"/>
        </w:rPr>
      </w:pPr>
      <w:r>
        <w:rPr>
          <w:rFonts w:hint="eastAsia" w:hAnsi="宋体" w:eastAsia="宋体" w:cs="宋体"/>
          <w:color w:val="auto"/>
          <w:sz w:val="24"/>
          <w:szCs w:val="24"/>
          <w:highlight w:val="none"/>
        </w:rPr>
        <w:t>(2) 合同一方当事人违约导致合同无法履行；</w:t>
      </w:r>
    </w:p>
    <w:p w14:paraId="4387EF27">
      <w:pPr>
        <w:pStyle w:val="22"/>
        <w:adjustRightInd w:val="0"/>
        <w:snapToGrid w:val="0"/>
        <w:spacing w:line="300" w:lineRule="auto"/>
        <w:ind w:left="1620"/>
        <w:rPr>
          <w:rFonts w:hint="eastAsia" w:hAnsi="宋体" w:eastAsia="宋体" w:cs="宋体"/>
          <w:color w:val="auto"/>
          <w:sz w:val="24"/>
          <w:szCs w:val="24"/>
          <w:highlight w:val="none"/>
        </w:rPr>
      </w:pPr>
      <w:r>
        <w:rPr>
          <w:rFonts w:hint="eastAsia" w:hAnsi="宋体" w:eastAsia="宋体" w:cs="宋体"/>
          <w:color w:val="auto"/>
          <w:sz w:val="24"/>
          <w:szCs w:val="24"/>
          <w:highlight w:val="none"/>
        </w:rPr>
        <w:t>(3) 工程造价管理机构调解需要，且合同双方当事人同意；</w:t>
      </w:r>
    </w:p>
    <w:p w14:paraId="671CA6F8">
      <w:pPr>
        <w:pStyle w:val="22"/>
        <w:adjustRightInd w:val="0"/>
        <w:snapToGrid w:val="0"/>
        <w:spacing w:line="300" w:lineRule="auto"/>
        <w:ind w:left="1620"/>
        <w:rPr>
          <w:rFonts w:hint="eastAsia" w:hAnsi="宋体" w:eastAsia="宋体" w:cs="宋体"/>
          <w:color w:val="auto"/>
          <w:sz w:val="24"/>
          <w:szCs w:val="24"/>
          <w:highlight w:val="none"/>
        </w:rPr>
      </w:pPr>
      <w:r>
        <w:rPr>
          <w:rFonts w:hint="eastAsia" w:hAnsi="宋体" w:eastAsia="宋体" w:cs="宋体"/>
          <w:color w:val="auto"/>
          <w:sz w:val="24"/>
          <w:szCs w:val="24"/>
          <w:highlight w:val="none"/>
        </w:rPr>
        <w:t>(4) 仲裁委员会仲裁需要，且合同双方当事人同意：</w:t>
      </w:r>
    </w:p>
    <w:p w14:paraId="0DE44E08">
      <w:pPr>
        <w:pStyle w:val="22"/>
        <w:adjustRightInd w:val="0"/>
        <w:snapToGrid w:val="0"/>
        <w:spacing w:line="300" w:lineRule="auto"/>
        <w:ind w:firstLine="1560" w:firstLineChars="650"/>
        <w:rPr>
          <w:rFonts w:hint="eastAsia" w:hAnsi="宋体" w:eastAsia="宋体" w:cs="宋体"/>
          <w:color w:val="auto"/>
          <w:sz w:val="24"/>
          <w:szCs w:val="24"/>
          <w:highlight w:val="none"/>
        </w:rPr>
      </w:pPr>
      <w:r>
        <w:rPr>
          <w:rFonts w:hint="eastAsia" w:hAnsi="宋体" w:eastAsia="宋体" w:cs="宋体"/>
          <w:color w:val="auto"/>
          <w:sz w:val="24"/>
          <w:szCs w:val="24"/>
          <w:highlight w:val="none"/>
        </w:rPr>
        <w:t>(5) 人民法院诉讼需要。</w:t>
      </w:r>
    </w:p>
    <w:p w14:paraId="3B8E5105">
      <w:pPr>
        <w:pStyle w:val="22"/>
        <w:tabs>
          <w:tab w:val="left" w:pos="1620"/>
        </w:tabs>
        <w:adjustRightInd w:val="0"/>
        <w:snapToGrid w:val="0"/>
        <w:spacing w:line="300" w:lineRule="auto"/>
        <w:ind w:right="-240"/>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3862B48B">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200" w:name="_Toc46860893"/>
      <w:bookmarkStart w:id="201" w:name="_Toc469384071"/>
      <w:r>
        <w:rPr>
          <w:rFonts w:hint="eastAsia" w:hAnsi="宋体" w:eastAsia="宋体" w:cs="宋体"/>
          <w:b/>
          <w:bCs/>
          <w:color w:val="auto"/>
          <w:sz w:val="24"/>
          <w:szCs w:val="24"/>
          <w:highlight w:val="none"/>
        </w:rPr>
        <w:t>87  合同解除</w:t>
      </w:r>
      <w:bookmarkEnd w:id="200"/>
      <w:bookmarkEnd w:id="201"/>
    </w:p>
    <w:p w14:paraId="24777CC1">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87.1   </w:t>
      </w:r>
    </w:p>
    <w:p w14:paraId="1F1D2BF7">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50432"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1408" name="000253"/>
                <wp:cNvGraphicFramePr/>
                <a:graphic xmlns:a="http://schemas.openxmlformats.org/drawingml/2006/main">
                  <a:graphicData uri="http://schemas.microsoft.com/office/word/2010/wordprocessingShape">
                    <wps:wsp>
                      <wps:cNvSpPr/>
                      <wps:spPr>
                        <a:xfrm>
                          <a:off x="0" y="0"/>
                          <a:ext cx="1028700" cy="263525"/>
                        </a:xfrm>
                        <a:prstGeom prst="rect">
                          <a:avLst/>
                        </a:prstGeom>
                        <a:ln>
                          <a:noFill/>
                        </a:ln>
                      </wps:spPr>
                      <wps:txbx>
                        <w:txbxContent>
                          <w:p w14:paraId="45919996">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协商一致解除</w:t>
                            </w:r>
                          </w:p>
                        </w:txbxContent>
                      </wps:txbx>
                      <wps:bodyPr wrap="square"/>
                    </wps:wsp>
                  </a:graphicData>
                </a:graphic>
              </wp:anchor>
            </w:drawing>
          </mc:Choice>
          <mc:Fallback>
            <w:pict>
              <v:rect id="000253" o:spid="_x0000_s1026" o:spt="1" style="position:absolute;left:0pt;margin-left:-9pt;margin-top:-0.3pt;height:20.75pt;width:81pt;z-index:252050432;mso-width-relative:page;mso-height-relative:page;" filled="f" stroked="f" coordsize="21600,21600" o:gfxdata="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CTVGinYAAAACAEAAA8AAAAAAAAAAQAgAAAAIgAA&#10;AGRycy9kb3ducmV2LnhtbFBLAQIUABQAAAAIAIdO4kCfHws5lgEAADkDAAAOAAAAAAAAAAEAIAAA&#10;ACcBAABkcnMvZTJvRG9jLnhtbFBLBQYAAAAABgAGAFkBAAAvBQAAAAA=&#10;">
                <v:fill on="f" focussize="0,0"/>
                <v:stroke on="f"/>
                <v:imagedata o:title=""/>
                <o:lock v:ext="edit" aspectratio="f"/>
                <v:textbox>
                  <w:txbxContent>
                    <w:p w14:paraId="45919996">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协商一致解除</w:t>
                      </w:r>
                    </w:p>
                  </w:txbxContent>
                </v:textbox>
              </v:rect>
            </w:pict>
          </mc:Fallback>
        </mc:AlternateContent>
      </w:r>
      <w:r>
        <w:rPr>
          <w:rFonts w:hint="eastAsia" w:hAnsi="宋体" w:eastAsia="宋体" w:cs="宋体"/>
          <w:color w:val="auto"/>
          <w:sz w:val="24"/>
          <w:szCs w:val="24"/>
          <w:highlight w:val="none"/>
        </w:rPr>
        <w:t>合同双方当事人协商一致，可以解除合同。</w:t>
      </w:r>
    </w:p>
    <w:p w14:paraId="3A60C9D4">
      <w:pPr>
        <w:spacing w:line="300" w:lineRule="auto"/>
        <w:rPr>
          <w:rFonts w:hint="eastAsia" w:ascii="宋体" w:hAnsi="宋体" w:eastAsia="宋体" w:cs="宋体"/>
          <w:color w:val="auto"/>
          <w:sz w:val="24"/>
          <w:highlight w:val="none"/>
        </w:rPr>
      </w:pPr>
    </w:p>
    <w:p w14:paraId="4A6B3327">
      <w:pPr>
        <w:pStyle w:val="22"/>
        <w:tabs>
          <w:tab w:val="left" w:pos="1320"/>
        </w:tabs>
        <w:adjustRightInd w:val="0"/>
        <w:snapToGrid w:val="0"/>
        <w:spacing w:line="300" w:lineRule="auto"/>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51456" behindDoc="0" locked="0" layoutInCell="1" allowOverlap="1">
                <wp:simplePos x="0" y="0"/>
                <wp:positionH relativeFrom="column">
                  <wp:posOffset>-114300</wp:posOffset>
                </wp:positionH>
                <wp:positionV relativeFrom="paragraph">
                  <wp:posOffset>291465</wp:posOffset>
                </wp:positionV>
                <wp:extent cx="914400" cy="495300"/>
                <wp:effectExtent l="0" t="0" r="0" b="0"/>
                <wp:wrapNone/>
                <wp:docPr id="1409" name="000254"/>
                <wp:cNvGraphicFramePr/>
                <a:graphic xmlns:a="http://schemas.openxmlformats.org/drawingml/2006/main">
                  <a:graphicData uri="http://schemas.microsoft.com/office/word/2010/wordprocessingShape">
                    <wps:wsp>
                      <wps:cNvSpPr/>
                      <wps:spPr>
                        <a:xfrm>
                          <a:off x="0" y="0"/>
                          <a:ext cx="914400" cy="495300"/>
                        </a:xfrm>
                        <a:prstGeom prst="rect">
                          <a:avLst/>
                        </a:prstGeom>
                        <a:ln>
                          <a:noFill/>
                        </a:ln>
                      </wps:spPr>
                      <wps:txbx>
                        <w:txbxContent>
                          <w:p w14:paraId="46E649F4">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不可抗力导致解除</w:t>
                            </w:r>
                          </w:p>
                        </w:txbxContent>
                      </wps:txbx>
                      <wps:bodyPr wrap="square"/>
                    </wps:wsp>
                  </a:graphicData>
                </a:graphic>
              </wp:anchor>
            </w:drawing>
          </mc:Choice>
          <mc:Fallback>
            <w:pict>
              <v:rect id="000254" o:spid="_x0000_s1026" o:spt="1" style="position:absolute;left:0pt;margin-left:-9pt;margin-top:22.95pt;height:39pt;width:72pt;z-index:252051456;mso-width-relative:page;mso-height-relative:page;" filled="f" stroked="f" coordsize="21600,21600" o:gfxdata="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I0HyNsAAAAKAQAADwAAAAAAAAABACAAAAAi&#10;AAAAZHJzL2Rvd25yZXYueG1sUEsBAhQAFAAAAAgAh07iQNoMv7GVAQAAOAMAAA4AAAAAAAAAAQAg&#10;AAAAKgEAAGRycy9lMm9Eb2MueG1sUEsFBgAAAAAGAAYAWQEAADEFAAAAAA==&#10;">
                <v:fill on="f" focussize="0,0"/>
                <v:stroke on="f"/>
                <v:imagedata o:title=""/>
                <o:lock v:ext="edit" aspectratio="f"/>
                <v:textbox>
                  <w:txbxContent>
                    <w:p w14:paraId="46E649F4">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不可抗力导致解除</w:t>
                      </w:r>
                    </w:p>
                  </w:txbxContent>
                </v:textbox>
              </v:rect>
            </w:pict>
          </mc:Fallback>
        </mc:AlternateContent>
      </w:r>
      <w:r>
        <w:rPr>
          <w:rFonts w:hint="eastAsia" w:hAnsi="宋体" w:eastAsia="宋体" w:cs="宋体"/>
          <w:b/>
          <w:bCs/>
          <w:color w:val="auto"/>
          <w:sz w:val="24"/>
          <w:szCs w:val="24"/>
          <w:highlight w:val="none"/>
        </w:rPr>
        <w:t xml:space="preserve">87.2  </w:t>
      </w:r>
      <w:r>
        <w:rPr>
          <w:rFonts w:hint="eastAsia" w:hAnsi="宋体" w:eastAsia="宋体" w:cs="宋体"/>
          <w:b/>
          <w:bCs/>
          <w:color w:val="auto"/>
          <w:sz w:val="24"/>
          <w:szCs w:val="24"/>
          <w:highlight w:val="none"/>
          <w:u w:val="dotted"/>
        </w:rPr>
        <w:t xml:space="preserve">  </w:t>
      </w:r>
      <w:r>
        <w:rPr>
          <w:rFonts w:hint="eastAsia" w:hAnsi="宋体" w:eastAsia="宋体" w:cs="宋体"/>
          <w:color w:val="auto"/>
          <w:sz w:val="24"/>
          <w:szCs w:val="24"/>
          <w:highlight w:val="none"/>
          <w:u w:val="dotted"/>
        </w:rPr>
        <w:t xml:space="preserve">                                                                                                      </w:t>
      </w:r>
    </w:p>
    <w:p w14:paraId="5784DF97">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因不可抗力事件致使合同无法继续履行的，合同双方当事人可以解除合同。</w:t>
      </w:r>
    </w:p>
    <w:p w14:paraId="2A2C6B82">
      <w:pPr>
        <w:spacing w:line="300" w:lineRule="auto"/>
        <w:rPr>
          <w:rFonts w:hint="eastAsia" w:ascii="宋体" w:hAnsi="宋体" w:eastAsia="宋体" w:cs="宋体"/>
          <w:color w:val="auto"/>
          <w:sz w:val="24"/>
          <w:highlight w:val="none"/>
        </w:rPr>
      </w:pPr>
    </w:p>
    <w:p w14:paraId="0F2FE108">
      <w:pPr>
        <w:pStyle w:val="22"/>
        <w:tabs>
          <w:tab w:val="left" w:pos="1320"/>
        </w:tabs>
        <w:adjustRightInd w:val="0"/>
        <w:snapToGrid w:val="0"/>
        <w:spacing w:line="300" w:lineRule="auto"/>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 xml:space="preserve">87.3 </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1F338FAF">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52480"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1410" name="000255"/>
                <wp:cNvGraphicFramePr/>
                <a:graphic xmlns:a="http://schemas.openxmlformats.org/drawingml/2006/main">
                  <a:graphicData uri="http://schemas.microsoft.com/office/word/2010/wordprocessingShape">
                    <wps:wsp>
                      <wps:cNvSpPr/>
                      <wps:spPr>
                        <a:xfrm>
                          <a:off x="0" y="0"/>
                          <a:ext cx="914400" cy="404494"/>
                        </a:xfrm>
                        <a:prstGeom prst="rect">
                          <a:avLst/>
                        </a:prstGeom>
                        <a:ln>
                          <a:noFill/>
                        </a:ln>
                      </wps:spPr>
                      <wps:txbx>
                        <w:txbxContent>
                          <w:p w14:paraId="190F97AE">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因承包人的原因解除</w:t>
                            </w:r>
                          </w:p>
                        </w:txbxContent>
                      </wps:txbx>
                      <wps:bodyPr wrap="square"/>
                    </wps:wsp>
                  </a:graphicData>
                </a:graphic>
              </wp:anchor>
            </w:drawing>
          </mc:Choice>
          <mc:Fallback>
            <w:pict>
              <v:rect id="000255" o:spid="_x0000_s1026" o:spt="1" style="position:absolute;left:0pt;margin-left:-9pt;margin-top:2.95pt;height:31.85pt;width:72pt;z-index:252052480;mso-width-relative:page;mso-height-relative:page;" filled="f" stroked="f" coordsize="21600,21600" o:gfxdata="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E5n122AAAAAgBAAAPAAAAAAAAAAEAIAAAACIAAABk&#10;cnMvZG93bnJldi54bWxQSwECFAAUAAAACACHTuJAof3F1JQBAAA4AwAADgAAAAAAAAABACAAAAAn&#10;AQAAZHJzL2Uyb0RvYy54bWxQSwUGAAAAAAYABgBZAQAALQUAAAAA&#10;">
                <v:fill on="f" focussize="0,0"/>
                <v:stroke on="f"/>
                <v:imagedata o:title=""/>
                <o:lock v:ext="edit" aspectratio="f"/>
                <v:textbox>
                  <w:txbxContent>
                    <w:p w14:paraId="190F97AE">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因承包人的原因解除</w:t>
                      </w:r>
                    </w:p>
                  </w:txbxContent>
                </v:textbox>
              </v:rect>
            </w:pict>
          </mc:Fallback>
        </mc:AlternateContent>
      </w:r>
      <w:r>
        <w:rPr>
          <w:rFonts w:hint="eastAsia" w:hAnsi="宋体" w:eastAsia="宋体" w:cs="宋体"/>
          <w:color w:val="auto"/>
          <w:sz w:val="24"/>
          <w:szCs w:val="24"/>
          <w:highlight w:val="none"/>
        </w:rPr>
        <w:t>承包人有下列情形之一者，发包人可以解除合同：</w:t>
      </w:r>
    </w:p>
    <w:p w14:paraId="48720A7D">
      <w:pPr>
        <w:pStyle w:val="22"/>
        <w:numPr>
          <w:ilvl w:val="0"/>
          <w:numId w:val="27"/>
        </w:numPr>
        <w:adjustRightInd w:val="0"/>
        <w:snapToGrid w:val="0"/>
        <w:spacing w:line="300" w:lineRule="auto"/>
        <w:ind w:left="1618" w:leftChars="770" w:hanging="1"/>
        <w:rPr>
          <w:rFonts w:hint="eastAsia" w:hAnsi="宋体" w:eastAsia="宋体" w:cs="宋体"/>
          <w:color w:val="auto"/>
          <w:sz w:val="24"/>
          <w:szCs w:val="24"/>
          <w:highlight w:val="none"/>
        </w:rPr>
      </w:pPr>
      <w:r>
        <w:rPr>
          <w:rFonts w:hint="eastAsia" w:hAnsi="宋体" w:eastAsia="宋体" w:cs="宋体"/>
          <w:color w:val="auto"/>
          <w:sz w:val="24"/>
          <w:szCs w:val="24"/>
          <w:highlight w:val="none"/>
        </w:rPr>
        <w:t>承包人未能按照第34.2款规定的开工期限内开工，经监理工程师催告后的28天内仍未开工的；</w:t>
      </w:r>
    </w:p>
    <w:p w14:paraId="37116D6D">
      <w:pPr>
        <w:pStyle w:val="22"/>
        <w:numPr>
          <w:ilvl w:val="0"/>
          <w:numId w:val="27"/>
        </w:numPr>
        <w:adjustRightInd w:val="0"/>
        <w:snapToGrid w:val="0"/>
        <w:spacing w:line="300" w:lineRule="auto"/>
        <w:ind w:left="1621" w:leftChars="771" w:hanging="2"/>
        <w:rPr>
          <w:rFonts w:hint="eastAsia" w:hAnsi="宋体" w:eastAsia="宋体" w:cs="宋体"/>
          <w:color w:val="auto"/>
          <w:sz w:val="24"/>
          <w:szCs w:val="24"/>
          <w:highlight w:val="none"/>
        </w:rPr>
      </w:pPr>
      <w:r>
        <w:rPr>
          <w:rFonts w:hint="eastAsia" w:hAnsi="宋体" w:eastAsia="宋体" w:cs="宋体"/>
          <w:color w:val="auto"/>
          <w:sz w:val="24"/>
          <w:szCs w:val="24"/>
          <w:highlight w:val="none"/>
        </w:rPr>
        <w:t>按照第33条规定的进度计划未表明有停工且监理工程师也未按照第35.1款规定发出暂停施工令，但承包人停止施工时间持续达56天或累计停止施工时间达70天的；</w:t>
      </w:r>
    </w:p>
    <w:p w14:paraId="715193A8">
      <w:pPr>
        <w:pStyle w:val="22"/>
        <w:numPr>
          <w:ilvl w:val="0"/>
          <w:numId w:val="27"/>
        </w:numPr>
        <w:adjustRightInd w:val="0"/>
        <w:snapToGrid w:val="0"/>
        <w:spacing w:line="300" w:lineRule="auto"/>
        <w:ind w:left="1659" w:leftChars="770" w:hanging="42"/>
        <w:rPr>
          <w:rFonts w:hint="eastAsia" w:hAnsi="宋体" w:eastAsia="宋体" w:cs="宋体"/>
          <w:color w:val="auto"/>
          <w:sz w:val="24"/>
          <w:szCs w:val="24"/>
          <w:highlight w:val="none"/>
        </w:rPr>
      </w:pPr>
      <w:r>
        <w:rPr>
          <w:rFonts w:hint="eastAsia" w:hAnsi="宋体" w:eastAsia="宋体" w:cs="宋体"/>
          <w:color w:val="auto"/>
          <w:sz w:val="24"/>
          <w:szCs w:val="24"/>
          <w:highlight w:val="none"/>
        </w:rPr>
        <w:t>承包人违反第18.1款或第51.4款规定未经监理工程师批准，私自将已按照合同约定进入施工现场的施工设备、临时设施或材料运出施工现场的；</w:t>
      </w:r>
    </w:p>
    <w:p w14:paraId="6BBDD710">
      <w:pPr>
        <w:pStyle w:val="22"/>
        <w:numPr>
          <w:ilvl w:val="0"/>
          <w:numId w:val="27"/>
        </w:numPr>
        <w:adjustRightInd w:val="0"/>
        <w:snapToGrid w:val="0"/>
        <w:spacing w:line="300" w:lineRule="auto"/>
        <w:ind w:left="1678" w:leftChars="799" w:firstLine="2"/>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承包人拖延完工且能偿付的误期赔偿费已达到专用条款约定最高限额的； </w:t>
      </w:r>
    </w:p>
    <w:p w14:paraId="35134ED2">
      <w:pPr>
        <w:pStyle w:val="22"/>
        <w:numPr>
          <w:ilvl w:val="0"/>
          <w:numId w:val="27"/>
        </w:numPr>
        <w:adjustRightInd w:val="0"/>
        <w:snapToGrid w:val="0"/>
        <w:spacing w:line="300" w:lineRule="auto"/>
        <w:ind w:left="2096" w:leftChars="771" w:hanging="477" w:hangingChars="199"/>
        <w:rPr>
          <w:rFonts w:hint="eastAsia" w:hAnsi="宋体" w:eastAsia="宋体" w:cs="宋体"/>
          <w:color w:val="auto"/>
          <w:sz w:val="24"/>
          <w:szCs w:val="24"/>
          <w:highlight w:val="none"/>
        </w:rPr>
      </w:pPr>
      <w:r>
        <w:rPr>
          <w:rFonts w:hint="eastAsia" w:hAnsi="宋体" w:eastAsia="宋体" w:cs="宋体"/>
          <w:color w:val="auto"/>
          <w:sz w:val="24"/>
          <w:szCs w:val="24"/>
          <w:highlight w:val="none"/>
        </w:rPr>
        <w:t>承包人转包工程、违法分包或未经许可擅自分包工程的；</w:t>
      </w:r>
    </w:p>
    <w:p w14:paraId="65DAAFDE">
      <w:pPr>
        <w:pStyle w:val="22"/>
        <w:numPr>
          <w:ilvl w:val="0"/>
          <w:numId w:val="27"/>
        </w:numPr>
        <w:adjustRightInd w:val="0"/>
        <w:snapToGrid w:val="0"/>
        <w:spacing w:line="300" w:lineRule="auto"/>
        <w:ind w:left="1617" w:leftChars="770" w:firstLine="2"/>
        <w:rPr>
          <w:rFonts w:hint="eastAsia" w:hAnsi="宋体" w:eastAsia="宋体" w:cs="宋体"/>
          <w:color w:val="auto"/>
          <w:sz w:val="24"/>
          <w:szCs w:val="24"/>
          <w:highlight w:val="none"/>
        </w:rPr>
      </w:pPr>
      <w:r>
        <w:rPr>
          <w:rFonts w:hint="eastAsia" w:hAnsi="宋体" w:eastAsia="宋体" w:cs="宋体"/>
          <w:color w:val="auto"/>
          <w:sz w:val="24"/>
          <w:szCs w:val="24"/>
          <w:highlight w:val="none"/>
        </w:rPr>
        <w:t>承包人未按照合同约定或监理工程师的指令，经监理工程师书面指出后仍未按要求改正的；</w:t>
      </w:r>
    </w:p>
    <w:p w14:paraId="20D9550D">
      <w:pPr>
        <w:pStyle w:val="22"/>
        <w:numPr>
          <w:ilvl w:val="0"/>
          <w:numId w:val="27"/>
        </w:numPr>
        <w:adjustRightInd w:val="0"/>
        <w:snapToGrid w:val="0"/>
        <w:spacing w:line="300" w:lineRule="auto"/>
        <w:ind w:left="2096" w:leftChars="771" w:hanging="477" w:hangingChars="199"/>
        <w:rPr>
          <w:rFonts w:hint="eastAsia" w:hAnsi="宋体" w:eastAsia="宋体" w:cs="宋体"/>
          <w:color w:val="auto"/>
          <w:sz w:val="24"/>
          <w:szCs w:val="24"/>
          <w:highlight w:val="none"/>
        </w:rPr>
      </w:pPr>
      <w:r>
        <w:rPr>
          <w:rFonts w:hint="eastAsia" w:hAnsi="宋体" w:eastAsia="宋体" w:cs="宋体"/>
          <w:color w:val="auto"/>
          <w:sz w:val="24"/>
          <w:szCs w:val="24"/>
          <w:highlight w:val="none"/>
        </w:rPr>
        <w:t>承包人履行合同期间有欺诈行为的；</w:t>
      </w:r>
    </w:p>
    <w:p w14:paraId="27C364E5">
      <w:pPr>
        <w:pStyle w:val="22"/>
        <w:numPr>
          <w:ilvl w:val="0"/>
          <w:numId w:val="27"/>
        </w:numPr>
        <w:adjustRightInd w:val="0"/>
        <w:snapToGrid w:val="0"/>
        <w:spacing w:line="300" w:lineRule="auto"/>
        <w:ind w:left="1618" w:leftChars="770" w:hanging="1"/>
        <w:rPr>
          <w:rFonts w:hint="eastAsia" w:hAnsi="宋体" w:eastAsia="宋体" w:cs="宋体"/>
          <w:color w:val="auto"/>
          <w:sz w:val="24"/>
          <w:szCs w:val="24"/>
          <w:highlight w:val="none"/>
        </w:rPr>
      </w:pPr>
      <w:r>
        <w:rPr>
          <w:rFonts w:hint="eastAsia" w:hAnsi="宋体" w:eastAsia="宋体" w:cs="宋体"/>
          <w:color w:val="auto"/>
          <w:sz w:val="24"/>
          <w:szCs w:val="24"/>
          <w:highlight w:val="none"/>
        </w:rPr>
        <w:t>承包人向任何人付给或企图付给任何贿赂、礼品、赏金、回扣或其他贵重物品，以引诱或报偿他人，但付给承包人相关人员的奖励则属例外；</w:t>
      </w:r>
    </w:p>
    <w:p w14:paraId="7CA0E894">
      <w:pPr>
        <w:pStyle w:val="22"/>
        <w:adjustRightInd w:val="0"/>
        <w:snapToGrid w:val="0"/>
        <w:spacing w:line="300" w:lineRule="auto"/>
        <w:ind w:left="1617"/>
        <w:rPr>
          <w:rFonts w:hint="eastAsia" w:hAnsi="宋体" w:eastAsia="宋体" w:cs="宋体"/>
          <w:color w:val="auto"/>
          <w:sz w:val="24"/>
          <w:szCs w:val="24"/>
          <w:highlight w:val="none"/>
        </w:rPr>
      </w:pPr>
      <w:r>
        <w:rPr>
          <w:rFonts w:hint="eastAsia" w:hAnsi="宋体" w:eastAsia="宋体" w:cs="宋体"/>
          <w:color w:val="auto"/>
          <w:sz w:val="24"/>
          <w:szCs w:val="24"/>
          <w:highlight w:val="none"/>
        </w:rPr>
        <w:t>(9)承包人在缺陷责任期内未能对发生的缺陷进行修复，且又拒绝按照监理工程师指令再进行修补的；</w:t>
      </w:r>
    </w:p>
    <w:p w14:paraId="6F806FB3">
      <w:pPr>
        <w:pStyle w:val="22"/>
        <w:adjustRightInd w:val="0"/>
        <w:snapToGrid w:val="0"/>
        <w:spacing w:line="300" w:lineRule="auto"/>
        <w:ind w:left="1680" w:leftChars="800"/>
        <w:rPr>
          <w:rFonts w:hint="eastAsia" w:hAnsi="宋体" w:eastAsia="宋体" w:cs="宋体"/>
          <w:color w:val="auto"/>
          <w:sz w:val="24"/>
          <w:szCs w:val="24"/>
          <w:highlight w:val="none"/>
        </w:rPr>
      </w:pPr>
      <w:r>
        <w:rPr>
          <w:rFonts w:hint="eastAsia" w:hAnsi="宋体" w:eastAsia="宋体" w:cs="宋体"/>
          <w:color w:val="auto"/>
          <w:sz w:val="24"/>
          <w:szCs w:val="24"/>
          <w:highlight w:val="none"/>
        </w:rPr>
        <w:t>(10)承包人无法继续履行、明确表示或以行为表明不履行合同约定主要义务的；</w:t>
      </w:r>
    </w:p>
    <w:p w14:paraId="7D7D8411">
      <w:pPr>
        <w:pStyle w:val="22"/>
        <w:adjustRightInd w:val="0"/>
        <w:snapToGrid w:val="0"/>
        <w:spacing w:line="300" w:lineRule="auto"/>
        <w:ind w:left="1680"/>
        <w:rPr>
          <w:rFonts w:hint="eastAsia" w:hAnsi="宋体" w:eastAsia="宋体" w:cs="宋体"/>
          <w:color w:val="auto"/>
          <w:sz w:val="24"/>
          <w:szCs w:val="24"/>
          <w:highlight w:val="none"/>
        </w:rPr>
      </w:pPr>
      <w:r>
        <w:rPr>
          <w:rFonts w:hint="eastAsia" w:hAnsi="宋体" w:eastAsia="宋体" w:cs="宋体"/>
          <w:color w:val="auto"/>
          <w:sz w:val="24"/>
          <w:szCs w:val="24"/>
          <w:highlight w:val="none"/>
        </w:rPr>
        <w:t>(11)承包人延迟履行合同约定主要义务，经催告后在合理期限内仍未履行的；</w:t>
      </w:r>
    </w:p>
    <w:p w14:paraId="446F21E7">
      <w:pPr>
        <w:pStyle w:val="22"/>
        <w:adjustRightInd w:val="0"/>
        <w:snapToGrid w:val="0"/>
        <w:spacing w:line="300" w:lineRule="auto"/>
        <w:ind w:left="1619"/>
        <w:rPr>
          <w:rFonts w:hint="eastAsia" w:hAnsi="宋体" w:eastAsia="宋体" w:cs="宋体"/>
          <w:color w:val="auto"/>
          <w:sz w:val="24"/>
          <w:szCs w:val="24"/>
          <w:highlight w:val="none"/>
        </w:rPr>
      </w:pPr>
      <w:r>
        <w:rPr>
          <w:rFonts w:hint="eastAsia" w:hAnsi="宋体" w:eastAsia="宋体" w:cs="宋体"/>
          <w:color w:val="auto"/>
          <w:sz w:val="24"/>
          <w:szCs w:val="24"/>
          <w:highlight w:val="none"/>
        </w:rPr>
        <w:t>(12)承包人破产或清偿的，但以机构重组或联合为目的的除外；</w:t>
      </w:r>
    </w:p>
    <w:p w14:paraId="17D41D8B">
      <w:pPr>
        <w:spacing w:line="300" w:lineRule="auto"/>
        <w:ind w:left="1920" w:hanging="1920" w:hangingChars="8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(13)承包人被认为是严重违反合同的其他违约行为。</w:t>
      </w:r>
    </w:p>
    <w:p w14:paraId="622A8EF4">
      <w:pPr>
        <w:pStyle w:val="22"/>
        <w:adjustRightInd w:val="0"/>
        <w:snapToGrid w:val="0"/>
        <w:spacing w:line="300" w:lineRule="auto"/>
        <w:ind w:left="1619" w:leftChars="771"/>
        <w:rPr>
          <w:rFonts w:hint="eastAsia" w:hAnsi="宋体" w:eastAsia="宋体" w:cs="宋体"/>
          <w:b/>
          <w:bCs/>
          <w:color w:val="auto"/>
          <w:sz w:val="24"/>
          <w:szCs w:val="24"/>
          <w:highlight w:val="none"/>
        </w:rPr>
      </w:pPr>
      <w:r>
        <w:rPr>
          <w:rFonts w:hint="eastAsia" w:hAnsi="宋体" w:eastAsia="宋体" w:cs="宋体"/>
          <w:color w:val="auto"/>
          <w:sz w:val="24"/>
          <w:szCs w:val="24"/>
          <w:highlight w:val="none"/>
        </w:rPr>
        <w:t>在这种情况下，发包人可自行或委托第三方实施、完成合同工程或其任何部分，并可使用根据第18.2款留下的承包人临时工程，直至永久工程完工为止。</w:t>
      </w:r>
    </w:p>
    <w:p w14:paraId="3DFBC876">
      <w:pPr>
        <w:pStyle w:val="22"/>
        <w:tabs>
          <w:tab w:val="left" w:pos="1320"/>
        </w:tabs>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87.4  </w:t>
      </w:r>
      <w:r>
        <w:rPr>
          <w:rFonts w:hint="eastAsia" w:hAnsi="宋体" w:eastAsia="宋体" w:cs="宋体"/>
          <w:b/>
          <w:bCs/>
          <w:color w:val="auto"/>
          <w:sz w:val="24"/>
          <w:szCs w:val="24"/>
          <w:highlight w:val="none"/>
          <w:u w:val="dotted"/>
        </w:rPr>
        <w:t xml:space="preserve">                                                                                                        </w:t>
      </w:r>
    </w:p>
    <w:p w14:paraId="25C90BEC">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53504"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1411" name="000256"/>
                <wp:cNvGraphicFramePr/>
                <a:graphic xmlns:a="http://schemas.openxmlformats.org/drawingml/2006/main">
                  <a:graphicData uri="http://schemas.microsoft.com/office/word/2010/wordprocessingShape">
                    <wps:wsp>
                      <wps:cNvSpPr/>
                      <wps:spPr>
                        <a:xfrm>
                          <a:off x="0" y="0"/>
                          <a:ext cx="914400" cy="503555"/>
                        </a:xfrm>
                        <a:prstGeom prst="rect">
                          <a:avLst/>
                        </a:prstGeom>
                        <a:ln>
                          <a:noFill/>
                        </a:ln>
                      </wps:spPr>
                      <wps:txbx>
                        <w:txbxContent>
                          <w:p w14:paraId="02FB2D7E">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因建设单位的原因解除</w:t>
                            </w:r>
                          </w:p>
                        </w:txbxContent>
                      </wps:txbx>
                      <wps:bodyPr wrap="square"/>
                    </wps:wsp>
                  </a:graphicData>
                </a:graphic>
              </wp:anchor>
            </w:drawing>
          </mc:Choice>
          <mc:Fallback>
            <w:pict>
              <v:rect id="000256" o:spid="_x0000_s1026" o:spt="1" style="position:absolute;left:0pt;margin-left:-9pt;margin-top:2.35pt;height:39.65pt;width:72pt;z-index:252053504;mso-width-relative:page;mso-height-relative:page;" filled="f" stroked="f" coordsize="21600,21600" o:gfxdata="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h7avt9gAAAAIAQAADwAAAAAAAAABACAAAAAiAAAA&#10;ZHJzL2Rvd25yZXYueG1sUEsBAhQAFAAAAAgAh07iQL9JY1yVAQAAOAMAAA4AAAAAAAAAAQAgAAAA&#10;JwEAAGRycy9lMm9Eb2MueG1sUEsFBgAAAAAGAAYAWQEAAC4FAAAAAA==&#10;">
                <v:fill on="f" focussize="0,0"/>
                <v:stroke on="f"/>
                <v:imagedata o:title=""/>
                <o:lock v:ext="edit" aspectratio="f"/>
                <v:textbox>
                  <w:txbxContent>
                    <w:p w14:paraId="02FB2D7E">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因建设单位的原因解除</w:t>
                      </w:r>
                    </w:p>
                  </w:txbxContent>
                </v:textbox>
              </v:rect>
            </w:pict>
          </mc:Fallback>
        </mc:AlternateContent>
      </w:r>
      <w:r>
        <w:rPr>
          <w:rFonts w:hint="eastAsia" w:hAnsi="宋体" w:eastAsia="宋体" w:cs="宋体"/>
          <w:color w:val="auto"/>
          <w:sz w:val="24"/>
          <w:szCs w:val="24"/>
          <w:highlight w:val="none"/>
        </w:rPr>
        <w:t>发包人有下列情形之一者，承包人可以解除合同：</w:t>
      </w:r>
    </w:p>
    <w:p w14:paraId="488D7975">
      <w:pPr>
        <w:pStyle w:val="22"/>
        <w:numPr>
          <w:ilvl w:val="0"/>
          <w:numId w:val="28"/>
        </w:numPr>
        <w:tabs>
          <w:tab w:val="left" w:pos="2160"/>
        </w:tabs>
        <w:adjustRightInd w:val="0"/>
        <w:snapToGrid w:val="0"/>
        <w:spacing w:line="300" w:lineRule="auto"/>
        <w:ind w:left="1619" w:leftChars="771" w:firstLine="1"/>
        <w:rPr>
          <w:rFonts w:hint="eastAsia" w:hAnsi="宋体" w:eastAsia="宋体" w:cs="宋体"/>
          <w:color w:val="auto"/>
          <w:sz w:val="24"/>
          <w:szCs w:val="24"/>
          <w:highlight w:val="none"/>
        </w:rPr>
      </w:pPr>
      <w:r>
        <w:rPr>
          <w:rFonts w:hint="eastAsia" w:hAnsi="宋体" w:eastAsia="宋体" w:cs="宋体"/>
          <w:color w:val="auto"/>
          <w:sz w:val="24"/>
          <w:szCs w:val="24"/>
          <w:highlight w:val="none"/>
        </w:rPr>
        <w:t>非承包人原因未按照第34.2款规定期限内发出开工令，经承包人催告后28天内仍未发出开工令的；</w:t>
      </w:r>
    </w:p>
    <w:p w14:paraId="6EDB7EF3">
      <w:pPr>
        <w:pStyle w:val="22"/>
        <w:numPr>
          <w:ilvl w:val="0"/>
          <w:numId w:val="28"/>
        </w:numPr>
        <w:tabs>
          <w:tab w:val="left" w:pos="2160"/>
        </w:tabs>
        <w:adjustRightInd w:val="0"/>
        <w:snapToGrid w:val="0"/>
        <w:spacing w:line="300" w:lineRule="auto"/>
        <w:ind w:left="1620" w:leftChars="771" w:hanging="1"/>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按照第35.3款规定非承包人原因造成暂停施工持续56天以上或累计停工时间超过了70天的；           </w:t>
      </w:r>
    </w:p>
    <w:p w14:paraId="60D8A89E">
      <w:pPr>
        <w:pStyle w:val="22"/>
        <w:numPr>
          <w:ilvl w:val="0"/>
          <w:numId w:val="28"/>
        </w:numPr>
        <w:tabs>
          <w:tab w:val="left" w:pos="1800"/>
        </w:tabs>
        <w:adjustRightInd w:val="0"/>
        <w:snapToGrid w:val="0"/>
        <w:spacing w:line="300" w:lineRule="auto"/>
        <w:ind w:left="1620" w:leftChars="771" w:hanging="1"/>
        <w:rPr>
          <w:rFonts w:hint="eastAsia" w:hAnsi="宋体" w:eastAsia="宋体" w:cs="宋体"/>
          <w:color w:val="auto"/>
          <w:sz w:val="24"/>
          <w:szCs w:val="24"/>
          <w:highlight w:val="none"/>
        </w:rPr>
      </w:pPr>
      <w:r>
        <w:rPr>
          <w:rFonts w:hint="eastAsia" w:hAnsi="宋体" w:eastAsia="宋体" w:cs="宋体"/>
          <w:color w:val="auto"/>
          <w:sz w:val="24"/>
          <w:szCs w:val="24"/>
          <w:highlight w:val="none"/>
        </w:rPr>
        <w:t>发包人按照第5条规定提供的施工设计图纸存在缺陷或按照第48条规定供应的材料和工程设备不符合强制性标准，致使承包人无法施工，经承包人催告后28天内仍未修正或更换的；</w:t>
      </w:r>
    </w:p>
    <w:p w14:paraId="0CC48197">
      <w:pPr>
        <w:pStyle w:val="22"/>
        <w:numPr>
          <w:ilvl w:val="0"/>
          <w:numId w:val="28"/>
        </w:numPr>
        <w:adjustRightInd w:val="0"/>
        <w:snapToGrid w:val="0"/>
        <w:spacing w:line="300" w:lineRule="auto"/>
        <w:ind w:left="1620" w:leftChars="771" w:hanging="1"/>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监理工程师未按照合同约定及时发出工作指令，导致承包人无法继续施工的； </w:t>
      </w:r>
    </w:p>
    <w:p w14:paraId="2AAB1131">
      <w:pPr>
        <w:pStyle w:val="22"/>
        <w:numPr>
          <w:ilvl w:val="0"/>
          <w:numId w:val="28"/>
        </w:numPr>
        <w:tabs>
          <w:tab w:val="left" w:pos="2160"/>
        </w:tabs>
        <w:adjustRightInd w:val="0"/>
        <w:snapToGrid w:val="0"/>
        <w:spacing w:line="300" w:lineRule="auto"/>
        <w:ind w:left="1620" w:leftChars="771" w:hanging="1"/>
        <w:rPr>
          <w:rFonts w:hint="eastAsia" w:hAnsi="宋体" w:eastAsia="宋体" w:cs="宋体"/>
          <w:color w:val="auto"/>
          <w:sz w:val="24"/>
          <w:szCs w:val="24"/>
          <w:highlight w:val="none"/>
        </w:rPr>
      </w:pPr>
      <w:r>
        <w:rPr>
          <w:rFonts w:hint="eastAsia" w:hAnsi="宋体" w:eastAsia="宋体" w:cs="宋体"/>
          <w:color w:val="auto"/>
          <w:sz w:val="24"/>
          <w:szCs w:val="24"/>
          <w:highlight w:val="none"/>
        </w:rPr>
        <w:t>发包人未按照第78.1款规定向承包人支付工程款，经承包人催告后28天内仍未支付的；</w:t>
      </w:r>
    </w:p>
    <w:p w14:paraId="4DF17825">
      <w:pPr>
        <w:pStyle w:val="22"/>
        <w:numPr>
          <w:ilvl w:val="0"/>
          <w:numId w:val="28"/>
        </w:numPr>
        <w:tabs>
          <w:tab w:val="left" w:pos="2160"/>
        </w:tabs>
        <w:adjustRightInd w:val="0"/>
        <w:snapToGrid w:val="0"/>
        <w:spacing w:line="300" w:lineRule="auto"/>
        <w:ind w:left="1620" w:leftChars="771" w:hanging="1"/>
        <w:rPr>
          <w:rFonts w:hint="eastAsia" w:hAnsi="宋体" w:eastAsia="宋体" w:cs="宋体"/>
          <w:color w:val="auto"/>
          <w:sz w:val="24"/>
          <w:szCs w:val="24"/>
          <w:highlight w:val="none"/>
        </w:rPr>
      </w:pPr>
      <w:r>
        <w:rPr>
          <w:rFonts w:hint="eastAsia" w:hAnsi="宋体" w:eastAsia="宋体" w:cs="宋体"/>
          <w:color w:val="auto"/>
          <w:sz w:val="24"/>
          <w:szCs w:val="24"/>
          <w:highlight w:val="none"/>
        </w:rPr>
        <w:t>发包人无法继续履行、明确表示或以行为表明不履行合同约定主要义务的；</w:t>
      </w:r>
    </w:p>
    <w:p w14:paraId="60ECCA23">
      <w:pPr>
        <w:pStyle w:val="22"/>
        <w:tabs>
          <w:tab w:val="left" w:pos="2160"/>
        </w:tabs>
        <w:adjustRightInd w:val="0"/>
        <w:snapToGrid w:val="0"/>
        <w:spacing w:line="300" w:lineRule="auto"/>
        <w:ind w:left="1619"/>
        <w:rPr>
          <w:rFonts w:hint="eastAsia" w:hAnsi="宋体" w:eastAsia="宋体" w:cs="宋体"/>
          <w:color w:val="auto"/>
          <w:sz w:val="24"/>
          <w:szCs w:val="24"/>
          <w:highlight w:val="none"/>
        </w:rPr>
      </w:pPr>
      <w:r>
        <w:rPr>
          <w:rFonts w:hint="eastAsia" w:hAnsi="宋体" w:eastAsia="宋体" w:cs="宋体"/>
          <w:color w:val="auto"/>
          <w:sz w:val="24"/>
          <w:szCs w:val="24"/>
          <w:highlight w:val="none"/>
        </w:rPr>
        <w:t>(7)发包人延迟履行合同约定主要义务，经催告后在合理期限内仍未履行的；</w:t>
      </w:r>
    </w:p>
    <w:p w14:paraId="1D5603E2">
      <w:pPr>
        <w:pStyle w:val="22"/>
        <w:tabs>
          <w:tab w:val="left" w:pos="2160"/>
        </w:tabs>
        <w:adjustRightInd w:val="0"/>
        <w:snapToGrid w:val="0"/>
        <w:spacing w:line="300" w:lineRule="auto"/>
        <w:ind w:left="1619"/>
        <w:rPr>
          <w:rFonts w:hint="eastAsia" w:hAnsi="宋体" w:eastAsia="宋体" w:cs="宋体"/>
          <w:color w:val="auto"/>
          <w:sz w:val="24"/>
          <w:szCs w:val="24"/>
          <w:highlight w:val="none"/>
        </w:rPr>
      </w:pPr>
      <w:r>
        <w:rPr>
          <w:rFonts w:hint="eastAsia" w:hAnsi="宋体" w:eastAsia="宋体" w:cs="宋体"/>
          <w:color w:val="auto"/>
          <w:sz w:val="24"/>
          <w:szCs w:val="24"/>
          <w:highlight w:val="none"/>
        </w:rPr>
        <w:t>(8)发包人破产或清偿的，但以机构重组或联合为目的的除外；</w:t>
      </w:r>
    </w:p>
    <w:p w14:paraId="6BD04D01">
      <w:pPr>
        <w:pStyle w:val="22"/>
        <w:tabs>
          <w:tab w:val="left" w:pos="2160"/>
        </w:tabs>
        <w:adjustRightInd w:val="0"/>
        <w:snapToGrid w:val="0"/>
        <w:spacing w:line="300" w:lineRule="auto"/>
        <w:ind w:left="1619"/>
        <w:rPr>
          <w:rFonts w:hint="eastAsia" w:hAnsi="宋体" w:eastAsia="宋体" w:cs="宋体"/>
          <w:color w:val="auto"/>
          <w:sz w:val="24"/>
          <w:szCs w:val="24"/>
          <w:highlight w:val="none"/>
        </w:rPr>
      </w:pPr>
      <w:r>
        <w:rPr>
          <w:rFonts w:hint="eastAsia" w:hAnsi="宋体" w:eastAsia="宋体" w:cs="宋体"/>
          <w:color w:val="auto"/>
          <w:sz w:val="24"/>
          <w:szCs w:val="24"/>
          <w:highlight w:val="none"/>
        </w:rPr>
        <w:t>(9)发包人被认为是严重违反合同的其他违约行为。</w:t>
      </w:r>
    </w:p>
    <w:p w14:paraId="22FB64EB">
      <w:pPr>
        <w:pStyle w:val="22"/>
        <w:tabs>
          <w:tab w:val="left" w:pos="1320"/>
        </w:tabs>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54528"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1412" name="000257"/>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0B0C0F1C">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书面通知合同解除</w:t>
                            </w:r>
                          </w:p>
                        </w:txbxContent>
                      </wps:txbx>
                      <wps:bodyPr wrap="square"/>
                    </wps:wsp>
                  </a:graphicData>
                </a:graphic>
              </wp:anchor>
            </w:drawing>
          </mc:Choice>
          <mc:Fallback>
            <w:pict>
              <v:rect id="000257" o:spid="_x0000_s1026" o:spt="1" style="position:absolute;left:0pt;margin-left:-9pt;margin-top:15.95pt;height:31.2pt;width:72pt;z-index:252054528;mso-width-relative:page;mso-height-relative:page;" filled="f" stroked="f" coordsize="21600,21600" o:gfxdata="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DiusBnaAAAACQEAAA8AAAAAAAAAAQAgAAAA&#10;IgAAAGRycy9kb3ducmV2LnhtbFBLAQIUABQAAAAIAIdO4kCcudWElwEAADgDAAAOAAAAAAAAAAEA&#10;IAAAACkBAABkcnMvZTJvRG9jLnhtbFBLBQYAAAAABgAGAFkBAAAyBQAAAAA=&#10;">
                <v:fill on="f" focussize="0,0"/>
                <v:stroke on="f"/>
                <v:imagedata o:title=""/>
                <o:lock v:ext="edit" aspectratio="f"/>
                <v:textbox>
                  <w:txbxContent>
                    <w:p w14:paraId="0B0C0F1C">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书面通知合同解除</w:t>
                      </w:r>
                    </w:p>
                  </w:txbxContent>
                </v:textbox>
              </v:rect>
            </w:pict>
          </mc:Fallback>
        </mc:AlternateContent>
      </w:r>
      <w:r>
        <w:rPr>
          <w:rFonts w:hint="eastAsia" w:hAnsi="宋体" w:eastAsia="宋体" w:cs="宋体"/>
          <w:b/>
          <w:bCs/>
          <w:color w:val="auto"/>
          <w:sz w:val="24"/>
          <w:szCs w:val="24"/>
          <w:highlight w:val="none"/>
        </w:rPr>
        <w:t xml:space="preserve">87.5  </w:t>
      </w:r>
      <w:r>
        <w:rPr>
          <w:rFonts w:hint="eastAsia" w:hAnsi="宋体" w:eastAsia="宋体" w:cs="宋体"/>
          <w:b/>
          <w:bCs/>
          <w:color w:val="auto"/>
          <w:sz w:val="24"/>
          <w:szCs w:val="24"/>
          <w:highlight w:val="none"/>
          <w:u w:val="dotted"/>
        </w:rPr>
        <w:t xml:space="preserve">                                                                                                        </w:t>
      </w:r>
    </w:p>
    <w:p w14:paraId="2FE840C0">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根据第87.2款至第87.4款规定要求解除合同的，解除方应以书面形式向另一方当事人发出解除合同的通知，另一方当事人收到通知时合同即告解除。对解除合同有争议的，应按照第86条规定处理。</w:t>
      </w:r>
    </w:p>
    <w:p w14:paraId="66E97FDE">
      <w:pPr>
        <w:pStyle w:val="22"/>
        <w:tabs>
          <w:tab w:val="left" w:pos="1320"/>
        </w:tabs>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87.6  </w:t>
      </w:r>
      <w:r>
        <w:rPr>
          <w:rFonts w:hint="eastAsia" w:hAnsi="宋体" w:eastAsia="宋体" w:cs="宋体"/>
          <w:b/>
          <w:bCs/>
          <w:color w:val="auto"/>
          <w:sz w:val="24"/>
          <w:szCs w:val="24"/>
          <w:highlight w:val="none"/>
          <w:u w:val="dotted"/>
        </w:rPr>
        <w:t xml:space="preserve">                                                                                                        </w:t>
      </w:r>
    </w:p>
    <w:p w14:paraId="79E8CF2D">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55552"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1413" name="000258"/>
                <wp:cNvGraphicFramePr/>
                <a:graphic xmlns:a="http://schemas.openxmlformats.org/drawingml/2006/main">
                  <a:graphicData uri="http://schemas.microsoft.com/office/word/2010/wordprocessingShape">
                    <wps:wsp>
                      <wps:cNvSpPr/>
                      <wps:spPr>
                        <a:xfrm>
                          <a:off x="0" y="0"/>
                          <a:ext cx="914400" cy="594360"/>
                        </a:xfrm>
                        <a:prstGeom prst="rect">
                          <a:avLst/>
                        </a:prstGeom>
                        <a:ln>
                          <a:noFill/>
                        </a:ln>
                      </wps:spPr>
                      <wps:txbx>
                        <w:txbxContent>
                          <w:p w14:paraId="49DBD9DA">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合同解除后双方的责任和义务</w:t>
                            </w:r>
                          </w:p>
                        </w:txbxContent>
                      </wps:txbx>
                      <wps:bodyPr wrap="square"/>
                    </wps:wsp>
                  </a:graphicData>
                </a:graphic>
              </wp:anchor>
            </w:drawing>
          </mc:Choice>
          <mc:Fallback>
            <w:pict>
              <v:rect id="000258" o:spid="_x0000_s1026" o:spt="1" style="position:absolute;left:0pt;margin-left:-9pt;margin-top:0.55pt;height:46.8pt;width:72pt;z-index:252055552;mso-width-relative:page;mso-height-relative:page;" filled="f" stroked="f" coordsize="21600,21600" o:gfxdata="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OCChF2AAAAAgBAAAPAAAAAAAAAAEAIAAAACIA&#10;AABkcnMvZG93bnJldi54bWxQSwECFAAUAAAACACHTuJArJEJZJcBAAA4AwAADgAAAAAAAAABACAA&#10;AAAnAQAAZHJzL2Uyb0RvYy54bWxQSwUGAAAAAAYABgBZAQAAMAUAAAAA&#10;">
                <v:fill on="f" focussize="0,0"/>
                <v:stroke on="f"/>
                <v:imagedata o:title=""/>
                <o:lock v:ext="edit" aspectratio="f"/>
                <v:textbox>
                  <w:txbxContent>
                    <w:p w14:paraId="49DBD9DA">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合同解除后双方的责任和义务</w:t>
                      </w:r>
                    </w:p>
                  </w:txbxContent>
                </v:textbox>
              </v:rect>
            </w:pict>
          </mc:Fallback>
        </mc:AlternateContent>
      </w:r>
      <w:r>
        <w:rPr>
          <w:rFonts w:hint="eastAsia" w:hAnsi="宋体" w:eastAsia="宋体" w:cs="宋体"/>
          <w:color w:val="auto"/>
          <w:sz w:val="24"/>
          <w:szCs w:val="24"/>
          <w:highlight w:val="none"/>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14:paraId="7C5506BE">
      <w:pPr>
        <w:pStyle w:val="22"/>
        <w:adjustRightInd w:val="0"/>
        <w:snapToGrid w:val="0"/>
        <w:spacing w:line="300" w:lineRule="auto"/>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00B6A2C6">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202" w:name="_Toc46860894"/>
      <w:bookmarkStart w:id="203" w:name="_Toc469384072"/>
      <w:r>
        <w:rPr>
          <w:rFonts w:hint="eastAsia" w:hAnsi="宋体" w:eastAsia="宋体" w:cs="宋体"/>
          <w:b/>
          <w:bCs/>
          <w:color w:val="auto"/>
          <w:sz w:val="24"/>
          <w:szCs w:val="24"/>
          <w:highlight w:val="none"/>
        </w:rPr>
        <w:t>88  合同解除的支付</w:t>
      </w:r>
      <w:bookmarkEnd w:id="202"/>
      <w:bookmarkEnd w:id="203"/>
    </w:p>
    <w:p w14:paraId="106F9EDA">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56576"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1414" name="000259"/>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5062D7DD">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协商一致解除的支付</w:t>
                            </w:r>
                          </w:p>
                        </w:txbxContent>
                      </wps:txbx>
                      <wps:bodyPr wrap="square"/>
                    </wps:wsp>
                  </a:graphicData>
                </a:graphic>
              </wp:anchor>
            </w:drawing>
          </mc:Choice>
          <mc:Fallback>
            <w:pict>
              <v:rect id="000259" o:spid="_x0000_s1026" o:spt="1" style="position:absolute;left:0pt;margin-left:-5.25pt;margin-top:14.85pt;height:31.2pt;width:72pt;z-index:252056576;mso-width-relative:page;mso-height-relative:page;" filled="f" stroked="f" coordsize="21600,21600" o:gfxdata="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Vguv9NoAAAAJAQAADwAAAAAAAAABACAAAAAi&#10;AAAAZHJzL2Rvd25yZXYueG1sUEsBAhQAFAAAAAgAh07iQB1VCkGWAQAAOAMAAA4AAAAAAAAAAQAg&#10;AAAAKQEAAGRycy9lMm9Eb2MueG1sUEsFBgAAAAAGAAYAWQEAADEFAAAAAA==&#10;">
                <v:fill on="f" focussize="0,0"/>
                <v:stroke on="f"/>
                <v:imagedata o:title=""/>
                <o:lock v:ext="edit" aspectratio="f"/>
                <v:textbox>
                  <w:txbxContent>
                    <w:p w14:paraId="5062D7DD">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协商一致解除的支付</w:t>
                      </w:r>
                    </w:p>
                  </w:txbxContent>
                </v:textbox>
              </v:rect>
            </w:pict>
          </mc:Fallback>
        </mc:AlternateContent>
      </w:r>
      <w:r>
        <w:rPr>
          <w:rFonts w:hint="eastAsia" w:hAnsi="宋体" w:eastAsia="宋体" w:cs="宋体"/>
          <w:b/>
          <w:bCs/>
          <w:color w:val="auto"/>
          <w:sz w:val="24"/>
          <w:szCs w:val="24"/>
          <w:highlight w:val="none"/>
        </w:rPr>
        <w:t xml:space="preserve">88.1     </w:t>
      </w:r>
    </w:p>
    <w:p w14:paraId="6C351EEA">
      <w:pPr>
        <w:pStyle w:val="22"/>
        <w:adjustRightInd w:val="0"/>
        <w:snapToGrid w:val="0"/>
        <w:spacing w:line="300" w:lineRule="auto"/>
        <w:ind w:left="1470" w:leftChars="700"/>
        <w:rPr>
          <w:rFonts w:hint="eastAsia" w:hAnsi="宋体" w:eastAsia="宋体" w:cs="宋体"/>
          <w:color w:val="auto"/>
          <w:sz w:val="24"/>
          <w:szCs w:val="24"/>
          <w:highlight w:val="none"/>
        </w:rPr>
      </w:pPr>
      <w:r>
        <w:rPr>
          <w:rFonts w:hint="eastAsia" w:hAnsi="宋体" w:eastAsia="宋体" w:cs="宋体"/>
          <w:color w:val="auto"/>
          <w:sz w:val="24"/>
          <w:szCs w:val="24"/>
          <w:highlight w:val="none"/>
        </w:rPr>
        <w:t>根据第87.1款规定解除合同的，按照达成的协议办理结算和支付工程款。</w:t>
      </w:r>
    </w:p>
    <w:p w14:paraId="5397589E">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88.2  </w:t>
      </w:r>
      <w:r>
        <w:rPr>
          <w:rFonts w:hint="eastAsia" w:hAnsi="宋体" w:eastAsia="宋体" w:cs="宋体"/>
          <w:b/>
          <w:bCs/>
          <w:color w:val="auto"/>
          <w:sz w:val="24"/>
          <w:szCs w:val="24"/>
          <w:highlight w:val="none"/>
          <w:u w:val="dotted"/>
        </w:rPr>
        <w:t xml:space="preserve">                                                                                                        </w:t>
      </w:r>
    </w:p>
    <w:p w14:paraId="4467C68B">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57600"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1415" name="00025a"/>
                <wp:cNvGraphicFramePr/>
                <a:graphic xmlns:a="http://schemas.openxmlformats.org/drawingml/2006/main">
                  <a:graphicData uri="http://schemas.microsoft.com/office/word/2010/wordprocessingShape">
                    <wps:wsp>
                      <wps:cNvSpPr/>
                      <wps:spPr>
                        <a:xfrm>
                          <a:off x="0" y="0"/>
                          <a:ext cx="914400" cy="693420"/>
                        </a:xfrm>
                        <a:prstGeom prst="rect">
                          <a:avLst/>
                        </a:prstGeom>
                        <a:ln>
                          <a:noFill/>
                        </a:ln>
                      </wps:spPr>
                      <wps:txbx>
                        <w:txbxContent>
                          <w:p w14:paraId="449716B5">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不可抗力解除的支付</w:t>
                            </w:r>
                          </w:p>
                        </w:txbxContent>
                      </wps:txbx>
                      <wps:bodyPr wrap="square"/>
                    </wps:wsp>
                  </a:graphicData>
                </a:graphic>
              </wp:anchor>
            </w:drawing>
          </mc:Choice>
          <mc:Fallback>
            <w:pict>
              <v:rect id="00025a" o:spid="_x0000_s1026" o:spt="1" style="position:absolute;left:0pt;margin-left:-9pt;margin-top:1.25pt;height:54.6pt;width:72pt;z-index:252057600;mso-width-relative:page;mso-height-relative:page;" filled="f" stroked="f" coordsize="21600,21600" o:gfxdata="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uFmQm2QAAAAkBAAAPAAAAAAAAAAEAIAAAACIA&#10;AABkcnMvZG93bnJldi54bWxQSwECFAAUAAAACACHTuJAJEzUS5YBAAA4AwAADgAAAAAAAAABACAA&#10;AAAoAQAAZHJzL2Uyb0RvYy54bWxQSwUGAAAAAAYABgBZAQAAMAUAAAAA&#10;">
                <v:fill on="f" focussize="0,0"/>
                <v:stroke on="f"/>
                <v:imagedata o:title=""/>
                <o:lock v:ext="edit" aspectratio="f"/>
                <v:textbox>
                  <w:txbxContent>
                    <w:p w14:paraId="449716B5">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不可抗力解除的支付</w:t>
                      </w:r>
                    </w:p>
                  </w:txbxContent>
                </v:textbox>
              </v:rect>
            </w:pict>
          </mc:Fallback>
        </mc:AlternateContent>
      </w:r>
      <w:r>
        <w:rPr>
          <w:rFonts w:hint="eastAsia" w:hAnsi="宋体" w:eastAsia="宋体" w:cs="宋体"/>
          <w:color w:val="auto"/>
          <w:sz w:val="24"/>
          <w:szCs w:val="24"/>
          <w:highlight w:val="none"/>
        </w:rPr>
        <w:t>根据第87.2款规定解除合同的，发包人应向承包人支付合同解除之日前已完成工程但尚未支付的工程款。此外，发包人还应支付下列款项：</w:t>
      </w:r>
    </w:p>
    <w:p w14:paraId="77E6D0FE">
      <w:pPr>
        <w:pStyle w:val="22"/>
        <w:numPr>
          <w:ilvl w:val="0"/>
          <w:numId w:val="29"/>
        </w:numPr>
        <w:adjustRightInd w:val="0"/>
        <w:snapToGrid w:val="0"/>
        <w:spacing w:line="300" w:lineRule="auto"/>
        <w:ind w:left="2096" w:leftChars="771" w:hanging="477" w:hangingChars="199"/>
        <w:rPr>
          <w:rFonts w:hint="eastAsia" w:hAnsi="宋体" w:eastAsia="宋体" w:cs="宋体"/>
          <w:color w:val="auto"/>
          <w:sz w:val="24"/>
          <w:szCs w:val="24"/>
          <w:highlight w:val="none"/>
        </w:rPr>
      </w:pPr>
      <w:r>
        <w:rPr>
          <w:rFonts w:hint="eastAsia" w:hAnsi="宋体" w:eastAsia="宋体" w:cs="宋体"/>
          <w:color w:val="auto"/>
          <w:sz w:val="24"/>
          <w:szCs w:val="24"/>
          <w:highlight w:val="none"/>
        </w:rPr>
        <w:t>已实施或部分实施的措施项目应付款项；</w:t>
      </w:r>
    </w:p>
    <w:p w14:paraId="37E98CBE">
      <w:pPr>
        <w:pStyle w:val="22"/>
        <w:numPr>
          <w:ilvl w:val="0"/>
          <w:numId w:val="29"/>
        </w:numPr>
        <w:adjustRightInd w:val="0"/>
        <w:snapToGrid w:val="0"/>
        <w:spacing w:line="300" w:lineRule="auto"/>
        <w:ind w:left="1618" w:leftChars="770" w:hanging="1"/>
        <w:rPr>
          <w:rFonts w:hint="eastAsia" w:hAnsi="宋体" w:eastAsia="宋体" w:cs="宋体"/>
          <w:color w:val="auto"/>
          <w:sz w:val="24"/>
          <w:szCs w:val="24"/>
          <w:highlight w:val="none"/>
        </w:rPr>
      </w:pPr>
      <w:r>
        <w:rPr>
          <w:rFonts w:hint="eastAsia" w:hAnsi="宋体" w:eastAsia="宋体" w:cs="宋体"/>
          <w:color w:val="auto"/>
          <w:sz w:val="24"/>
          <w:szCs w:val="24"/>
          <w:highlight w:val="none"/>
        </w:rPr>
        <w:t>承包人为合同工程合理订购且已交付的材料和工程设备货款。发包人一经支付此项货款，该材料和工程设备即成为发包人的财产；</w:t>
      </w:r>
    </w:p>
    <w:p w14:paraId="4BAA8C8E">
      <w:pPr>
        <w:pStyle w:val="22"/>
        <w:numPr>
          <w:ilvl w:val="0"/>
          <w:numId w:val="29"/>
        </w:numPr>
        <w:adjustRightInd w:val="0"/>
        <w:snapToGrid w:val="0"/>
        <w:spacing w:line="300" w:lineRule="auto"/>
        <w:ind w:left="1618" w:leftChars="770" w:hanging="1"/>
        <w:rPr>
          <w:rFonts w:hint="eastAsia" w:hAnsi="宋体" w:eastAsia="宋体" w:cs="宋体"/>
          <w:color w:val="auto"/>
          <w:sz w:val="24"/>
          <w:szCs w:val="24"/>
          <w:highlight w:val="none"/>
        </w:rPr>
      </w:pPr>
      <w:r>
        <w:rPr>
          <w:rFonts w:hint="eastAsia" w:hAnsi="宋体" w:eastAsia="宋体" w:cs="宋体"/>
          <w:color w:val="auto"/>
          <w:sz w:val="24"/>
          <w:szCs w:val="24"/>
          <w:highlight w:val="none"/>
        </w:rPr>
        <w:t>承包人为完成合同工程而预期开支的任何合理款项，且该项款项未包括在本款其他各项支付之内；</w:t>
      </w:r>
    </w:p>
    <w:p w14:paraId="36126A84">
      <w:pPr>
        <w:pStyle w:val="22"/>
        <w:numPr>
          <w:ilvl w:val="0"/>
          <w:numId w:val="29"/>
        </w:numPr>
        <w:adjustRightInd w:val="0"/>
        <w:snapToGrid w:val="0"/>
        <w:spacing w:line="300" w:lineRule="auto"/>
        <w:ind w:left="2096" w:leftChars="771" w:hanging="477" w:hangingChars="199"/>
        <w:rPr>
          <w:rFonts w:hint="eastAsia" w:hAnsi="宋体" w:eastAsia="宋体" w:cs="宋体"/>
          <w:color w:val="auto"/>
          <w:sz w:val="24"/>
          <w:szCs w:val="24"/>
          <w:highlight w:val="none"/>
        </w:rPr>
      </w:pPr>
      <w:r>
        <w:rPr>
          <w:rFonts w:hint="eastAsia" w:hAnsi="宋体" w:eastAsia="宋体" w:cs="宋体"/>
          <w:color w:val="auto"/>
          <w:sz w:val="24"/>
          <w:szCs w:val="24"/>
          <w:highlight w:val="none"/>
        </w:rPr>
        <w:t>根据第31.3款规定的任何工作应支付的款项；</w:t>
      </w:r>
    </w:p>
    <w:p w14:paraId="3A38835F">
      <w:pPr>
        <w:pStyle w:val="22"/>
        <w:numPr>
          <w:ilvl w:val="0"/>
          <w:numId w:val="29"/>
        </w:numPr>
        <w:tabs>
          <w:tab w:val="left" w:pos="1980"/>
        </w:tabs>
        <w:adjustRightInd w:val="0"/>
        <w:snapToGrid w:val="0"/>
        <w:spacing w:line="300" w:lineRule="auto"/>
        <w:ind w:left="1618" w:leftChars="770" w:hanging="1"/>
        <w:rPr>
          <w:rFonts w:hint="eastAsia" w:hAnsi="宋体" w:eastAsia="宋体" w:cs="宋体"/>
          <w:color w:val="auto"/>
          <w:sz w:val="24"/>
          <w:szCs w:val="24"/>
          <w:highlight w:val="none"/>
        </w:rPr>
      </w:pPr>
      <w:r>
        <w:rPr>
          <w:rFonts w:hint="eastAsia" w:hAnsi="宋体" w:eastAsia="宋体" w:cs="宋体"/>
          <w:color w:val="auto"/>
          <w:sz w:val="24"/>
          <w:szCs w:val="24"/>
          <w:highlight w:val="none"/>
        </w:rPr>
        <w:t>根据第87.6款规定承包人撤离现场所需的合理款项，包括雇员遣送费和临时工程拆除、施工设备运离现场的款项。</w:t>
      </w:r>
    </w:p>
    <w:p w14:paraId="15FB8727">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合同双方当事人按照第82条、第83条规定办理结算工程款，但应扣除合同解除之日前发包人向承包人收回的任何款项。如果发包人应扣除的款项超过了应支付的款项，则承包人应在合同解除后的56天内将其差额退还给发包人。</w:t>
      </w:r>
    </w:p>
    <w:p w14:paraId="76DF0501">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88.3  </w:t>
      </w:r>
      <w:r>
        <w:rPr>
          <w:rFonts w:hint="eastAsia" w:hAnsi="宋体" w:eastAsia="宋体" w:cs="宋体"/>
          <w:b/>
          <w:bCs/>
          <w:color w:val="auto"/>
          <w:sz w:val="24"/>
          <w:szCs w:val="24"/>
          <w:highlight w:val="none"/>
          <w:u w:val="dotted"/>
        </w:rPr>
        <w:t xml:space="preserve">                                                                                                        </w:t>
      </w:r>
    </w:p>
    <w:p w14:paraId="7836657A">
      <w:pPr>
        <w:pStyle w:val="22"/>
        <w:adjustRightInd w:val="0"/>
        <w:snapToGrid w:val="0"/>
        <w:spacing w:line="300" w:lineRule="auto"/>
        <w:ind w:left="1619" w:leftChars="771"/>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58624"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1416" name="00025b"/>
                <wp:cNvGraphicFramePr/>
                <a:graphic xmlns:a="http://schemas.openxmlformats.org/drawingml/2006/main">
                  <a:graphicData uri="http://schemas.microsoft.com/office/word/2010/wordprocessingShape">
                    <wps:wsp>
                      <wps:cNvSpPr/>
                      <wps:spPr>
                        <a:xfrm>
                          <a:off x="0" y="0"/>
                          <a:ext cx="914400" cy="693420"/>
                        </a:xfrm>
                        <a:prstGeom prst="rect">
                          <a:avLst/>
                        </a:prstGeom>
                        <a:ln>
                          <a:noFill/>
                        </a:ln>
                      </wps:spPr>
                      <wps:txbx>
                        <w:txbxContent>
                          <w:p w14:paraId="06B82CFE">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因承包人的原因解除的支付</w:t>
                            </w:r>
                          </w:p>
                        </w:txbxContent>
                      </wps:txbx>
                      <wps:bodyPr wrap="square"/>
                    </wps:wsp>
                  </a:graphicData>
                </a:graphic>
              </wp:anchor>
            </w:drawing>
          </mc:Choice>
          <mc:Fallback>
            <w:pict>
              <v:rect id="00025b" o:spid="_x0000_s1026" o:spt="1" style="position:absolute;left:0pt;margin-left:-9pt;margin-top:3.9pt;height:54.6pt;width:72pt;z-index:252058624;mso-width-relative:page;mso-height-relative:page;" filled="f" stroked="f" coordsize="21600,21600" o:gfxdata="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AfsRAzYAAAACQEAAA8AAAAAAAAAAQAgAAAAIgAA&#10;AGRycy9kb3ducmV2LnhtbFBLAQIUABQAAAAIAIdO4kDxqhP0lgEAADgDAAAOAAAAAAAAAAEAIAAA&#10;ACcBAABkcnMvZTJvRG9jLnhtbFBLBQYAAAAABgAGAFkBAAAvBQAAAAA=&#10;">
                <v:fill on="f" focussize="0,0"/>
                <v:stroke on="f"/>
                <v:imagedata o:title=""/>
                <o:lock v:ext="edit" aspectratio="f"/>
                <v:textbox>
                  <w:txbxContent>
                    <w:p w14:paraId="06B82CFE">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因承包人的原因解除的支付</w:t>
                      </w:r>
                    </w:p>
                  </w:txbxContent>
                </v:textbox>
              </v:rect>
            </w:pict>
          </mc:Fallback>
        </mc:AlternateContent>
      </w:r>
      <w:r>
        <w:rPr>
          <w:rFonts w:hint="eastAsia" w:hAnsi="宋体" w:eastAsia="宋体" w:cs="宋体"/>
          <w:color w:val="auto"/>
          <w:sz w:val="24"/>
          <w:szCs w:val="24"/>
          <w:highlight w:val="none"/>
        </w:rPr>
        <w:t>根据第87.3款规定解除合同的，发包人暂停向承包人支付任何款项，造价工程师应在合同解除后28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28天内予以确认或提出意见，并按照第82.4款规定办理结算工程款。如果发包人应扣除的款项超过了应支付的款项，则承包人应在合同解除后的56天内将其差额退还给发包人。</w:t>
      </w:r>
    </w:p>
    <w:p w14:paraId="11228528">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88.4  </w:t>
      </w:r>
      <w:r>
        <w:rPr>
          <w:rFonts w:hint="eastAsia" w:hAnsi="宋体" w:eastAsia="宋体" w:cs="宋体"/>
          <w:b/>
          <w:bCs/>
          <w:color w:val="auto"/>
          <w:sz w:val="24"/>
          <w:szCs w:val="24"/>
          <w:highlight w:val="none"/>
          <w:u w:val="dotted"/>
        </w:rPr>
        <w:t xml:space="preserve">                                                                                                        </w:t>
      </w:r>
    </w:p>
    <w:p w14:paraId="20C93573">
      <w:pPr>
        <w:pStyle w:val="22"/>
        <w:adjustRightInd w:val="0"/>
        <w:snapToGrid w:val="0"/>
        <w:spacing w:line="300" w:lineRule="auto"/>
        <w:ind w:left="1619" w:leftChars="771"/>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59648"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1417" name="00025c"/>
                <wp:cNvGraphicFramePr/>
                <a:graphic xmlns:a="http://schemas.openxmlformats.org/drawingml/2006/main">
                  <a:graphicData uri="http://schemas.microsoft.com/office/word/2010/wordprocessingShape">
                    <wps:wsp>
                      <wps:cNvSpPr/>
                      <wps:spPr>
                        <a:xfrm>
                          <a:off x="0" y="0"/>
                          <a:ext cx="914400" cy="463549"/>
                        </a:xfrm>
                        <a:prstGeom prst="rect">
                          <a:avLst/>
                        </a:prstGeom>
                        <a:ln>
                          <a:noFill/>
                        </a:ln>
                      </wps:spPr>
                      <wps:txbx>
                        <w:txbxContent>
                          <w:p w14:paraId="3B6C7631">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因建设单位的原因解除的支付</w:t>
                            </w:r>
                          </w:p>
                        </w:txbxContent>
                      </wps:txbx>
                      <wps:bodyPr wrap="square"/>
                    </wps:wsp>
                  </a:graphicData>
                </a:graphic>
              </wp:anchor>
            </w:drawing>
          </mc:Choice>
          <mc:Fallback>
            <w:pict>
              <v:rect id="00025c" o:spid="_x0000_s1026" o:spt="1" style="position:absolute;left:0pt;margin-left:-9pt;margin-top:3.6pt;height:36.5pt;width:72pt;z-index:252059648;mso-width-relative:page;mso-height-relative:page;" filled="f" stroked="f" coordsize="21600,21600" o:gfxdata="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Tei3etcAAAAIAQAADwAAAAAAAAABACAAAAAiAAAA&#10;ZHJzL2Rvd25yZXYueG1sUEsBAhQAFAAAAAgAh07iQLKUWn+WAQAAOAMAAA4AAAAAAAAAAQAgAAAA&#10;JgEAAGRycy9lMm9Eb2MueG1sUEsFBgAAAAAGAAYAWQEAAC4FAAAAAA==&#10;">
                <v:fill on="f" focussize="0,0"/>
                <v:stroke on="f"/>
                <v:imagedata o:title=""/>
                <o:lock v:ext="edit" aspectratio="f"/>
                <v:textbox>
                  <w:txbxContent>
                    <w:p w14:paraId="3B6C7631">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因建设单位的原因解除的支付</w:t>
                      </w:r>
                    </w:p>
                  </w:txbxContent>
                </v:textbox>
              </v:rect>
            </w:pict>
          </mc:Fallback>
        </mc:AlternateContent>
      </w:r>
      <w:r>
        <w:rPr>
          <w:rFonts w:hint="eastAsia" w:hAnsi="宋体" w:eastAsia="宋体" w:cs="宋体"/>
          <w:color w:val="auto"/>
          <w:sz w:val="24"/>
          <w:szCs w:val="24"/>
          <w:highlight w:val="none"/>
        </w:rPr>
        <w:t>根据第87.4款规定解除合同的，发包人除应按照第88.2款规定向承包人支付各项款项外，还应支付给承包人由于解除合同而引起的损失或损害的款项。该笔款项由承包人提出，造价工程师核实后与合同双方当事人协商确定，并在确定后的7天内由造价工程师向发包人签发支付证书，抄送承包人。协商不能达成一致的，按照第86条规定处理。</w:t>
      </w:r>
    </w:p>
    <w:p w14:paraId="73A2A514">
      <w:pPr>
        <w:pStyle w:val="22"/>
        <w:adjustRightInd w:val="0"/>
        <w:snapToGrid w:val="0"/>
        <w:spacing w:line="300" w:lineRule="auto"/>
        <w:jc w:val="left"/>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0EEA7280">
      <w:pPr>
        <w:pStyle w:val="22"/>
        <w:adjustRightInd w:val="0"/>
        <w:snapToGrid w:val="0"/>
        <w:spacing w:line="300" w:lineRule="auto"/>
        <w:jc w:val="left"/>
        <w:outlineLvl w:val="2"/>
        <w:rPr>
          <w:rFonts w:hint="eastAsia" w:hAnsi="宋体" w:eastAsia="宋体" w:cs="宋体"/>
          <w:b/>
          <w:bCs/>
          <w:color w:val="auto"/>
          <w:sz w:val="24"/>
          <w:szCs w:val="24"/>
          <w:highlight w:val="none"/>
        </w:rPr>
      </w:pPr>
      <w:bookmarkStart w:id="204" w:name="_Toc469384073"/>
      <w:bookmarkStart w:id="205" w:name="_Toc46860895"/>
      <w:r>
        <w:rPr>
          <w:rFonts w:hint="eastAsia" w:hAnsi="宋体" w:eastAsia="宋体" w:cs="宋体"/>
          <w:b/>
          <w:bCs/>
          <w:color w:val="auto"/>
          <w:sz w:val="24"/>
          <w:szCs w:val="24"/>
          <w:highlight w:val="none"/>
        </w:rPr>
        <w:t>89  合同终止</w:t>
      </w:r>
      <w:bookmarkEnd w:id="204"/>
      <w:bookmarkEnd w:id="205"/>
    </w:p>
    <w:p w14:paraId="48285769">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89.1    </w:t>
      </w:r>
    </w:p>
    <w:p w14:paraId="2E882FAB">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6067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418" name="00025d"/>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205FAE28">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合同解除后的终止</w:t>
                            </w:r>
                          </w:p>
                        </w:txbxContent>
                      </wps:txbx>
                      <wps:bodyPr wrap="square"/>
                    </wps:wsp>
                  </a:graphicData>
                </a:graphic>
              </wp:anchor>
            </w:drawing>
          </mc:Choice>
          <mc:Fallback>
            <w:pict>
              <v:rect id="00025d" o:spid="_x0000_s1026" o:spt="1" style="position:absolute;left:0pt;margin-left:-9pt;margin-top:1.25pt;height:31.2pt;width:72pt;z-index:252060672;mso-width-relative:page;mso-height-relative:page;" filled="f" stroked="f" coordsize="21600,21600" o:gfxdata="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EH2cf/YAAAACAEAAA8AAAAAAAAAAQAgAAAAIgAA&#10;AGRycy9kb3ducmV2LnhtbFBLAQIUABQAAAAIAIdO4kDx2NfUlgEAADgDAAAOAAAAAAAAAAEAIAAA&#10;ACcBAABkcnMvZTJvRG9jLnhtbFBLBQYAAAAABgAGAFkBAAAvBQAAAAA=&#10;">
                <v:fill on="f" focussize="0,0"/>
                <v:stroke on="f"/>
                <v:imagedata o:title=""/>
                <o:lock v:ext="edit" aspectratio="f"/>
                <v:textbox>
                  <w:txbxContent>
                    <w:p w14:paraId="205FAE28">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合同解除后的终止</w:t>
                      </w:r>
                    </w:p>
                  </w:txbxContent>
                </v:textbox>
              </v:rect>
            </w:pict>
          </mc:Fallback>
        </mc:AlternateContent>
      </w:r>
      <w:r>
        <w:rPr>
          <w:rFonts w:hint="eastAsia" w:hAnsi="宋体" w:eastAsia="宋体" w:cs="宋体"/>
          <w:color w:val="auto"/>
          <w:sz w:val="24"/>
          <w:szCs w:val="24"/>
          <w:highlight w:val="none"/>
        </w:rPr>
        <w:t>合同解除后，除合同双方当事人享有第86条至第88条规定的权利外，本合同即告终止，但不因一方当事人在此以前的任何违约而损害另一方当事人应享有的权利，也不影响合同双方当事人履行本合同结算和清算条款的效力。</w:t>
      </w:r>
    </w:p>
    <w:p w14:paraId="03562DD7">
      <w:pPr>
        <w:pStyle w:val="22"/>
        <w:tabs>
          <w:tab w:val="left" w:pos="1320"/>
        </w:tabs>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89.2  </w:t>
      </w:r>
      <w:r>
        <w:rPr>
          <w:rFonts w:hint="eastAsia" w:hAnsi="宋体" w:eastAsia="宋体" w:cs="宋体"/>
          <w:b/>
          <w:bCs/>
          <w:color w:val="auto"/>
          <w:sz w:val="24"/>
          <w:szCs w:val="24"/>
          <w:highlight w:val="none"/>
          <w:u w:val="dotted"/>
        </w:rPr>
        <w:t xml:space="preserve">                                                                                                        </w:t>
      </w:r>
    </w:p>
    <w:p w14:paraId="2A22EB48">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61696"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1419" name="00025e"/>
                <wp:cNvGraphicFramePr/>
                <a:graphic xmlns:a="http://schemas.openxmlformats.org/drawingml/2006/main">
                  <a:graphicData uri="http://schemas.microsoft.com/office/word/2010/wordprocessingShape">
                    <wps:wsp>
                      <wps:cNvSpPr/>
                      <wps:spPr>
                        <a:xfrm>
                          <a:off x="0" y="0"/>
                          <a:ext cx="914400" cy="851534"/>
                        </a:xfrm>
                        <a:prstGeom prst="rect">
                          <a:avLst/>
                        </a:prstGeom>
                        <a:ln>
                          <a:noFill/>
                        </a:ln>
                      </wps:spPr>
                      <wps:txbx>
                        <w:txbxContent>
                          <w:p w14:paraId="44FCA719">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双方履行完全部义务后的终止</w:t>
                            </w:r>
                          </w:p>
                        </w:txbxContent>
                      </wps:txbx>
                      <wps:bodyPr wrap="square"/>
                    </wps:wsp>
                  </a:graphicData>
                </a:graphic>
              </wp:anchor>
            </w:drawing>
          </mc:Choice>
          <mc:Fallback>
            <w:pict>
              <v:rect id="00025e" o:spid="_x0000_s1026" o:spt="1" style="position:absolute;left:0pt;margin-left:-9pt;margin-top:0.05pt;height:67.05pt;width:72pt;z-index:252061696;mso-width-relative:page;mso-height-relative:page;" filled="f" stroked="f" coordsize="21600,21600" o:gfxdata="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&#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R+yvx1wAAAAgBAAAPAAAAAAAAAAEAIAAAACIAAABk&#10;cnMvZG93bnJldi54bWxQSwECFAAUAAAACACHTuJAA2PuWpUBAAA4AwAADgAAAAAAAAABACAAAAAm&#10;AQAAZHJzL2Uyb0RvYy54bWxQSwUGAAAAAAYABgBZAQAALQUAAAAA&#10;">
                <v:fill on="f" focussize="0,0"/>
                <v:stroke on="f"/>
                <v:imagedata o:title=""/>
                <o:lock v:ext="edit" aspectratio="f"/>
                <v:textbox>
                  <w:txbxContent>
                    <w:p w14:paraId="44FCA719">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双方履行完全部义务后的终止</w:t>
                      </w:r>
                    </w:p>
                  </w:txbxContent>
                </v:textbox>
              </v:rect>
            </w:pict>
          </mc:Fallback>
        </mc:AlternateContent>
      </w:r>
      <w:r>
        <w:rPr>
          <w:rFonts w:hint="eastAsia" w:hAnsi="宋体" w:eastAsia="宋体" w:cs="宋体"/>
          <w:color w:val="auto"/>
          <w:sz w:val="24"/>
          <w:szCs w:val="24"/>
          <w:highlight w:val="none"/>
        </w:rPr>
        <w:t>除第59条和第84条规定的质量保修条款外，合同双方当事人履行完本合同全部义务，发包人向承包人支付完竣工结算款，承包人向发包人交付竣工工程后，本合同即告终止。</w:t>
      </w:r>
    </w:p>
    <w:p w14:paraId="604B0FB0">
      <w:pPr>
        <w:pStyle w:val="22"/>
        <w:tabs>
          <w:tab w:val="left" w:pos="1320"/>
        </w:tabs>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89.3  </w:t>
      </w:r>
      <w:r>
        <w:rPr>
          <w:rFonts w:hint="eastAsia" w:hAnsi="宋体" w:eastAsia="宋体" w:cs="宋体"/>
          <w:b/>
          <w:bCs/>
          <w:color w:val="auto"/>
          <w:sz w:val="24"/>
          <w:szCs w:val="24"/>
          <w:highlight w:val="none"/>
          <w:u w:val="dotted"/>
        </w:rPr>
        <w:t xml:space="preserve">                                                                              </w:t>
      </w:r>
    </w:p>
    <w:p w14:paraId="00B78328">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62720"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1420" name="00025f"/>
                <wp:cNvGraphicFramePr/>
                <a:graphic xmlns:a="http://schemas.openxmlformats.org/drawingml/2006/main">
                  <a:graphicData uri="http://schemas.microsoft.com/office/word/2010/wordprocessingShape">
                    <wps:wsp>
                      <wps:cNvSpPr/>
                      <wps:spPr>
                        <a:xfrm>
                          <a:off x="0" y="0"/>
                          <a:ext cx="914400" cy="415925"/>
                        </a:xfrm>
                        <a:prstGeom prst="rect">
                          <a:avLst/>
                        </a:prstGeom>
                        <a:ln>
                          <a:noFill/>
                        </a:ln>
                      </wps:spPr>
                      <wps:txbx>
                        <w:txbxContent>
                          <w:p w14:paraId="32E1CE1B">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合同终止后双方的义务</w:t>
                            </w:r>
                          </w:p>
                        </w:txbxContent>
                      </wps:txbx>
                      <wps:bodyPr wrap="square"/>
                    </wps:wsp>
                  </a:graphicData>
                </a:graphic>
              </wp:anchor>
            </w:drawing>
          </mc:Choice>
          <mc:Fallback>
            <w:pict>
              <v:rect id="00025f" o:spid="_x0000_s1026" o:spt="1" style="position:absolute;left:0pt;margin-left:-9pt;margin-top:1pt;height:32.75pt;width:72pt;z-index:252062720;mso-width-relative:page;mso-height-relative:page;" filled="f" stroked="f" coordsize="21600,21600" o:gfxdata="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7icxHdkAAAAIAQAADwAAAAAAAAABACAAAAAiAAAA&#10;ZHJzL2Rvd25yZXYueG1sUEsBAhQAFAAAAAgAh07iQKwyt5uUAQAAOAMAAA4AAAAAAAAAAQAgAAAA&#10;KAEAAGRycy9lMm9Eb2MueG1sUEsFBgAAAAAGAAYAWQEAAC4FAAAAAA==&#10;">
                <v:fill on="f" focussize="0,0"/>
                <v:stroke on="f"/>
                <v:imagedata o:title=""/>
                <o:lock v:ext="edit" aspectratio="f"/>
                <v:textbox>
                  <w:txbxContent>
                    <w:p w14:paraId="32E1CE1B">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合同终止后双方的义务</w:t>
                      </w:r>
                    </w:p>
                  </w:txbxContent>
                </v:textbox>
              </v:rect>
            </w:pict>
          </mc:Fallback>
        </mc:AlternateContent>
      </w:r>
      <w:r>
        <w:rPr>
          <w:rFonts w:hint="eastAsia" w:hAnsi="宋体" w:eastAsia="宋体" w:cs="宋体"/>
          <w:color w:val="auto"/>
          <w:sz w:val="24"/>
          <w:szCs w:val="24"/>
          <w:highlight w:val="none"/>
        </w:rPr>
        <w:t>本合同的权利义务终止后，合同双方当事人仍应遵循诚实信用原则，继续履行合同约定的通知、协助、保密等义务。</w:t>
      </w:r>
    </w:p>
    <w:p w14:paraId="4DDC4ED0">
      <w:pPr>
        <w:pStyle w:val="22"/>
        <w:adjustRightInd w:val="0"/>
        <w:snapToGrid w:val="0"/>
        <w:spacing w:line="300" w:lineRule="auto"/>
        <w:ind w:right="-238"/>
        <w:rPr>
          <w:rFonts w:hint="eastAsia" w:hAnsi="宋体" w:eastAsia="宋体" w:cs="宋体"/>
          <w:color w:val="auto"/>
          <w:sz w:val="24"/>
          <w:szCs w:val="24"/>
          <w:highlight w:val="none"/>
          <w:u w:val="single"/>
        </w:rPr>
      </w:pPr>
      <w:r>
        <w:rPr>
          <w:rFonts w:hint="eastAsia" w:hAnsi="宋体" w:eastAsia="宋体" w:cs="宋体"/>
          <w:color w:val="auto"/>
          <w:sz w:val="24"/>
          <w:szCs w:val="24"/>
          <w:highlight w:val="none"/>
          <w:u w:val="single"/>
        </w:rPr>
        <w:t xml:space="preserve">                                                                                 </w:t>
      </w:r>
    </w:p>
    <w:p w14:paraId="00D7622F">
      <w:pPr>
        <w:spacing w:line="300" w:lineRule="auto"/>
        <w:ind w:firstLine="2951" w:firstLineChars="122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八、违 约 责 任</w:t>
      </w:r>
    </w:p>
    <w:p w14:paraId="447E95E0">
      <w:pPr>
        <w:spacing w:line="300" w:lineRule="auto"/>
        <w:jc w:val="left"/>
        <w:rPr>
          <w:rFonts w:hint="eastAsia" w:ascii="宋体" w:hAnsi="宋体" w:eastAsia="宋体" w:cs="宋体"/>
          <w:color w:val="auto"/>
          <w:sz w:val="24"/>
          <w:highlight w:val="none"/>
        </w:rPr>
      </w:pPr>
      <w:bookmarkStart w:id="206" w:name="_Toc46860896"/>
    </w:p>
    <w:p w14:paraId="0BBACEFD">
      <w:pPr>
        <w:pStyle w:val="22"/>
        <w:adjustRightInd w:val="0"/>
        <w:snapToGrid w:val="0"/>
        <w:spacing w:line="300" w:lineRule="auto"/>
        <w:jc w:val="left"/>
        <w:outlineLvl w:val="2"/>
        <w:rPr>
          <w:rFonts w:hint="eastAsia" w:hAnsi="宋体" w:eastAsia="宋体" w:cs="宋体"/>
          <w:b/>
          <w:bCs/>
          <w:color w:val="auto"/>
          <w:sz w:val="24"/>
          <w:szCs w:val="24"/>
          <w:highlight w:val="none"/>
        </w:rPr>
      </w:pPr>
      <w:r>
        <w:rPr>
          <w:rFonts w:hint="eastAsia" w:hAnsi="宋体" w:eastAsia="宋体" w:cs="宋体"/>
          <w:color w:val="auto"/>
          <w:sz w:val="24"/>
          <w:szCs w:val="24"/>
          <w:highlight w:val="none"/>
        </w:rPr>
        <w:t>★</w:t>
      </w:r>
      <w:r>
        <w:rPr>
          <w:rFonts w:hint="eastAsia" w:hAnsi="宋体" w:eastAsia="宋体" w:cs="宋体"/>
          <w:b/>
          <w:bCs/>
          <w:color w:val="auto"/>
          <w:sz w:val="24"/>
          <w:szCs w:val="24"/>
          <w:highlight w:val="none"/>
        </w:rPr>
        <w:t>90  承包人的违约责任</w:t>
      </w:r>
      <w:bookmarkEnd w:id="206"/>
    </w:p>
    <w:p w14:paraId="4FB94BEA">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90.1</w:t>
      </w:r>
    </w:p>
    <w:p w14:paraId="53A05039">
      <w:pPr>
        <w:adjustRightInd w:val="0"/>
        <w:snapToGrid w:val="0"/>
        <w:spacing w:line="300" w:lineRule="auto"/>
        <w:ind w:left="2486" w:leftChars="98" w:hanging="2280" w:hangingChars="95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206374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421" name="000260"/>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4CAF3419">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承包人责任</w:t>
                            </w:r>
                          </w:p>
                        </w:txbxContent>
                      </wps:txbx>
                      <wps:bodyPr wrap="square"/>
                    </wps:wsp>
                  </a:graphicData>
                </a:graphic>
              </wp:anchor>
            </w:drawing>
          </mc:Choice>
          <mc:Fallback>
            <w:pict>
              <v:rect id="000260" o:spid="_x0000_s1026" o:spt="1" style="position:absolute;left:0pt;margin-left:-9pt;margin-top:1.25pt;height:31.2pt;width:72pt;z-index:252063744;mso-width-relative:page;mso-height-relative:page;" filled="f" stroked="f" coordsize="21600,21600" o:gfxdata="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QfZx/9gAAAAIAQAADwAAAAAAAAABACAAAAAiAAAA&#10;ZHJzL2Rvd25yZXYueG1sUEsBAhQAFAAAAAgAh07iQEEthP2VAQAAOAMAAA4AAAAAAAAAAQAgAAAA&#10;JwEAAGRycy9lMm9Eb2MueG1sUEsFBgAAAAAGAAYAWQEAAC4FAAAAAA==&#10;">
                <v:fill on="f" focussize="0,0"/>
                <v:stroke on="f"/>
                <v:imagedata o:title=""/>
                <o:lock v:ext="edit" aspectratio="f"/>
                <v:textbox>
                  <w:txbxContent>
                    <w:p w14:paraId="4CAF3419">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承包人责任</w:t>
                      </w:r>
                    </w:p>
                  </w:txbxContent>
                </v:textbox>
              </v:rect>
            </w:pict>
          </mc:Fallback>
        </mc:AlternateContent>
      </w:r>
      <w:r>
        <w:rPr>
          <w:rFonts w:hint="eastAsia" w:ascii="宋体" w:hAnsi="宋体" w:eastAsia="宋体" w:cs="宋体"/>
          <w:color w:val="auto"/>
          <w:sz w:val="24"/>
          <w:highlight w:val="none"/>
        </w:rPr>
        <w:t xml:space="preserve">         因承包人违反本合同约定给发包人造成损失的，承包人应当赔偿发</w:t>
      </w:r>
    </w:p>
    <w:p w14:paraId="5E7D82F6">
      <w:pPr>
        <w:adjustRightInd w:val="0"/>
        <w:snapToGrid w:val="0"/>
        <w:spacing w:line="300" w:lineRule="auto"/>
        <w:ind w:left="2336" w:leftChars="598" w:hanging="1080" w:hangingChars="450"/>
        <w:rPr>
          <w:rFonts w:hint="eastAsia" w:ascii="宋体" w:hAnsi="宋体" w:eastAsia="宋体" w:cs="宋体"/>
          <w:color w:val="auto"/>
          <w:sz w:val="24"/>
          <w:highlight w:val="none"/>
        </w:rPr>
      </w:pPr>
      <w:r>
        <w:rPr>
          <w:rFonts w:hint="eastAsia" w:ascii="宋体" w:hAnsi="宋体" w:eastAsia="宋体" w:cs="宋体"/>
          <w:color w:val="auto"/>
          <w:sz w:val="24"/>
          <w:highlight w:val="none"/>
        </w:rPr>
        <w:t>包人损失。</w:t>
      </w:r>
    </w:p>
    <w:p w14:paraId="2752EDB8">
      <w:pPr>
        <w:adjustRightInd w:val="0"/>
        <w:snapToGrid w:val="0"/>
        <w:spacing w:line="300" w:lineRule="auto"/>
        <w:rPr>
          <w:rFonts w:hint="eastAsia" w:ascii="宋体" w:hAnsi="宋体" w:eastAsia="宋体" w:cs="宋体"/>
          <w:b/>
          <w:bCs/>
          <w:color w:val="auto"/>
          <w:sz w:val="24"/>
          <w:highlight w:val="none"/>
        </w:rPr>
      </w:pPr>
    </w:p>
    <w:p w14:paraId="374CA8D4">
      <w:pPr>
        <w:spacing w:line="300" w:lineRule="auto"/>
        <w:ind w:left="2300" w:leftChars="27" w:hanging="2243" w:hangingChars="931"/>
        <w:rPr>
          <w:rFonts w:hint="eastAsia"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90.2  </w:t>
      </w:r>
      <w:r>
        <w:rPr>
          <w:rFonts w:hint="eastAsia" w:ascii="宋体" w:hAnsi="宋体" w:eastAsia="宋体" w:cs="宋体"/>
          <w:b/>
          <w:bCs/>
          <w:color w:val="auto"/>
          <w:sz w:val="24"/>
          <w:highlight w:val="none"/>
          <w:u w:val="dotted"/>
        </w:rPr>
        <w:t xml:space="preserve">                                                                                </w:t>
      </w:r>
    </w:p>
    <w:p w14:paraId="44886FE5">
      <w:pPr>
        <w:spacing w:line="300" w:lineRule="auto"/>
        <w:ind w:left="2291" w:leftChars="27" w:hanging="2234" w:hangingChars="93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2064768"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1422" name="000261"/>
                <wp:cNvGraphicFramePr/>
                <a:graphic xmlns:a="http://schemas.openxmlformats.org/drawingml/2006/main">
                  <a:graphicData uri="http://schemas.microsoft.com/office/word/2010/wordprocessingShape">
                    <wps:wsp>
                      <wps:cNvSpPr/>
                      <wps:spPr>
                        <a:xfrm>
                          <a:off x="0" y="0"/>
                          <a:ext cx="914400" cy="415925"/>
                        </a:xfrm>
                        <a:prstGeom prst="rect">
                          <a:avLst/>
                        </a:prstGeom>
                        <a:ln>
                          <a:noFill/>
                        </a:ln>
                      </wps:spPr>
                      <wps:txbx>
                        <w:txbxContent>
                          <w:p w14:paraId="53F4753C">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承包人责任承担费用</w:t>
                            </w:r>
                          </w:p>
                          <w:p w14:paraId="6F17E5AC">
                            <w:pPr>
                              <w:spacing w:line="240" w:lineRule="exact"/>
                              <w:rPr>
                                <w:rFonts w:hint="eastAsia" w:ascii="楷体_GB2312" w:hAnsi="宋体" w:eastAsia="楷体_GB2312"/>
                                <w:b/>
                                <w:bCs/>
                                <w:sz w:val="18"/>
                                <w:szCs w:val="18"/>
                              </w:rPr>
                            </w:pPr>
                          </w:p>
                          <w:p w14:paraId="42A6803F">
                            <w:pPr>
                              <w:spacing w:line="240" w:lineRule="exact"/>
                              <w:rPr>
                                <w:rFonts w:hint="eastAsia" w:ascii="楷体_GB2312" w:hAnsi="宋体" w:eastAsia="楷体_GB2312"/>
                                <w:b/>
                                <w:bCs/>
                                <w:sz w:val="18"/>
                                <w:szCs w:val="18"/>
                              </w:rPr>
                            </w:pPr>
                          </w:p>
                        </w:txbxContent>
                      </wps:txbx>
                      <wps:bodyPr wrap="square"/>
                    </wps:wsp>
                  </a:graphicData>
                </a:graphic>
              </wp:anchor>
            </w:drawing>
          </mc:Choice>
          <mc:Fallback>
            <w:pict>
              <v:rect id="000261" o:spid="_x0000_s1026" o:spt="1" style="position:absolute;left:0pt;margin-left:-9pt;margin-top:1pt;height:32.75pt;width:72pt;z-index:252064768;mso-width-relative:page;mso-height-relative:page;" filled="f" stroked="f" coordsize="21600,21600" o:gfxdata="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4nMR3ZAAAACAEAAA8AAAAAAAAAAQAgAAAAIgAA&#10;AGRycy9kb3ducmV2LnhtbFBLAQIUABQAAAAIAIdO4kAoGF8KlQEAADgDAAAOAAAAAAAAAAEAIAAA&#10;ACgBAABkcnMvZTJvRG9jLnhtbFBLBQYAAAAABgAGAFkBAAAvBQAAAAA=&#10;">
                <v:fill on="f" focussize="0,0"/>
                <v:stroke on="f"/>
                <v:imagedata o:title=""/>
                <o:lock v:ext="edit" aspectratio="f"/>
                <v:textbox>
                  <w:txbxContent>
                    <w:p w14:paraId="53F4753C">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承包人责任承担费用</w:t>
                      </w:r>
                    </w:p>
                    <w:p w14:paraId="6F17E5AC">
                      <w:pPr>
                        <w:spacing w:line="240" w:lineRule="exact"/>
                        <w:rPr>
                          <w:rFonts w:hint="eastAsia" w:ascii="楷体_GB2312" w:hAnsi="宋体" w:eastAsia="楷体_GB2312"/>
                          <w:b/>
                          <w:bCs/>
                          <w:sz w:val="18"/>
                          <w:szCs w:val="18"/>
                        </w:rPr>
                      </w:pPr>
                    </w:p>
                    <w:p w14:paraId="42A6803F">
                      <w:pPr>
                        <w:spacing w:line="240" w:lineRule="exact"/>
                        <w:rPr>
                          <w:rFonts w:hint="eastAsia" w:ascii="楷体_GB2312" w:hAnsi="宋体" w:eastAsia="楷体_GB2312"/>
                          <w:b/>
                          <w:bCs/>
                          <w:sz w:val="18"/>
                          <w:szCs w:val="18"/>
                        </w:rPr>
                      </w:pPr>
                    </w:p>
                  </w:txbxContent>
                </v:textbox>
              </v:rect>
            </w:pict>
          </mc:Fallback>
        </mc:AlternateContent>
      </w:r>
      <w:r>
        <w:rPr>
          <w:rFonts w:hint="eastAsia" w:ascii="宋体" w:hAnsi="宋体" w:eastAsia="宋体" w:cs="宋体"/>
          <w:color w:val="auto"/>
          <w:sz w:val="24"/>
          <w:highlight w:val="none"/>
        </w:rPr>
        <w:t xml:space="preserve">           承包人向发包人的索赔不成立时，承包人应赔偿发包人由此发生</w:t>
      </w:r>
    </w:p>
    <w:p w14:paraId="6DC9319C">
      <w:pPr>
        <w:spacing w:line="300" w:lineRule="auto"/>
        <w:ind w:firstLine="1440" w:firstLineChars="600"/>
        <w:rPr>
          <w:rFonts w:hint="eastAsia" w:ascii="宋体" w:hAnsi="宋体" w:eastAsia="宋体" w:cs="宋体"/>
          <w:color w:val="auto"/>
          <w:sz w:val="24"/>
          <w:highlight w:val="none"/>
        </w:rPr>
      </w:pPr>
      <w:r>
        <w:rPr>
          <w:rFonts w:hint="eastAsia" w:ascii="宋体" w:hAnsi="宋体" w:eastAsia="宋体" w:cs="宋体"/>
          <w:color w:val="auto"/>
          <w:sz w:val="24"/>
          <w:highlight w:val="none"/>
        </w:rPr>
        <w:t>的费用。</w:t>
      </w:r>
    </w:p>
    <w:p w14:paraId="22E34D62">
      <w:pPr>
        <w:spacing w:line="300" w:lineRule="auto"/>
        <w:ind w:left="2291" w:leftChars="27" w:hanging="2234" w:hangingChars="931"/>
        <w:rPr>
          <w:rFonts w:hint="eastAsia" w:ascii="宋体" w:hAnsi="宋体" w:eastAsia="宋体" w:cs="宋体"/>
          <w:color w:val="auto"/>
          <w:sz w:val="24"/>
          <w:highlight w:val="none"/>
        </w:rPr>
      </w:pPr>
      <w:bookmarkStart w:id="207" w:name="_Toc46860897"/>
      <w:bookmarkStart w:id="208" w:name="_Toc489260630"/>
    </w:p>
    <w:p w14:paraId="1DAE2146">
      <w:pPr>
        <w:pStyle w:val="22"/>
        <w:adjustRightInd w:val="0"/>
        <w:snapToGrid w:val="0"/>
        <w:spacing w:line="300" w:lineRule="auto"/>
        <w:ind w:firstLine="120" w:firstLineChars="50"/>
        <w:jc w:val="left"/>
        <w:outlineLvl w:val="2"/>
        <w:rPr>
          <w:rFonts w:hint="eastAsia" w:hAnsi="宋体" w:eastAsia="宋体" w:cs="宋体"/>
          <w:b/>
          <w:bCs/>
          <w:color w:val="auto"/>
          <w:sz w:val="24"/>
          <w:szCs w:val="24"/>
          <w:highlight w:val="none"/>
        </w:rPr>
      </w:pPr>
      <w:r>
        <w:rPr>
          <w:rFonts w:hint="eastAsia" w:hAnsi="宋体" w:eastAsia="宋体" w:cs="宋体"/>
          <w:color w:val="auto"/>
          <w:sz w:val="24"/>
          <w:szCs w:val="24"/>
          <w:highlight w:val="none"/>
        </w:rPr>
        <w:t>★</w:t>
      </w:r>
      <w:r>
        <w:rPr>
          <w:rFonts w:hint="eastAsia" w:hAnsi="宋体" w:eastAsia="宋体" w:cs="宋体"/>
          <w:b/>
          <w:bCs/>
          <w:color w:val="auto"/>
          <w:sz w:val="24"/>
          <w:szCs w:val="24"/>
          <w:highlight w:val="none"/>
        </w:rPr>
        <w:t>91 发包人的违约责任</w:t>
      </w:r>
      <w:bookmarkEnd w:id="207"/>
      <w:bookmarkEnd w:id="208"/>
    </w:p>
    <w:p w14:paraId="00095A54">
      <w:pPr>
        <w:pStyle w:val="22"/>
        <w:adjustRightInd w:val="0"/>
        <w:snapToGrid w:val="0"/>
        <w:spacing w:line="300" w:lineRule="auto"/>
        <w:ind w:firstLine="118" w:firstLineChars="49"/>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91.1 </w:t>
      </w:r>
    </w:p>
    <w:p w14:paraId="1D0C00EC">
      <w:pPr>
        <w:adjustRightInd w:val="0"/>
        <w:snapToGrid w:val="0"/>
        <w:spacing w:line="300" w:lineRule="auto"/>
        <w:ind w:left="1035" w:leftChars="493"/>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206579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423" name="000262"/>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7A730D56">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建设单位责任</w:t>
                            </w:r>
                          </w:p>
                        </w:txbxContent>
                      </wps:txbx>
                      <wps:bodyPr wrap="square"/>
                    </wps:wsp>
                  </a:graphicData>
                </a:graphic>
              </wp:anchor>
            </w:drawing>
          </mc:Choice>
          <mc:Fallback>
            <w:pict>
              <v:rect id="000262" o:spid="_x0000_s1026" o:spt="1" style="position:absolute;left:0pt;margin-left:-9pt;margin-top:1.25pt;height:31.2pt;width:72pt;z-index:252065792;mso-width-relative:page;mso-height-relative:page;" filled="f" stroked="f" coordsize="21600,21600" o:gfxdata="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EH2cf/YAAAACAEAAA8AAAAAAAAAAQAgAAAAIgAA&#10;AGRycy9kb3ducmV2LnhtbFBLAQIUABQAAAAIAIdO4kAnlv4olgEAADgDAAAOAAAAAAAAAAEAIAAA&#10;ACcBAABkcnMvZTJvRG9jLnhtbFBLBQYAAAAABgAGAFkBAAAvBQAAAAA=&#10;">
                <v:fill on="f" focussize="0,0"/>
                <v:stroke on="f"/>
                <v:imagedata o:title=""/>
                <o:lock v:ext="edit" aspectratio="f"/>
                <v:textbox>
                  <w:txbxContent>
                    <w:p w14:paraId="7A730D56">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建设单位责任</w:t>
                      </w:r>
                    </w:p>
                  </w:txbxContent>
                </v:textbox>
              </v:rect>
            </w:pict>
          </mc:Fallback>
        </mc:AlternateContent>
      </w:r>
      <w:r>
        <w:rPr>
          <w:rFonts w:hint="eastAsia" w:ascii="宋体" w:hAnsi="宋体" w:eastAsia="宋体" w:cs="宋体"/>
          <w:color w:val="auto"/>
          <w:sz w:val="24"/>
          <w:highlight w:val="none"/>
        </w:rPr>
        <w:t xml:space="preserve">   因发包人违反本合同约定造成承包人损失的，发包人应予以赔</w:t>
      </w:r>
    </w:p>
    <w:p w14:paraId="7C186481">
      <w:pPr>
        <w:adjustRightInd w:val="0"/>
        <w:snapToGrid w:val="0"/>
        <w:spacing w:line="300" w:lineRule="auto"/>
        <w:ind w:left="1035" w:leftChars="493"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偿。</w:t>
      </w:r>
    </w:p>
    <w:p w14:paraId="213D014B">
      <w:pPr>
        <w:adjustRightInd w:val="0"/>
        <w:snapToGrid w:val="0"/>
        <w:spacing w:line="300" w:lineRule="auto"/>
        <w:ind w:left="1035" w:leftChars="493" w:firstLine="361" w:firstLineChars="150"/>
        <w:rPr>
          <w:rFonts w:hint="eastAsia" w:ascii="宋体" w:hAnsi="宋体" w:eastAsia="宋体" w:cs="宋体"/>
          <w:b/>
          <w:bCs/>
          <w:color w:val="auto"/>
          <w:sz w:val="24"/>
          <w:highlight w:val="none"/>
        </w:rPr>
      </w:pPr>
    </w:p>
    <w:p w14:paraId="65553878">
      <w:pPr>
        <w:spacing w:line="300" w:lineRule="auto"/>
        <w:ind w:left="2300" w:leftChars="27" w:hanging="2243" w:hangingChars="931"/>
        <w:rPr>
          <w:rFonts w:hint="eastAsia"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91.2  </w:t>
      </w:r>
      <w:r>
        <w:rPr>
          <w:rFonts w:hint="eastAsia" w:ascii="宋体" w:hAnsi="宋体" w:eastAsia="宋体" w:cs="宋体"/>
          <w:b/>
          <w:bCs/>
          <w:color w:val="auto"/>
          <w:sz w:val="24"/>
          <w:highlight w:val="none"/>
          <w:u w:val="dotted"/>
        </w:rPr>
        <w:t xml:space="preserve">                                                                                </w:t>
      </w:r>
    </w:p>
    <w:p w14:paraId="2B765B6F">
      <w:pPr>
        <w:adjustRightInd w:val="0"/>
        <w:snapToGrid w:val="0"/>
        <w:spacing w:line="300" w:lineRule="auto"/>
        <w:ind w:left="1414" w:leftChars="102" w:hanging="1200" w:hangingChars="50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2066816"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1424" name="000263"/>
                <wp:cNvGraphicFramePr/>
                <a:graphic xmlns:a="http://schemas.openxmlformats.org/drawingml/2006/main">
                  <a:graphicData uri="http://schemas.microsoft.com/office/word/2010/wordprocessingShape">
                    <wps:wsp>
                      <wps:cNvSpPr/>
                      <wps:spPr>
                        <a:xfrm>
                          <a:off x="0" y="0"/>
                          <a:ext cx="914400" cy="415925"/>
                        </a:xfrm>
                        <a:prstGeom prst="rect">
                          <a:avLst/>
                        </a:prstGeom>
                        <a:ln>
                          <a:noFill/>
                        </a:ln>
                      </wps:spPr>
                      <wps:txbx>
                        <w:txbxContent>
                          <w:p w14:paraId="27D72A7B">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建设单位责任承担费用</w:t>
                            </w:r>
                          </w:p>
                        </w:txbxContent>
                      </wps:txbx>
                      <wps:bodyPr wrap="square"/>
                    </wps:wsp>
                  </a:graphicData>
                </a:graphic>
              </wp:anchor>
            </w:drawing>
          </mc:Choice>
          <mc:Fallback>
            <w:pict>
              <v:rect id="000263" o:spid="_x0000_s1026" o:spt="1" style="position:absolute;left:0pt;margin-left:-9pt;margin-top:1pt;height:32.75pt;width:72pt;z-index:252066816;mso-width-relative:page;mso-height-relative:page;" filled="f" stroked="f" coordsize="21600,21600" o:gfxdata="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uJzEd2QAAAAgBAAAPAAAAAAAAAAEAIAAAACIA&#10;AABkcnMvZG93bnJldi54bWxQSwECFAAUAAAACACHTuJAdkAxnpYBAAA4AwAADgAAAAAAAAABACAA&#10;AAAoAQAAZHJzL2Uyb0RvYy54bWxQSwUGAAAAAAYABgBZAQAAMAUAAAAA&#10;">
                <v:fill on="f" focussize="0,0"/>
                <v:stroke on="f"/>
                <v:imagedata o:title=""/>
                <o:lock v:ext="edit" aspectratio="f"/>
                <v:textbox>
                  <w:txbxContent>
                    <w:p w14:paraId="27D72A7B">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建设单位责任承担费用</w:t>
                      </w:r>
                    </w:p>
                  </w:txbxContent>
                </v:textbox>
              </v:rect>
            </w:pict>
          </mc:Fallback>
        </mc:AlternateContent>
      </w:r>
      <w:r>
        <w:rPr>
          <w:rFonts w:hint="eastAsia" w:ascii="宋体" w:hAnsi="宋体" w:eastAsia="宋体" w:cs="宋体"/>
          <w:color w:val="auto"/>
          <w:sz w:val="24"/>
          <w:highlight w:val="none"/>
        </w:rPr>
        <w:t xml:space="preserve">          发包人向承包人的索赔不成立时，发包人应赔偿承包人由此发 生的费用。</w:t>
      </w:r>
    </w:p>
    <w:p w14:paraId="1BA77B28">
      <w:pPr>
        <w:adjustRightInd w:val="0"/>
        <w:snapToGrid w:val="0"/>
        <w:spacing w:line="300" w:lineRule="auto"/>
        <w:rPr>
          <w:rFonts w:hint="eastAsia" w:ascii="宋体" w:hAnsi="宋体" w:eastAsia="宋体" w:cs="宋体"/>
          <w:b/>
          <w:bCs/>
          <w:color w:val="auto"/>
          <w:sz w:val="24"/>
          <w:highlight w:val="none"/>
          <w:u w:val="dotted"/>
        </w:rPr>
      </w:pPr>
      <w:bookmarkStart w:id="209" w:name="_Toc489260631"/>
      <w:bookmarkStart w:id="210" w:name="_Toc46860898"/>
    </w:p>
    <w:p w14:paraId="707B676D">
      <w:pPr>
        <w:spacing w:line="300" w:lineRule="auto"/>
        <w:ind w:left="210" w:leftChars="100"/>
        <w:outlineLvl w:val="2"/>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92  除外责任</w:t>
      </w:r>
      <w:bookmarkEnd w:id="209"/>
      <w:bookmarkEnd w:id="210"/>
    </w:p>
    <w:p w14:paraId="151ED8B6">
      <w:pPr>
        <w:adjustRightInd w:val="0"/>
        <w:snapToGrid w:val="0"/>
        <w:spacing w:line="300" w:lineRule="auto"/>
        <w:ind w:left="1560" w:leftChars="400" w:hanging="720" w:hangingChars="30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206784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425" name="000264"/>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67D6A242">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非发、承包人责任</w:t>
                            </w:r>
                          </w:p>
                        </w:txbxContent>
                      </wps:txbx>
                      <wps:bodyPr wrap="square"/>
                    </wps:wsp>
                  </a:graphicData>
                </a:graphic>
              </wp:anchor>
            </w:drawing>
          </mc:Choice>
          <mc:Fallback>
            <w:pict>
              <v:rect id="000264" o:spid="_x0000_s1026" o:spt="1" style="position:absolute;left:0pt;margin-left:-9pt;margin-top:1.25pt;height:31.2pt;width:72pt;z-index:252067840;mso-width-relative:page;mso-height-relative:page;" filled="f" stroked="f" coordsize="21600,21600" o:gfxdata="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EH2cf/YAAAACAEAAA8AAAAAAAAAAQAgAAAAIgAA&#10;AGRycy9kb3ducmV2LnhtbFBLAQIUABQAAAAIAIdO4kDMXQCMlgEAADgDAAAOAAAAAAAAAAEAIAAA&#10;ACcBAABkcnMvZTJvRG9jLnhtbFBLBQYAAAAABgAGAFkBAAAvBQAAAAA=&#10;">
                <v:fill on="f" focussize="0,0"/>
                <v:stroke on="f"/>
                <v:imagedata o:title=""/>
                <o:lock v:ext="edit" aspectratio="f"/>
                <v:textbox>
                  <w:txbxContent>
                    <w:p w14:paraId="67D6A242">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非发、承包人责任</w:t>
                      </w:r>
                    </w:p>
                  </w:txbxContent>
                </v:textbox>
              </v:rect>
            </w:pict>
          </mc:Fallback>
        </mc:AlternateContent>
      </w:r>
      <w:r>
        <w:rPr>
          <w:rFonts w:hint="eastAsia" w:ascii="宋体" w:hAnsi="宋体" w:eastAsia="宋体" w:cs="宋体"/>
          <w:color w:val="auto"/>
          <w:sz w:val="24"/>
          <w:highlight w:val="none"/>
        </w:rPr>
        <w:t xml:space="preserve">      非承包人的原因，且承包人无过错，而产生的各类损失，承包 人不承担赔偿责任。</w:t>
      </w:r>
    </w:p>
    <w:p w14:paraId="0E80D867">
      <w:pPr>
        <w:adjustRightInd w:val="0"/>
        <w:snapToGrid w:val="0"/>
        <w:spacing w:line="300" w:lineRule="auto"/>
        <w:ind w:left="1556" w:leftChars="741"/>
        <w:rPr>
          <w:rFonts w:hint="eastAsia" w:ascii="宋体" w:hAnsi="宋体" w:eastAsia="宋体" w:cs="宋体"/>
          <w:color w:val="auto"/>
          <w:sz w:val="24"/>
          <w:highlight w:val="none"/>
        </w:rPr>
      </w:pPr>
      <w:r>
        <w:rPr>
          <w:rFonts w:hint="eastAsia" w:ascii="宋体" w:hAnsi="宋体" w:eastAsia="宋体" w:cs="宋体"/>
          <w:color w:val="auto"/>
          <w:sz w:val="24"/>
          <w:highlight w:val="none"/>
        </w:rPr>
        <w:t>因不可抗力导致本合同全部或部分不能履行时，双方各自承担其因此而造成的损失、损害。</w:t>
      </w:r>
    </w:p>
    <w:p w14:paraId="481FD384">
      <w:pPr>
        <w:spacing w:line="300" w:lineRule="auto"/>
        <w:rPr>
          <w:rFonts w:hint="eastAsia" w:ascii="宋体" w:hAnsi="宋体" w:eastAsia="宋体" w:cs="宋体"/>
          <w:color w:val="auto"/>
          <w:sz w:val="24"/>
          <w:highlight w:val="none"/>
        </w:rPr>
      </w:pPr>
    </w:p>
    <w:p w14:paraId="7D4AB023">
      <w:pPr>
        <w:pStyle w:val="22"/>
        <w:adjustRightInd w:val="0"/>
        <w:snapToGrid w:val="0"/>
        <w:spacing w:line="300" w:lineRule="auto"/>
        <w:ind w:right="-238"/>
        <w:rPr>
          <w:rFonts w:hint="eastAsia" w:hAnsi="宋体" w:eastAsia="宋体" w:cs="宋体"/>
          <w:color w:val="auto"/>
          <w:sz w:val="24"/>
          <w:szCs w:val="24"/>
          <w:highlight w:val="none"/>
          <w:u w:val="single"/>
        </w:rPr>
      </w:pPr>
      <w:r>
        <w:rPr>
          <w:rFonts w:hint="eastAsia" w:hAnsi="宋体" w:eastAsia="宋体" w:cs="宋体"/>
          <w:color w:val="auto"/>
          <w:sz w:val="24"/>
          <w:szCs w:val="24"/>
          <w:highlight w:val="none"/>
          <w:u w:val="single"/>
        </w:rPr>
        <w:t xml:space="preserve">                                                                                 </w:t>
      </w:r>
    </w:p>
    <w:p w14:paraId="593518D8">
      <w:pPr>
        <w:pStyle w:val="22"/>
        <w:adjustRightInd w:val="0"/>
        <w:snapToGrid w:val="0"/>
        <w:spacing w:line="300" w:lineRule="auto"/>
        <w:ind w:firstLine="3004" w:firstLineChars="1247"/>
        <w:outlineLvl w:val="1"/>
        <w:rPr>
          <w:rFonts w:hint="eastAsia" w:hAnsi="宋体" w:eastAsia="宋体" w:cs="宋体"/>
          <w:b/>
          <w:bCs/>
          <w:color w:val="auto"/>
          <w:sz w:val="24"/>
          <w:szCs w:val="24"/>
          <w:highlight w:val="none"/>
        </w:rPr>
      </w:pPr>
      <w:bookmarkStart w:id="211" w:name="_Toc469384074"/>
      <w:bookmarkStart w:id="212" w:name="_Toc46860899"/>
      <w:r>
        <w:rPr>
          <w:rFonts w:hint="eastAsia" w:hAnsi="宋体" w:eastAsia="宋体" w:cs="宋体"/>
          <w:b/>
          <w:bCs/>
          <w:color w:val="auto"/>
          <w:sz w:val="24"/>
          <w:szCs w:val="24"/>
          <w:highlight w:val="none"/>
        </w:rPr>
        <w:t>九、其  他</w:t>
      </w:r>
      <w:bookmarkEnd w:id="211"/>
      <w:bookmarkEnd w:id="212"/>
    </w:p>
    <w:p w14:paraId="0D7E7C05">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213" w:name="_Toc46860900"/>
      <w:bookmarkStart w:id="214" w:name="_Toc469384075"/>
      <w:r>
        <w:rPr>
          <w:rFonts w:hint="eastAsia" w:hAnsi="宋体" w:eastAsia="宋体" w:cs="宋体"/>
          <w:b/>
          <w:bCs/>
          <w:color w:val="auto"/>
          <w:sz w:val="24"/>
          <w:szCs w:val="24"/>
          <w:highlight w:val="none"/>
        </w:rPr>
        <w:t>93  缴纳税费</w:t>
      </w:r>
      <w:bookmarkEnd w:id="213"/>
      <w:bookmarkEnd w:id="214"/>
    </w:p>
    <w:p w14:paraId="65D4315F">
      <w:pPr>
        <w:pStyle w:val="22"/>
        <w:tabs>
          <w:tab w:val="left" w:pos="1320"/>
        </w:tabs>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93.1      </w:t>
      </w:r>
    </w:p>
    <w:p w14:paraId="59253FFC">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w:t>合同双方当事人</w:t>
      </w:r>
      <w:r>
        <w:rPr>
          <w:rFonts w:hint="eastAsia" w:hAnsi="宋体" w:eastAsia="宋体" w:cs="宋体"/>
          <w:color w:val="auto"/>
          <w:sz w:val="24"/>
          <w:szCs w:val="24"/>
          <w:highlight w:val="none"/>
        </w:rPr>
        <mc:AlternateContent>
          <mc:Choice Requires="wps">
            <w:drawing>
              <wp:anchor distT="0" distB="0" distL="0" distR="0" simplePos="0" relativeHeight="252068864"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1426" name="000265"/>
                <wp:cNvGraphicFramePr/>
                <a:graphic xmlns:a="http://schemas.openxmlformats.org/drawingml/2006/main">
                  <a:graphicData uri="http://schemas.microsoft.com/office/word/2010/wordprocessingShape">
                    <wps:wsp>
                      <wps:cNvSpPr/>
                      <wps:spPr>
                        <a:xfrm>
                          <a:off x="0" y="0"/>
                          <a:ext cx="914400" cy="484504"/>
                        </a:xfrm>
                        <a:prstGeom prst="rect">
                          <a:avLst/>
                        </a:prstGeom>
                        <a:ln>
                          <a:noFill/>
                        </a:ln>
                      </wps:spPr>
                      <wps:txbx>
                        <w:txbxContent>
                          <w:p w14:paraId="53E01BE4">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约定缴纳一切税费</w:t>
                            </w:r>
                          </w:p>
                        </w:txbxContent>
                      </wps:txbx>
                      <wps:bodyPr wrap="square"/>
                    </wps:wsp>
                  </a:graphicData>
                </a:graphic>
              </wp:anchor>
            </w:drawing>
          </mc:Choice>
          <mc:Fallback>
            <w:pict>
              <v:rect id="000265" o:spid="_x0000_s1026" o:spt="1" style="position:absolute;left:0pt;margin-left:-9pt;margin-top:0.05pt;height:38.15pt;width:72pt;z-index:252068864;mso-width-relative:page;mso-height-relative:page;" filled="f" stroked="f" coordsize="21600,21600" o:gfxdata="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&#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FyYz8/WAAAABwEAAA8AAAAAAAAAAQAgAAAAIgAAAGRy&#10;cy9kb3ducmV2LnhtbFBLAQIUABQAAAAIAIdO4kA2iitvlQEAADgDAAAOAAAAAAAAAAEAIAAAACUB&#10;AABkcnMvZTJvRG9jLnhtbFBLBQYAAAAABgAGAFkBAAAsBQAAAAA=&#10;">
                <v:fill on="f" focussize="0,0"/>
                <v:stroke on="f"/>
                <v:imagedata o:title=""/>
                <o:lock v:ext="edit" aspectratio="f"/>
                <v:textbox>
                  <w:txbxContent>
                    <w:p w14:paraId="53E01BE4">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约定缴纳一切税费</w:t>
                      </w:r>
                    </w:p>
                  </w:txbxContent>
                </v:textbox>
              </v:rect>
            </w:pict>
          </mc:Fallback>
        </mc:AlternateContent>
      </w:r>
      <w:r>
        <w:rPr>
          <w:rFonts w:hint="eastAsia" w:hAnsi="宋体" w:eastAsia="宋体" w:cs="宋体"/>
          <w:color w:val="auto"/>
          <w:sz w:val="24"/>
          <w:szCs w:val="24"/>
          <w:highlight w:val="none"/>
        </w:rPr>
        <w:t>应按照国家现行税法和有关部门现行规定缴纳合同工程需缴的一切税费。</w:t>
      </w:r>
    </w:p>
    <w:p w14:paraId="6D2FD08A">
      <w:pPr>
        <w:pStyle w:val="22"/>
        <w:tabs>
          <w:tab w:val="left" w:pos="1320"/>
        </w:tabs>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93.2  </w:t>
      </w:r>
      <w:r>
        <w:rPr>
          <w:rFonts w:hint="eastAsia" w:hAnsi="宋体" w:eastAsia="宋体" w:cs="宋体"/>
          <w:b/>
          <w:bCs/>
          <w:color w:val="auto"/>
          <w:sz w:val="24"/>
          <w:szCs w:val="24"/>
          <w:highlight w:val="none"/>
          <w:u w:val="dotted"/>
        </w:rPr>
        <w:t xml:space="preserve">                                                                                                        </w:t>
      </w:r>
    </w:p>
    <w:p w14:paraId="0C1E5D1B">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69888" behindDoc="0" locked="0" layoutInCell="1" allowOverlap="1">
                <wp:simplePos x="0" y="0"/>
                <wp:positionH relativeFrom="column">
                  <wp:posOffset>-114300</wp:posOffset>
                </wp:positionH>
                <wp:positionV relativeFrom="paragraph">
                  <wp:posOffset>31750</wp:posOffset>
                </wp:positionV>
                <wp:extent cx="914400" cy="396240"/>
                <wp:effectExtent l="0" t="0" r="0" b="0"/>
                <wp:wrapNone/>
                <wp:docPr id="1427" name="000266"/>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2FB2A31A">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没交或少交税费的责任</w:t>
                            </w:r>
                          </w:p>
                        </w:txbxContent>
                      </wps:txbx>
                      <wps:bodyPr wrap="square"/>
                    </wps:wsp>
                  </a:graphicData>
                </a:graphic>
              </wp:anchor>
            </w:drawing>
          </mc:Choice>
          <mc:Fallback>
            <w:pict>
              <v:rect id="000266" o:spid="_x0000_s1026" o:spt="1" style="position:absolute;left:0pt;margin-left:-9pt;margin-top:2.5pt;height:31.2pt;width:72pt;z-index:252069888;mso-width-relative:page;mso-height-relative:page;" filled="f" stroked="f" coordsize="21600,21600" o:gfxdata="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pzuH+2QAAAAgBAAAPAAAAAAAAAAEAIAAAACIA&#10;AABkcnMvZG93bnJldi54bWxQSwECFAAUAAAACACHTuJAquZ6WZYBAAA4AwAADgAAAAAAAAABACAA&#10;AAAoAQAAZHJzL2Uyb0RvYy54bWxQSwUGAAAAAAYABgBZAQAAMAUAAAAA&#10;">
                <v:fill on="f" focussize="0,0"/>
                <v:stroke on="f"/>
                <v:imagedata o:title=""/>
                <o:lock v:ext="edit" aspectratio="f"/>
                <v:textbox>
                  <w:txbxContent>
                    <w:p w14:paraId="2FB2A31A">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没交或少交税费的责任</w:t>
                      </w:r>
                    </w:p>
                  </w:txbxContent>
                </v:textbox>
              </v:rect>
            </w:pict>
          </mc:Fallback>
        </mc:AlternateContent>
      </w:r>
      <w:r>
        <w:rPr>
          <w:rFonts w:hint="eastAsia" w:hAnsi="宋体" w:eastAsia="宋体" w:cs="宋体"/>
          <w:color w:val="auto"/>
          <w:sz w:val="24"/>
          <w:szCs w:val="24"/>
          <w:highlight w:val="none"/>
        </w:rPr>
        <w:t>合同任何一方当事人没交或少交合同工程需缴税费的，违法方应足额补交，并承担相应的法律责任；给另一方当事人造成损失的，违法方应赔偿损失。</w:t>
      </w:r>
    </w:p>
    <w:p w14:paraId="7787DFF9">
      <w:pPr>
        <w:pStyle w:val="22"/>
        <w:adjustRightInd w:val="0"/>
        <w:snapToGrid w:val="0"/>
        <w:spacing w:line="300" w:lineRule="auto"/>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64FA25AE">
      <w:pPr>
        <w:pStyle w:val="22"/>
        <w:tabs>
          <w:tab w:val="left" w:pos="540"/>
        </w:tabs>
        <w:adjustRightInd w:val="0"/>
        <w:snapToGrid w:val="0"/>
        <w:spacing w:before="240" w:beforeLines="100" w:line="300" w:lineRule="auto"/>
        <w:rPr>
          <w:rFonts w:hint="eastAsia" w:hAnsi="宋体" w:eastAsia="宋体" w:cs="宋体"/>
          <w:b/>
          <w:bCs/>
          <w:color w:val="auto"/>
          <w:sz w:val="24"/>
          <w:szCs w:val="24"/>
          <w:highlight w:val="none"/>
        </w:rPr>
      </w:pPr>
      <w:bookmarkStart w:id="215" w:name="_Toc46860901"/>
      <w:bookmarkStart w:id="216" w:name="_Toc469384076"/>
    </w:p>
    <w:p w14:paraId="6B6C4303">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94  保密要求</w:t>
      </w:r>
      <w:bookmarkEnd w:id="215"/>
      <w:bookmarkEnd w:id="216"/>
    </w:p>
    <w:p w14:paraId="2BF54C5B">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94.1    </w:t>
      </w:r>
    </w:p>
    <w:p w14:paraId="1488A55B">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70912"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1428" name="000267"/>
                <wp:cNvGraphicFramePr/>
                <a:graphic xmlns:a="http://schemas.openxmlformats.org/drawingml/2006/main">
                  <a:graphicData uri="http://schemas.microsoft.com/office/word/2010/wordprocessingShape">
                    <wps:wsp>
                      <wps:cNvSpPr/>
                      <wps:spPr>
                        <a:xfrm>
                          <a:off x="0" y="0"/>
                          <a:ext cx="914400" cy="594360"/>
                        </a:xfrm>
                        <a:prstGeom prst="rect">
                          <a:avLst/>
                        </a:prstGeom>
                        <a:ln>
                          <a:noFill/>
                        </a:ln>
                      </wps:spPr>
                      <wps:txbx>
                        <w:txbxContent>
                          <w:p w14:paraId="1D7CDE99">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提供保密信息和履行保密义务</w:t>
                            </w:r>
                          </w:p>
                        </w:txbxContent>
                      </wps:txbx>
                      <wps:bodyPr wrap="square"/>
                    </wps:wsp>
                  </a:graphicData>
                </a:graphic>
              </wp:anchor>
            </w:drawing>
          </mc:Choice>
          <mc:Fallback>
            <w:pict>
              <v:rect id="000267" o:spid="_x0000_s1026" o:spt="1" style="position:absolute;left:0pt;margin-left:-9pt;margin-top:2.7pt;height:46.8pt;width:72pt;z-index:252070912;mso-width-relative:page;mso-height-relative:page;" filled="f" stroked="f" coordsize="21600,21600" o:gfxdata="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VXzR62AAAAAgBAAAPAAAAAAAAAAEAIAAAACIA&#10;AABkcnMvZG93bnJldi54bWxQSwECFAAUAAAACACHTuJAa+RQ/pcBAAA4AwAADgAAAAAAAAABACAA&#10;AAAnAQAAZHJzL2Uyb0RvYy54bWxQSwUGAAAAAAYABgBZAQAAMAUAAAAA&#10;">
                <v:fill on="f" focussize="0,0"/>
                <v:stroke on="f"/>
                <v:imagedata o:title=""/>
                <o:lock v:ext="edit" aspectratio="f"/>
                <v:textbox>
                  <w:txbxContent>
                    <w:p w14:paraId="1D7CDE99">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提供保密信息和履行保密义务</w:t>
                      </w:r>
                    </w:p>
                  </w:txbxContent>
                </v:textbox>
              </v:rect>
            </w:pict>
          </mc:Fallback>
        </mc:AlternateContent>
      </w:r>
      <w:r>
        <w:rPr>
          <w:rFonts w:hint="eastAsia" w:hAnsi="宋体" w:eastAsia="宋体" w:cs="宋体"/>
          <w:color w:val="auto"/>
          <w:sz w:val="24"/>
          <w:szCs w:val="24"/>
          <w:highlight w:val="none"/>
        </w:rPr>
        <w:t>合同双方当事人应在专用条款约定期限内提供保密信息。自收到对方当事人提供的保密信息之日起，合同双方当事人应履行保密义务。合同双方当事人履行保密义务，并不因本合同终止而结束。</w:t>
      </w:r>
    </w:p>
    <w:p w14:paraId="76996A2E">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94.2  </w:t>
      </w:r>
      <w:r>
        <w:rPr>
          <w:rFonts w:hint="eastAsia" w:hAnsi="宋体" w:eastAsia="宋体" w:cs="宋体"/>
          <w:b/>
          <w:bCs/>
          <w:color w:val="auto"/>
          <w:sz w:val="24"/>
          <w:szCs w:val="24"/>
          <w:highlight w:val="none"/>
          <w:u w:val="dotted"/>
        </w:rPr>
        <w:t xml:space="preserve">                                                                                                        </w:t>
      </w:r>
    </w:p>
    <w:p w14:paraId="02277E89">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71936"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1429" name="000268"/>
                <wp:cNvGraphicFramePr/>
                <a:graphic xmlns:a="http://schemas.openxmlformats.org/drawingml/2006/main">
                  <a:graphicData uri="http://schemas.microsoft.com/office/word/2010/wordprocessingShape">
                    <wps:wsp>
                      <wps:cNvSpPr/>
                      <wps:spPr>
                        <a:xfrm>
                          <a:off x="0" y="0"/>
                          <a:ext cx="914400" cy="495300"/>
                        </a:xfrm>
                        <a:prstGeom prst="rect">
                          <a:avLst/>
                        </a:prstGeom>
                        <a:ln>
                          <a:noFill/>
                        </a:ln>
                      </wps:spPr>
                      <wps:txbx>
                        <w:txbxContent>
                          <w:p w14:paraId="1588303D">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保密信息知悉权限</w:t>
                            </w:r>
                          </w:p>
                        </w:txbxContent>
                      </wps:txbx>
                      <wps:bodyPr wrap="square"/>
                    </wps:wsp>
                  </a:graphicData>
                </a:graphic>
              </wp:anchor>
            </w:drawing>
          </mc:Choice>
          <mc:Fallback>
            <w:pict>
              <v:rect id="000268" o:spid="_x0000_s1026" o:spt="1" style="position:absolute;left:0pt;margin-left:-9pt;margin-top:5.4pt;height:39pt;width:72pt;z-index:252071936;mso-width-relative:page;mso-height-relative:page;" filled="f" stroked="f" coordsize="21600,21600" o:gfxdata="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brVLKtgAAAAJAQAADwAAAAAAAAABACAAAAAiAAAA&#10;ZHJzL2Rvd25yZXYueG1sUEsBAhQAFAAAAAgAh07iQDfzxGqVAQAAOAMAAA4AAAAAAAAAAQAgAAAA&#10;JwEAAGRycy9lMm9Eb2MueG1sUEsFBgAAAAAGAAYAWQEAAC4FAAAAAA==&#10;">
                <v:fill on="f" focussize="0,0"/>
                <v:stroke on="f"/>
                <v:imagedata o:title=""/>
                <o:lock v:ext="edit" aspectratio="f"/>
                <v:textbox>
                  <w:txbxContent>
                    <w:p w14:paraId="1588303D">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保密信息知悉权限</w:t>
                      </w:r>
                    </w:p>
                  </w:txbxContent>
                </v:textbox>
              </v:rect>
            </w:pict>
          </mc:Fallback>
        </mc:AlternateContent>
      </w:r>
      <w:r>
        <w:rPr>
          <w:rFonts w:hint="eastAsia" w:hAnsi="宋体" w:eastAsia="宋体" w:cs="宋体"/>
          <w:color w:val="auto"/>
          <w:sz w:val="24"/>
          <w:szCs w:val="24"/>
          <w:highlight w:val="none"/>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14:paraId="74F86D33">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94.3  </w:t>
      </w:r>
      <w:r>
        <w:rPr>
          <w:rFonts w:hint="eastAsia" w:hAnsi="宋体" w:eastAsia="宋体" w:cs="宋体"/>
          <w:b/>
          <w:bCs/>
          <w:color w:val="auto"/>
          <w:sz w:val="24"/>
          <w:szCs w:val="24"/>
          <w:highlight w:val="none"/>
          <w:u w:val="dotted"/>
        </w:rPr>
        <w:t xml:space="preserve">                                                                                                       </w:t>
      </w:r>
    </w:p>
    <w:p w14:paraId="5FD3B3FE">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72960"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1430" name="000269"/>
                <wp:cNvGraphicFramePr/>
                <a:graphic xmlns:a="http://schemas.openxmlformats.org/drawingml/2006/main">
                  <a:graphicData uri="http://schemas.microsoft.com/office/word/2010/wordprocessingShape">
                    <wps:wsp>
                      <wps:cNvSpPr/>
                      <wps:spPr>
                        <a:xfrm>
                          <a:off x="0" y="0"/>
                          <a:ext cx="1028700" cy="300990"/>
                        </a:xfrm>
                        <a:prstGeom prst="rect">
                          <a:avLst/>
                        </a:prstGeom>
                        <a:ln>
                          <a:noFill/>
                        </a:ln>
                      </wps:spPr>
                      <wps:txbx>
                        <w:txbxContent>
                          <w:p w14:paraId="4C7C324D">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签订保密协议</w:t>
                            </w:r>
                          </w:p>
                        </w:txbxContent>
                      </wps:txbx>
                      <wps:bodyPr wrap="square"/>
                    </wps:wsp>
                  </a:graphicData>
                </a:graphic>
              </wp:anchor>
            </w:drawing>
          </mc:Choice>
          <mc:Fallback>
            <w:pict>
              <v:rect id="000269" o:spid="_x0000_s1026" o:spt="1" style="position:absolute;left:0pt;margin-left:-9pt;margin-top:0.25pt;height:23.7pt;width:81pt;z-index:252072960;mso-width-relative:page;mso-height-relative:page;" filled="f" stroked="f" coordsize="21600,21600" o:gfxdata="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PLDx0zYAAAABwEAAA8AAAAAAAAAAQAgAAAAIgAA&#10;AGRycy9kb3ducmV2LnhtbFBLAQIUABQAAAAIAIdO4kDh+r2HlgEAADkDAAAOAAAAAAAAAAEAIAAA&#10;ACcBAABkcnMvZTJvRG9jLnhtbFBLBQYAAAAABgAGAFkBAAAvBQAAAAA=&#10;">
                <v:fill on="f" focussize="0,0"/>
                <v:stroke on="f"/>
                <v:imagedata o:title=""/>
                <o:lock v:ext="edit" aspectratio="f"/>
                <v:textbox>
                  <w:txbxContent>
                    <w:p w14:paraId="4C7C324D">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签订保密协议</w:t>
                      </w:r>
                    </w:p>
                  </w:txbxContent>
                </v:textbox>
              </v:rect>
            </w:pict>
          </mc:Fallback>
        </mc:AlternateContent>
      </w:r>
      <w:r>
        <w:rPr>
          <w:rFonts w:hint="eastAsia" w:hAnsi="宋体" w:eastAsia="宋体" w:cs="宋体"/>
          <w:color w:val="auto"/>
          <w:sz w:val="24"/>
          <w:szCs w:val="24"/>
          <w:highlight w:val="none"/>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14:paraId="4DCA416C">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94.4  </w:t>
      </w:r>
      <w:r>
        <w:rPr>
          <w:rFonts w:hint="eastAsia" w:hAnsi="宋体" w:eastAsia="宋体" w:cs="宋体"/>
          <w:b/>
          <w:bCs/>
          <w:color w:val="auto"/>
          <w:sz w:val="24"/>
          <w:szCs w:val="24"/>
          <w:highlight w:val="none"/>
          <w:u w:val="dotted"/>
        </w:rPr>
        <w:t xml:space="preserve">                                                                                                      </w:t>
      </w:r>
    </w:p>
    <w:p w14:paraId="70D65628">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73984"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1431" name="00026a"/>
                <wp:cNvGraphicFramePr/>
                <a:graphic xmlns:a="http://schemas.openxmlformats.org/drawingml/2006/main">
                  <a:graphicData uri="http://schemas.microsoft.com/office/word/2010/wordprocessingShape">
                    <wps:wsp>
                      <wps:cNvSpPr/>
                      <wps:spPr>
                        <a:xfrm>
                          <a:off x="0" y="0"/>
                          <a:ext cx="914400" cy="727710"/>
                        </a:xfrm>
                        <a:prstGeom prst="rect">
                          <a:avLst/>
                        </a:prstGeom>
                        <a:ln>
                          <a:noFill/>
                        </a:ln>
                      </wps:spPr>
                      <wps:txbx>
                        <w:txbxContent>
                          <w:p w14:paraId="4CC09C33">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配合政府要求并做好保密工作</w:t>
                            </w:r>
                          </w:p>
                        </w:txbxContent>
                      </wps:txbx>
                      <wps:bodyPr wrap="square"/>
                    </wps:wsp>
                  </a:graphicData>
                </a:graphic>
              </wp:anchor>
            </w:drawing>
          </mc:Choice>
          <mc:Fallback>
            <w:pict>
              <v:rect id="00026a" o:spid="_x0000_s1026" o:spt="1" style="position:absolute;left:0pt;margin-left:-9pt;margin-top:5.15pt;height:57.3pt;width:72pt;z-index:252073984;mso-width-relative:page;mso-height-relative:page;" filled="f" stroked="f" coordsize="21600,21600" o:gfxdata="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LjZBW2QAAAAoBAAAPAAAAAAAAAAEAIAAAACIA&#10;AABkcnMvZG93bnJldi54bWxQSwECFAAUAAAACACHTuJAJP3bkJYBAAA4AwAADgAAAAAAAAABACAA&#10;AAAoAQAAZHJzL2Uyb0RvYy54bWxQSwUGAAAAAAYABgBZAQAAMAUAAAAA&#10;">
                <v:fill on="f" focussize="0,0"/>
                <v:stroke on="f"/>
                <v:imagedata o:title=""/>
                <o:lock v:ext="edit" aspectratio="f"/>
                <v:textbox>
                  <w:txbxContent>
                    <w:p w14:paraId="4CC09C33">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配合政府要求并做好保密工作</w:t>
                      </w:r>
                    </w:p>
                  </w:txbxContent>
                </v:textbox>
              </v:rect>
            </w:pict>
          </mc:Fallback>
        </mc:AlternateContent>
      </w:r>
      <w:r>
        <w:rPr>
          <w:rFonts w:hint="eastAsia" w:hAnsi="宋体" w:eastAsia="宋体" w:cs="宋体"/>
          <w:color w:val="auto"/>
          <w:sz w:val="24"/>
          <w:szCs w:val="24"/>
          <w:highlight w:val="none"/>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14:paraId="4E2C53DC">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94.5  </w:t>
      </w:r>
      <w:r>
        <w:rPr>
          <w:rFonts w:hint="eastAsia" w:hAnsi="宋体" w:eastAsia="宋体" w:cs="宋体"/>
          <w:b/>
          <w:bCs/>
          <w:color w:val="auto"/>
          <w:sz w:val="24"/>
          <w:szCs w:val="24"/>
          <w:highlight w:val="none"/>
          <w:u w:val="dotted"/>
        </w:rPr>
        <w:t xml:space="preserve">                                                                                                        </w:t>
      </w:r>
    </w:p>
    <w:p w14:paraId="256D34A3">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75008"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1432" name="00026b"/>
                <wp:cNvGraphicFramePr/>
                <a:graphic xmlns:a="http://schemas.openxmlformats.org/drawingml/2006/main">
                  <a:graphicData uri="http://schemas.microsoft.com/office/word/2010/wordprocessingShape">
                    <wps:wsp>
                      <wps:cNvSpPr/>
                      <wps:spPr>
                        <a:xfrm>
                          <a:off x="0" y="0"/>
                          <a:ext cx="914400" cy="495300"/>
                        </a:xfrm>
                        <a:prstGeom prst="rect">
                          <a:avLst/>
                        </a:prstGeom>
                        <a:ln>
                          <a:noFill/>
                        </a:ln>
                      </wps:spPr>
                      <wps:txbx>
                        <w:txbxContent>
                          <w:p w14:paraId="28F5890F">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书面说明保密程度</w:t>
                            </w:r>
                          </w:p>
                        </w:txbxContent>
                      </wps:txbx>
                      <wps:bodyPr wrap="square"/>
                    </wps:wsp>
                  </a:graphicData>
                </a:graphic>
              </wp:anchor>
            </w:drawing>
          </mc:Choice>
          <mc:Fallback>
            <w:pict>
              <v:rect id="00026b" o:spid="_x0000_s1026" o:spt="1" style="position:absolute;left:0pt;margin-left:-9pt;margin-top:1.75pt;height:39pt;width:72pt;z-index:252075008;mso-width-relative:page;mso-height-relative:page;" filled="f" stroked="f" coordsize="21600,21600" o:gfxdata="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li0NZ9gAAAAIAQAADwAAAAAAAAABACAAAAAiAAAA&#10;ZHJzL2Rvd25yZXYueG1sUEsBAhQAFAAAAAgAh07iQAxClk2VAQAAOAMAAA4AAAAAAAAAAQAgAAAA&#10;JwEAAGRycy9lMm9Eb2MueG1sUEsFBgAAAAAGAAYAWQEAAC4FAAAAAA==&#10;">
                <v:fill on="f" focussize="0,0"/>
                <v:stroke on="f"/>
                <v:imagedata o:title=""/>
                <o:lock v:ext="edit" aspectratio="f"/>
                <v:textbox>
                  <w:txbxContent>
                    <w:p w14:paraId="28F5890F">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书面说明保密程度</w:t>
                      </w:r>
                    </w:p>
                  </w:txbxContent>
                </v:textbox>
              </v:rect>
            </w:pict>
          </mc:Fallback>
        </mc:AlternateContent>
      </w:r>
      <w:r>
        <w:rPr>
          <w:rFonts w:hint="eastAsia" w:hAnsi="宋体" w:eastAsia="宋体" w:cs="宋体"/>
          <w:color w:val="auto"/>
          <w:sz w:val="24"/>
          <w:szCs w:val="24"/>
          <w:highlight w:val="none"/>
        </w:rPr>
        <w:t>保密信息应由提供方以书面形式说明保密程度；以口头形式提供的，则提供方应在提供后28天内以书面形式予以确认。保密信息不但包括合同双方当事人确认的信息，还包括与材料和工程设备产品、价格、工程设计、图纸、技术、工艺和财务等相关信息。但不包括下述信息：</w:t>
      </w:r>
    </w:p>
    <w:p w14:paraId="400498A6">
      <w:pPr>
        <w:pStyle w:val="22"/>
        <w:numPr>
          <w:ilvl w:val="0"/>
          <w:numId w:val="30"/>
        </w:numPr>
        <w:tabs>
          <w:tab w:val="left" w:pos="1620"/>
          <w:tab w:val="left" w:pos="2340"/>
          <w:tab w:val="left" w:pos="2700"/>
        </w:tabs>
        <w:adjustRightInd w:val="0"/>
        <w:snapToGrid w:val="0"/>
        <w:spacing w:line="300" w:lineRule="auto"/>
        <w:rPr>
          <w:rFonts w:hint="eastAsia" w:hAnsi="宋体" w:eastAsia="宋体" w:cs="宋体"/>
          <w:color w:val="auto"/>
          <w:sz w:val="24"/>
          <w:szCs w:val="24"/>
          <w:highlight w:val="none"/>
        </w:rPr>
      </w:pPr>
      <w:r>
        <w:rPr>
          <w:rFonts w:hint="eastAsia" w:hAnsi="宋体" w:eastAsia="宋体" w:cs="宋体"/>
          <w:color w:val="auto"/>
          <w:sz w:val="24"/>
          <w:szCs w:val="24"/>
          <w:highlight w:val="none"/>
        </w:rPr>
        <w:t>提供前已由合同双方当事人所持有的；</w:t>
      </w:r>
    </w:p>
    <w:p w14:paraId="251B4393">
      <w:pPr>
        <w:pStyle w:val="22"/>
        <w:numPr>
          <w:ilvl w:val="0"/>
          <w:numId w:val="30"/>
        </w:numPr>
        <w:tabs>
          <w:tab w:val="left" w:pos="1620"/>
          <w:tab w:val="left" w:pos="2340"/>
          <w:tab w:val="left" w:pos="2700"/>
        </w:tabs>
        <w:adjustRightInd w:val="0"/>
        <w:snapToGrid w:val="0"/>
        <w:spacing w:line="300" w:lineRule="auto"/>
        <w:rPr>
          <w:rFonts w:hint="eastAsia" w:hAnsi="宋体" w:eastAsia="宋体" w:cs="宋体"/>
          <w:color w:val="auto"/>
          <w:sz w:val="24"/>
          <w:szCs w:val="24"/>
          <w:highlight w:val="none"/>
        </w:rPr>
      </w:pPr>
      <w:r>
        <w:rPr>
          <w:rFonts w:hint="eastAsia" w:hAnsi="宋体" w:eastAsia="宋体" w:cs="宋体"/>
          <w:color w:val="auto"/>
          <w:sz w:val="24"/>
          <w:szCs w:val="24"/>
          <w:highlight w:val="none"/>
        </w:rPr>
        <w:t>已公开发表或非对方当事人原因向公众公开的；</w:t>
      </w:r>
    </w:p>
    <w:p w14:paraId="2825BDC7">
      <w:pPr>
        <w:pStyle w:val="22"/>
        <w:numPr>
          <w:ilvl w:val="0"/>
          <w:numId w:val="30"/>
        </w:numPr>
        <w:tabs>
          <w:tab w:val="left" w:pos="1620"/>
          <w:tab w:val="left" w:pos="2340"/>
          <w:tab w:val="left" w:pos="2700"/>
        </w:tabs>
        <w:adjustRightInd w:val="0"/>
        <w:snapToGrid w:val="0"/>
        <w:spacing w:line="300" w:lineRule="auto"/>
        <w:rPr>
          <w:rFonts w:hint="eastAsia" w:hAnsi="宋体" w:eastAsia="宋体" w:cs="宋体"/>
          <w:color w:val="auto"/>
          <w:sz w:val="24"/>
          <w:szCs w:val="24"/>
          <w:highlight w:val="none"/>
        </w:rPr>
      </w:pPr>
      <w:r>
        <w:rPr>
          <w:rFonts w:hint="eastAsia" w:hAnsi="宋体" w:eastAsia="宋体" w:cs="宋体"/>
          <w:color w:val="auto"/>
          <w:sz w:val="24"/>
          <w:szCs w:val="24"/>
          <w:highlight w:val="none"/>
        </w:rPr>
        <w:t>已由各相关方书面同意其公开的；</w:t>
      </w:r>
    </w:p>
    <w:p w14:paraId="73C88C25">
      <w:pPr>
        <w:pStyle w:val="22"/>
        <w:numPr>
          <w:ilvl w:val="0"/>
          <w:numId w:val="30"/>
        </w:numPr>
        <w:tabs>
          <w:tab w:val="left" w:pos="1620"/>
          <w:tab w:val="left" w:pos="2340"/>
          <w:tab w:val="left" w:pos="2700"/>
        </w:tabs>
        <w:adjustRightInd w:val="0"/>
        <w:snapToGrid w:val="0"/>
        <w:spacing w:line="300" w:lineRule="auto"/>
        <w:rPr>
          <w:rFonts w:hint="eastAsia" w:hAnsi="宋体" w:eastAsia="宋体" w:cs="宋体"/>
          <w:color w:val="auto"/>
          <w:sz w:val="24"/>
          <w:szCs w:val="24"/>
          <w:highlight w:val="none"/>
        </w:rPr>
      </w:pPr>
      <w:r>
        <w:rPr>
          <w:rFonts w:hint="eastAsia" w:hAnsi="宋体" w:eastAsia="宋体" w:cs="宋体"/>
          <w:color w:val="auto"/>
          <w:sz w:val="24"/>
          <w:szCs w:val="24"/>
          <w:highlight w:val="none"/>
        </w:rPr>
        <w:t>在未获取保密信息前由对方当事人独立开发的；</w:t>
      </w:r>
    </w:p>
    <w:p w14:paraId="0F46CD7B">
      <w:pPr>
        <w:pStyle w:val="22"/>
        <w:numPr>
          <w:ilvl w:val="0"/>
          <w:numId w:val="30"/>
        </w:numPr>
        <w:tabs>
          <w:tab w:val="left" w:pos="1620"/>
          <w:tab w:val="left" w:pos="2340"/>
          <w:tab w:val="left" w:pos="2700"/>
        </w:tabs>
        <w:adjustRightInd w:val="0"/>
        <w:snapToGrid w:val="0"/>
        <w:spacing w:line="300" w:lineRule="auto"/>
        <w:rPr>
          <w:rFonts w:hint="eastAsia" w:hAnsi="宋体" w:eastAsia="宋体" w:cs="宋体"/>
          <w:color w:val="auto"/>
          <w:sz w:val="24"/>
          <w:szCs w:val="24"/>
          <w:highlight w:val="none"/>
        </w:rPr>
      </w:pPr>
      <w:r>
        <w:rPr>
          <w:rFonts w:hint="eastAsia" w:hAnsi="宋体" w:eastAsia="宋体" w:cs="宋体"/>
          <w:color w:val="auto"/>
          <w:sz w:val="24"/>
          <w:szCs w:val="24"/>
          <w:highlight w:val="none"/>
        </w:rPr>
        <w:t>对方当事人从对保密信息不承担保密义务的第三方处合法获得的。</w:t>
      </w:r>
    </w:p>
    <w:p w14:paraId="3A7870C6">
      <w:pPr>
        <w:pStyle w:val="22"/>
        <w:tabs>
          <w:tab w:val="left" w:pos="1620"/>
        </w:tabs>
        <w:adjustRightInd w:val="0"/>
        <w:snapToGrid w:val="0"/>
        <w:spacing w:line="300" w:lineRule="auto"/>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23299CFD">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217" w:name="_Toc469384077"/>
      <w:bookmarkStart w:id="218" w:name="_Toc46860902"/>
      <w:r>
        <w:rPr>
          <w:rFonts w:hint="eastAsia" w:hAnsi="宋体" w:eastAsia="宋体" w:cs="宋体"/>
          <w:b/>
          <w:bCs/>
          <w:color w:val="auto"/>
          <w:sz w:val="24"/>
          <w:szCs w:val="24"/>
          <w:highlight w:val="none"/>
        </w:rPr>
        <w:t>95 廉政建设</w:t>
      </w:r>
      <w:bookmarkEnd w:id="217"/>
      <w:bookmarkEnd w:id="218"/>
    </w:p>
    <w:p w14:paraId="5C2AC717">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95.1     </w:t>
      </w:r>
    </w:p>
    <w:p w14:paraId="2348E9B5">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76032"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1433" name="00026c"/>
                <wp:cNvGraphicFramePr/>
                <a:graphic xmlns:a="http://schemas.openxmlformats.org/drawingml/2006/main">
                  <a:graphicData uri="http://schemas.microsoft.com/office/word/2010/wordprocessingShape">
                    <wps:wsp>
                      <wps:cNvSpPr/>
                      <wps:spPr>
                        <a:xfrm>
                          <a:off x="0" y="0"/>
                          <a:ext cx="800100" cy="297180"/>
                        </a:xfrm>
                        <a:prstGeom prst="rect">
                          <a:avLst/>
                        </a:prstGeom>
                        <a:ln>
                          <a:noFill/>
                        </a:ln>
                      </wps:spPr>
                      <wps:txbx>
                        <w:txbxContent>
                          <w:p w14:paraId="189817A0">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廉政建设</w:t>
                            </w:r>
                          </w:p>
                        </w:txbxContent>
                      </wps:txbx>
                      <wps:bodyPr wrap="square"/>
                    </wps:wsp>
                  </a:graphicData>
                </a:graphic>
              </wp:anchor>
            </w:drawing>
          </mc:Choice>
          <mc:Fallback>
            <w:pict>
              <v:rect id="00026c" o:spid="_x0000_s1026" o:spt="1" style="position:absolute;left:0pt;margin-left:-9pt;margin-top:1.25pt;height:23.4pt;width:63pt;z-index:252076032;mso-width-relative:page;mso-height-relative:page;" filled="f" stroked="f" coordsize="21600,21600" o:gfxdata="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C77tHtgAAAAIAQAADwAAAAAAAAABACAAAAAiAAAA&#10;ZHJzL2Rvd25yZXYueG1sUEsBAhQAFAAAAAgAh07iQC3xXBmVAQAAOAMAAA4AAAAAAAAAAQAgAAAA&#10;JwEAAGRycy9lMm9Eb2MueG1sUEsFBgAAAAAGAAYAWQEAAC4FAAAAAA==&#10;">
                <v:fill on="f" focussize="0,0"/>
                <v:stroke on="f"/>
                <v:imagedata o:title=""/>
                <o:lock v:ext="edit" aspectratio="f"/>
                <v:textbox>
                  <w:txbxContent>
                    <w:p w14:paraId="189817A0">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廉政建设</w:t>
                      </w:r>
                    </w:p>
                  </w:txbxContent>
                </v:textbox>
              </v:rect>
            </w:pict>
          </mc:Fallback>
        </mc:AlternateContent>
      </w:r>
      <w:r>
        <w:rPr>
          <w:rFonts w:hint="eastAsia" w:hAnsi="宋体" w:eastAsia="宋体" w:cs="宋体"/>
          <w:color w:val="auto"/>
          <w:sz w:val="24"/>
          <w:szCs w:val="24"/>
          <w:highlight w:val="none"/>
        </w:rPr>
        <w:t>合同双方当事人在签订本合同时，应同时签订廉政合同，作为本合同的附件。合同双方当事人在合同履行期间应遵守国家和政府有关廉政方面的规定和要求，禁止任何腐败行为。</w:t>
      </w:r>
    </w:p>
    <w:p w14:paraId="29830115">
      <w:pPr>
        <w:pStyle w:val="22"/>
        <w:adjustRightInd w:val="0"/>
        <w:snapToGrid w:val="0"/>
        <w:spacing w:line="300" w:lineRule="auto"/>
        <w:rPr>
          <w:rFonts w:hint="eastAsia"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95.2  </w:t>
      </w:r>
      <w:r>
        <w:rPr>
          <w:rFonts w:hint="eastAsia" w:hAnsi="宋体" w:eastAsia="宋体" w:cs="宋体"/>
          <w:b/>
          <w:bCs/>
          <w:color w:val="auto"/>
          <w:sz w:val="24"/>
          <w:szCs w:val="24"/>
          <w:highlight w:val="none"/>
          <w:u w:val="dotted"/>
        </w:rPr>
        <w:t xml:space="preserve">                                                                                                       </w:t>
      </w:r>
    </w:p>
    <w:p w14:paraId="4D17C29F">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77056"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1434" name="00026d"/>
                <wp:cNvGraphicFramePr/>
                <a:graphic xmlns:a="http://schemas.openxmlformats.org/drawingml/2006/main">
                  <a:graphicData uri="http://schemas.microsoft.com/office/word/2010/wordprocessingShape">
                    <wps:wsp>
                      <wps:cNvSpPr/>
                      <wps:spPr>
                        <a:xfrm>
                          <a:off x="0" y="0"/>
                          <a:ext cx="800100" cy="316865"/>
                        </a:xfrm>
                        <a:prstGeom prst="rect">
                          <a:avLst/>
                        </a:prstGeom>
                        <a:ln>
                          <a:noFill/>
                        </a:ln>
                      </wps:spPr>
                      <wps:txbx>
                        <w:txbxContent>
                          <w:p w14:paraId="5FFA94D2">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违反责任</w:t>
                            </w:r>
                          </w:p>
                        </w:txbxContent>
                      </wps:txbx>
                      <wps:bodyPr wrap="square"/>
                    </wps:wsp>
                  </a:graphicData>
                </a:graphic>
              </wp:anchor>
            </w:drawing>
          </mc:Choice>
          <mc:Fallback>
            <w:pict>
              <v:rect id="00026d" o:spid="_x0000_s1026" o:spt="1" style="position:absolute;left:0pt;margin-left:-9pt;margin-top:4.25pt;height:24.95pt;width:63pt;z-index:252077056;mso-width-relative:page;mso-height-relative:page;" filled="f" stroked="f" coordsize="21600,21600" o:gfxdata="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&#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JkIWajXAAAACAEAAA8AAAAAAAAAAQAgAAAAIgAAAGRy&#10;cy9kb3ducmV2LnhtbFBLAQIUABQAAAAIAIdO4kDaw/evlAEAADgDAAAOAAAAAAAAAAEAIAAAACYB&#10;AABkcnMvZTJvRG9jLnhtbFBLBQYAAAAABgAGAFkBAAAsBQAAAAA=&#10;">
                <v:fill on="f" focussize="0,0"/>
                <v:stroke on="f"/>
                <v:imagedata o:title=""/>
                <o:lock v:ext="edit" aspectratio="f"/>
                <v:textbox>
                  <w:txbxContent>
                    <w:p w14:paraId="5FFA94D2">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违反责任</w:t>
                      </w:r>
                    </w:p>
                  </w:txbxContent>
                </v:textbox>
              </v:rect>
            </w:pict>
          </mc:Fallback>
        </mc:AlternateContent>
      </w:r>
      <w:r>
        <w:rPr>
          <w:rFonts w:hint="eastAsia" w:hAnsi="宋体" w:eastAsia="宋体" w:cs="宋体"/>
          <w:color w:val="auto"/>
          <w:sz w:val="24"/>
          <w:szCs w:val="24"/>
          <w:highlight w:val="none"/>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87.3款规定解除合同，并按照第88.3款规定办理合同解除的支付。</w:t>
      </w:r>
    </w:p>
    <w:p w14:paraId="6704E371">
      <w:pPr>
        <w:pStyle w:val="22"/>
        <w:adjustRightInd w:val="0"/>
        <w:snapToGrid w:val="0"/>
        <w:spacing w:line="300" w:lineRule="auto"/>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1DB95DFC">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219" w:name="_Toc46860903"/>
      <w:bookmarkStart w:id="220" w:name="_Toc469384078"/>
      <w:r>
        <w:rPr>
          <w:rFonts w:hint="eastAsia" w:hAnsi="宋体" w:eastAsia="宋体" w:cs="宋体"/>
          <w:b/>
          <w:bCs/>
          <w:color w:val="auto"/>
          <w:sz w:val="24"/>
          <w:szCs w:val="24"/>
          <w:highlight w:val="none"/>
        </w:rPr>
        <w:t>96  禁止转让</w:t>
      </w:r>
      <w:bookmarkEnd w:id="219"/>
      <w:bookmarkEnd w:id="220"/>
    </w:p>
    <w:p w14:paraId="5AF15643">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96.1     </w:t>
      </w:r>
    </w:p>
    <w:p w14:paraId="4572A8F3">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2078080"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1435" name="00026e"/>
                <wp:cNvGraphicFramePr/>
                <a:graphic xmlns:a="http://schemas.openxmlformats.org/drawingml/2006/main">
                  <a:graphicData uri="http://schemas.microsoft.com/office/word/2010/wordprocessingShape">
                    <wps:wsp>
                      <wps:cNvSpPr/>
                      <wps:spPr>
                        <a:xfrm>
                          <a:off x="0" y="0"/>
                          <a:ext cx="800100" cy="297180"/>
                        </a:xfrm>
                        <a:prstGeom prst="rect">
                          <a:avLst/>
                        </a:prstGeom>
                        <a:ln>
                          <a:noFill/>
                        </a:ln>
                      </wps:spPr>
                      <wps:txbx>
                        <w:txbxContent>
                          <w:p w14:paraId="0AEAE0AF">
                            <w:pPr>
                              <w:spacing w:line="240" w:lineRule="exact"/>
                              <w:rPr>
                                <w:rFonts w:hint="eastAsia" w:ascii="宋体"/>
                                <w:b/>
                                <w:bCs/>
                                <w:sz w:val="18"/>
                                <w:szCs w:val="18"/>
                              </w:rPr>
                            </w:pPr>
                            <w:r>
                              <w:rPr>
                                <w:rFonts w:hint="eastAsia" w:ascii="楷体_GB2312" w:hAnsi="宋体" w:eastAsia="楷体_GB2312" w:cs="楷体_GB2312"/>
                                <w:b/>
                                <w:bCs/>
                                <w:sz w:val="18"/>
                                <w:szCs w:val="18"/>
                              </w:rPr>
                              <w:t>履行合同</w:t>
                            </w:r>
                          </w:p>
                        </w:txbxContent>
                      </wps:txbx>
                      <wps:bodyPr wrap="square"/>
                    </wps:wsp>
                  </a:graphicData>
                </a:graphic>
              </wp:anchor>
            </w:drawing>
          </mc:Choice>
          <mc:Fallback>
            <w:pict>
              <v:rect id="00026e" o:spid="_x0000_s1026" o:spt="1" style="position:absolute;left:0pt;margin-left:-9pt;margin-top:1.25pt;height:23.4pt;width:63pt;z-index:252078080;mso-width-relative:page;mso-height-relative:page;" filled="f" stroked="f" coordsize="21600,21600" o:gfxdata="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&#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ALvu0e2AAAAAgBAAAPAAAAAAAAAAEAIAAAACIAAABk&#10;cnMvZG93bnJldi54bWxQSwECFAAUAAAACACHTuJAxjqivZQBAAA4AwAADgAAAAAAAAABACAAAAAn&#10;AQAAZHJzL2Uyb0RvYy54bWxQSwUGAAAAAAYABgBZAQAALQUAAAAA&#10;">
                <v:fill on="f" focussize="0,0"/>
                <v:stroke on="f"/>
                <v:imagedata o:title=""/>
                <o:lock v:ext="edit" aspectratio="f"/>
                <v:textbox>
                  <w:txbxContent>
                    <w:p w14:paraId="0AEAE0AF">
                      <w:pPr>
                        <w:spacing w:line="240" w:lineRule="exact"/>
                        <w:rPr>
                          <w:rFonts w:hint="eastAsia" w:ascii="宋体"/>
                          <w:b/>
                          <w:bCs/>
                          <w:sz w:val="18"/>
                          <w:szCs w:val="18"/>
                        </w:rPr>
                      </w:pPr>
                      <w:r>
                        <w:rPr>
                          <w:rFonts w:hint="eastAsia" w:ascii="楷体_GB2312" w:hAnsi="宋体" w:eastAsia="楷体_GB2312" w:cs="楷体_GB2312"/>
                          <w:b/>
                          <w:bCs/>
                          <w:sz w:val="18"/>
                          <w:szCs w:val="18"/>
                        </w:rPr>
                        <w:t>履行合同</w:t>
                      </w:r>
                    </w:p>
                  </w:txbxContent>
                </v:textbox>
              </v:rect>
            </w:pict>
          </mc:Fallback>
        </mc:AlternateContent>
      </w:r>
      <w:r>
        <w:rPr>
          <w:rFonts w:hint="eastAsia" w:ascii="宋体" w:hAnsi="宋体" w:eastAsia="宋体" w:cs="宋体"/>
          <w:color w:val="auto"/>
          <w:sz w:val="24"/>
          <w:highlight w:val="none"/>
        </w:rPr>
        <w:t>本合同一经签署，合同双方当事人均应按照本合同规定行使各自的权利、履行各自的义务。</w:t>
      </w:r>
    </w:p>
    <w:p w14:paraId="54815CEB">
      <w:pPr>
        <w:pStyle w:val="22"/>
        <w:adjustRightInd w:val="0"/>
        <w:snapToGrid w:val="0"/>
        <w:spacing w:line="300" w:lineRule="auto"/>
        <w:rPr>
          <w:rFonts w:hint="eastAsia"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96.2  </w:t>
      </w:r>
      <w:r>
        <w:rPr>
          <w:rFonts w:hint="eastAsia" w:hAnsi="宋体" w:eastAsia="宋体" w:cs="宋体"/>
          <w:b/>
          <w:bCs/>
          <w:color w:val="auto"/>
          <w:sz w:val="24"/>
          <w:szCs w:val="24"/>
          <w:highlight w:val="none"/>
          <w:u w:val="dotted"/>
        </w:rPr>
        <w:t xml:space="preserve">                                                                                                       </w:t>
      </w:r>
    </w:p>
    <w:p w14:paraId="11293087">
      <w:pPr>
        <w:spacing w:line="300" w:lineRule="auto"/>
        <w:ind w:left="1619" w:leftChars="77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2079104"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1436" name="00026f"/>
                <wp:cNvGraphicFramePr/>
                <a:graphic xmlns:a="http://schemas.openxmlformats.org/drawingml/2006/main">
                  <a:graphicData uri="http://schemas.microsoft.com/office/word/2010/wordprocessingShape">
                    <wps:wsp>
                      <wps:cNvSpPr/>
                      <wps:spPr>
                        <a:xfrm>
                          <a:off x="0" y="0"/>
                          <a:ext cx="800100" cy="297180"/>
                        </a:xfrm>
                        <a:prstGeom prst="rect">
                          <a:avLst/>
                        </a:prstGeom>
                        <a:ln>
                          <a:noFill/>
                        </a:ln>
                      </wps:spPr>
                      <wps:txbx>
                        <w:txbxContent>
                          <w:p w14:paraId="60830A3E">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不得转让</w:t>
                            </w:r>
                          </w:p>
                        </w:txbxContent>
                      </wps:txbx>
                      <wps:bodyPr wrap="square"/>
                    </wps:wsp>
                  </a:graphicData>
                </a:graphic>
              </wp:anchor>
            </w:drawing>
          </mc:Choice>
          <mc:Fallback>
            <w:pict>
              <v:rect id="00026f" o:spid="_x0000_s1026" o:spt="1" style="position:absolute;left:0pt;margin-left:-9pt;margin-top:7.75pt;height:23.4pt;width:63pt;z-index:252079104;mso-width-relative:page;mso-height-relative:page;" filled="f" stroked="f" coordsize="21600,21600" o:gfxdata="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K6qWfnZAAAACQEAAA8AAAAAAAAAAQAgAAAAIgAA&#10;AGRycy9kb3ducmV2LnhtbFBLAQIUABQAAAAIAIdO4kAT3GUClQEAADgDAAAOAAAAAAAAAAEAIAAA&#10;ACgBAABkcnMvZTJvRG9jLnhtbFBLBQYAAAAABgAGAFkBAAAvBQAAAAA=&#10;">
                <v:fill on="f" focussize="0,0"/>
                <v:stroke on="f"/>
                <v:imagedata o:title=""/>
                <o:lock v:ext="edit" aspectratio="f"/>
                <v:textbox>
                  <w:txbxContent>
                    <w:p w14:paraId="60830A3E">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不得转让</w:t>
                      </w:r>
                    </w:p>
                  </w:txbxContent>
                </v:textbox>
              </v:rect>
            </w:pict>
          </mc:Fallback>
        </mc:AlternateContent>
      </w:r>
      <w:r>
        <w:rPr>
          <w:rFonts w:hint="eastAsia" w:ascii="宋体" w:hAnsi="宋体" w:eastAsia="宋体" w:cs="宋体"/>
          <w:color w:val="auto"/>
          <w:sz w:val="24"/>
          <w:highlight w:val="none"/>
        </w:rPr>
        <w:t>除合同另有约定外，未经另一方当事人同意，合同一方当事人不得将本合同的全部或部分权利、义务转让给第三方。</w:t>
      </w:r>
    </w:p>
    <w:p w14:paraId="43BCFE80">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u w:val="single"/>
        </w:rPr>
        <w:t xml:space="preserve">                                                                                </w:t>
      </w:r>
    </w:p>
    <w:p w14:paraId="1A273621">
      <w:pPr>
        <w:pStyle w:val="22"/>
        <w:tabs>
          <w:tab w:val="left" w:pos="540"/>
        </w:tabs>
        <w:adjustRightInd w:val="0"/>
        <w:snapToGrid w:val="0"/>
        <w:spacing w:before="240" w:beforeLines="100" w:line="300" w:lineRule="auto"/>
        <w:outlineLvl w:val="2"/>
        <w:rPr>
          <w:rFonts w:hint="eastAsia" w:hAnsi="宋体" w:eastAsia="宋体" w:cs="宋体"/>
          <w:b/>
          <w:bCs/>
          <w:color w:val="auto"/>
          <w:sz w:val="24"/>
          <w:szCs w:val="24"/>
          <w:highlight w:val="none"/>
        </w:rPr>
      </w:pPr>
      <w:bookmarkStart w:id="221" w:name="_Toc469384079"/>
      <w:bookmarkStart w:id="222" w:name="_Toc46860904"/>
      <w:r>
        <w:rPr>
          <w:rFonts w:hint="eastAsia" w:hAnsi="宋体" w:eastAsia="宋体" w:cs="宋体"/>
          <w:b/>
          <w:bCs/>
          <w:color w:val="auto"/>
          <w:sz w:val="24"/>
          <w:szCs w:val="24"/>
          <w:highlight w:val="none"/>
        </w:rPr>
        <w:t>97  合同份数</w:t>
      </w:r>
      <w:bookmarkEnd w:id="221"/>
      <w:bookmarkEnd w:id="222"/>
    </w:p>
    <w:p w14:paraId="06C4DFD3">
      <w:pPr>
        <w:pStyle w:val="22"/>
        <w:adjustRightInd w:val="0"/>
        <w:snapToGrid w:val="0"/>
        <w:spacing w:line="300" w:lineRule="auto"/>
        <w:ind w:left="1581" w:hanging="1581" w:hangingChars="656"/>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97.1        </w:t>
      </w:r>
    </w:p>
    <w:p w14:paraId="258730A8">
      <w:pPr>
        <w:pStyle w:val="22"/>
        <w:adjustRightInd w:val="0"/>
        <w:snapToGrid w:val="0"/>
        <w:spacing w:line="300" w:lineRule="auto"/>
        <w:ind w:left="1682" w:leftChars="800" w:hanging="2"/>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80128"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1437" name="000270"/>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6E8E053E">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约定提供合同文本</w:t>
                            </w:r>
                          </w:p>
                        </w:txbxContent>
                      </wps:txbx>
                      <wps:bodyPr wrap="square"/>
                    </wps:wsp>
                  </a:graphicData>
                </a:graphic>
              </wp:anchor>
            </w:drawing>
          </mc:Choice>
          <mc:Fallback>
            <w:pict>
              <v:rect id="000270" o:spid="_x0000_s1026" o:spt="1" style="position:absolute;left:0pt;margin-left:-5.25pt;margin-top:0.8pt;height:31.2pt;width:72pt;z-index:252080128;mso-width-relative:page;mso-height-relative:page;" filled="f" stroked="f" coordsize="21600,21600" o:gfxdata="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MYQZ+1wAAAAgBAAAPAAAAAAAAAAEAIAAAACIAAABk&#10;cnMvZG93bnJldi54bWxQSwECFAAUAAAACACHTuJAjuAYzpUBAAA4AwAADgAAAAAAAAABACAAAAAm&#10;AQAAZHJzL2Uyb0RvYy54bWxQSwUGAAAAAAYABgBZAQAALQUAAAAA&#10;">
                <v:fill on="f" focussize="0,0"/>
                <v:stroke on="f"/>
                <v:imagedata o:title=""/>
                <o:lock v:ext="edit" aspectratio="f"/>
                <v:textbox>
                  <w:txbxContent>
                    <w:p w14:paraId="6E8E053E">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约定提供合同文本</w:t>
                      </w:r>
                    </w:p>
                  </w:txbxContent>
                </v:textbox>
              </v:rect>
            </w:pict>
          </mc:Fallback>
        </mc:AlternateContent>
      </w:r>
      <w:r>
        <w:rPr>
          <w:rFonts w:hint="eastAsia" w:hAnsi="宋体" w:eastAsia="宋体" w:cs="宋体"/>
          <w:color w:val="auto"/>
          <w:sz w:val="24"/>
          <w:szCs w:val="24"/>
          <w:highlight w:val="none"/>
        </w:rPr>
        <w:t>除专用条款另有约定外，发包人应按照第94.2款规定的份数免费为承包人提供合同文本。</w:t>
      </w:r>
    </w:p>
    <w:p w14:paraId="2420C819">
      <w:pPr>
        <w:pStyle w:val="22"/>
        <w:adjustRightInd w:val="0"/>
        <w:snapToGrid w:val="0"/>
        <w:spacing w:line="300" w:lineRule="auto"/>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 xml:space="preserve">97.2  </w:t>
      </w:r>
      <w:r>
        <w:rPr>
          <w:rFonts w:hint="eastAsia" w:hAnsi="宋体" w:eastAsia="宋体" w:cs="宋体"/>
          <w:b/>
          <w:bCs/>
          <w:color w:val="auto"/>
          <w:sz w:val="24"/>
          <w:szCs w:val="24"/>
          <w:highlight w:val="none"/>
          <w:u w:val="dotted"/>
        </w:rPr>
        <w:t xml:space="preserve"> </w:t>
      </w:r>
      <w:r>
        <w:rPr>
          <w:rFonts w:hint="eastAsia" w:hAnsi="宋体" w:eastAsia="宋体" w:cs="宋体"/>
          <w:color w:val="auto"/>
          <w:sz w:val="24"/>
          <w:szCs w:val="24"/>
          <w:highlight w:val="none"/>
          <w:u w:val="dotted"/>
        </w:rPr>
        <w:t xml:space="preserve">                                                                                                       </w:t>
      </w:r>
    </w:p>
    <w:p w14:paraId="6FC6C97D">
      <w:pPr>
        <w:pStyle w:val="22"/>
        <w:adjustRightInd w:val="0"/>
        <w:snapToGrid w:val="0"/>
        <w:spacing w:line="300" w:lineRule="auto"/>
        <w:ind w:left="1619" w:leftChars="771"/>
        <w:rPr>
          <w:rFonts w:hint="eastAsia"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81152"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1438" name="000271"/>
                <wp:cNvGraphicFramePr/>
                <a:graphic xmlns:a="http://schemas.openxmlformats.org/drawingml/2006/main">
                  <a:graphicData uri="http://schemas.microsoft.com/office/word/2010/wordprocessingShape">
                    <wps:wsp>
                      <wps:cNvSpPr/>
                      <wps:spPr>
                        <a:xfrm>
                          <a:off x="0" y="0"/>
                          <a:ext cx="800100" cy="299720"/>
                        </a:xfrm>
                        <a:prstGeom prst="rect">
                          <a:avLst/>
                        </a:prstGeom>
                        <a:ln>
                          <a:noFill/>
                        </a:ln>
                      </wps:spPr>
                      <wps:txbx>
                        <w:txbxContent>
                          <w:p w14:paraId="770D8844">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正副本效力</w:t>
                            </w:r>
                          </w:p>
                        </w:txbxContent>
                      </wps:txbx>
                      <wps:bodyPr wrap="square"/>
                    </wps:wsp>
                  </a:graphicData>
                </a:graphic>
              </wp:anchor>
            </w:drawing>
          </mc:Choice>
          <mc:Fallback>
            <w:pict>
              <v:rect id="000271" o:spid="_x0000_s1026" o:spt="1" style="position:absolute;left:0pt;margin-left:-9pt;margin-top:0.65pt;height:23.6pt;width:63pt;z-index:252081152;mso-width-relative:page;mso-height-relative:page;" filled="f" stroked="f" coordsize="21600,21600" o:gfxdata="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CRvd11wAAAAgBAAAPAAAAAAAAAAEAIAAAACIAAABk&#10;cnMvZG93bnJldi54bWxQSwECFAAUAAAACACHTuJAYkONGJUBAAA4AwAADgAAAAAAAAABACAAAAAm&#10;AQAAZHJzL2Uyb0RvYy54bWxQSwUGAAAAAAYABgBZAQAALQUAAAAA&#10;">
                <v:fill on="f" focussize="0,0"/>
                <v:stroke on="f"/>
                <v:imagedata o:title=""/>
                <o:lock v:ext="edit" aspectratio="f"/>
                <v:textbox>
                  <w:txbxContent>
                    <w:p w14:paraId="770D8844">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正副本效力</w:t>
                      </w:r>
                    </w:p>
                  </w:txbxContent>
                </v:textbox>
              </v:rect>
            </w:pict>
          </mc:Fallback>
        </mc:AlternateContent>
      </w:r>
      <w:r>
        <w:rPr>
          <w:rFonts w:hint="eastAsia" w:hAnsi="宋体" w:eastAsia="宋体" w:cs="宋体"/>
          <w:color w:val="auto"/>
          <w:sz w:val="24"/>
          <w:szCs w:val="24"/>
          <w:highlight w:val="none"/>
        </w:rPr>
        <w:t>本合同正、副本份数，由合同双方当事人根据需要在专用条款中约定。正本与副本具有同等效力，当正本与副本不一致时，以正本为准。</w:t>
      </w:r>
    </w:p>
    <w:p w14:paraId="7111AAFA">
      <w:pPr>
        <w:pStyle w:val="22"/>
        <w:adjustRightInd w:val="0"/>
        <w:snapToGrid w:val="0"/>
        <w:spacing w:line="300" w:lineRule="auto"/>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700CAB48">
      <w:pPr>
        <w:pStyle w:val="22"/>
        <w:adjustRightInd w:val="0"/>
        <w:snapToGrid w:val="0"/>
        <w:spacing w:line="300" w:lineRule="auto"/>
        <w:outlineLvl w:val="2"/>
        <w:rPr>
          <w:rFonts w:hint="eastAsia" w:hAnsi="宋体" w:eastAsia="宋体" w:cs="宋体"/>
          <w:b/>
          <w:bCs/>
          <w:color w:val="auto"/>
          <w:sz w:val="24"/>
          <w:szCs w:val="24"/>
          <w:highlight w:val="none"/>
        </w:rPr>
      </w:pPr>
      <w:bookmarkStart w:id="223" w:name="_Toc469384080"/>
      <w:bookmarkStart w:id="224" w:name="_Toc46860905"/>
      <w:r>
        <w:rPr>
          <w:rFonts w:hint="eastAsia" w:hAnsi="宋体" w:eastAsia="宋体" w:cs="宋体"/>
          <w:b/>
          <w:bCs/>
          <w:color w:val="auto"/>
          <w:sz w:val="24"/>
          <w:szCs w:val="24"/>
          <w:highlight w:val="none"/>
        </w:rPr>
        <w:t>98  合同</w:t>
      </w:r>
      <w:bookmarkEnd w:id="223"/>
      <w:r>
        <w:rPr>
          <w:rFonts w:hint="eastAsia" w:hAnsi="宋体" w:eastAsia="宋体" w:cs="宋体"/>
          <w:b/>
          <w:bCs/>
          <w:color w:val="auto"/>
          <w:sz w:val="24"/>
          <w:szCs w:val="24"/>
          <w:highlight w:val="none"/>
        </w:rPr>
        <w:t>管理</w:t>
      </w:r>
      <w:bookmarkEnd w:id="224"/>
    </w:p>
    <w:p w14:paraId="5AAF7037">
      <w:pPr>
        <w:pStyle w:val="22"/>
        <w:adjustRightInd w:val="0"/>
        <w:snapToGrid w:val="0"/>
        <w:spacing w:line="300" w:lineRule="auto"/>
        <w:rPr>
          <w:rFonts w:hint="eastAsia"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2082176" behindDoc="0" locked="0" layoutInCell="1" allowOverlap="1">
                <wp:simplePos x="0" y="0"/>
                <wp:positionH relativeFrom="column">
                  <wp:posOffset>-114300</wp:posOffset>
                </wp:positionH>
                <wp:positionV relativeFrom="paragraph">
                  <wp:posOffset>208280</wp:posOffset>
                </wp:positionV>
                <wp:extent cx="1039495" cy="529590"/>
                <wp:effectExtent l="0" t="0" r="0" b="0"/>
                <wp:wrapNone/>
                <wp:docPr id="1439" name="000272"/>
                <wp:cNvGraphicFramePr/>
                <a:graphic xmlns:a="http://schemas.openxmlformats.org/drawingml/2006/main">
                  <a:graphicData uri="http://schemas.microsoft.com/office/word/2010/wordprocessingShape">
                    <wps:wsp>
                      <wps:cNvSpPr/>
                      <wps:spPr>
                        <a:xfrm>
                          <a:off x="0" y="0"/>
                          <a:ext cx="1039495" cy="529590"/>
                        </a:xfrm>
                        <a:prstGeom prst="rect">
                          <a:avLst/>
                        </a:prstGeom>
                        <a:ln>
                          <a:noFill/>
                        </a:ln>
                      </wps:spPr>
                      <wps:txbx>
                        <w:txbxContent>
                          <w:p w14:paraId="2D17D958">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合同管理</w:t>
                            </w:r>
                          </w:p>
                          <w:p w14:paraId="71081B74">
                            <w:pPr>
                              <w:spacing w:line="240" w:lineRule="exact"/>
                              <w:rPr>
                                <w:rFonts w:hint="eastAsia" w:ascii="楷体_GB2312" w:hAnsi="宋体" w:eastAsia="楷体_GB2312"/>
                                <w:b/>
                                <w:bCs/>
                                <w:sz w:val="18"/>
                                <w:szCs w:val="18"/>
                              </w:rPr>
                            </w:pPr>
                          </w:p>
                        </w:txbxContent>
                      </wps:txbx>
                      <wps:bodyPr wrap="square"/>
                    </wps:wsp>
                  </a:graphicData>
                </a:graphic>
              </wp:anchor>
            </w:drawing>
          </mc:Choice>
          <mc:Fallback>
            <w:pict>
              <v:rect id="000272" o:spid="_x0000_s1026" o:spt="1" style="position:absolute;left:0pt;margin-left:-9pt;margin-top:16.4pt;height:41.7pt;width:81.85pt;z-index:252082176;mso-width-relative:page;mso-height-relative:page;" filled="f" stroked="f" coordsize="21600,21600" o:gfxdata="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khBvtsAAAAKAQAADwAAAAAAAAABACAA&#10;AAAiAAAAZHJzL2Rvd25yZXYueG1sUEsBAhQAFAAAAAgAh07iQKNsauWYAQAAOQMAAA4AAAAAAAAA&#10;AQAgAAAAKgEAAGRycy9lMm9Eb2MueG1sUEsFBgAAAAAGAAYAWQEAADQFAAAAAA==&#10;">
                <v:fill on="f" focussize="0,0"/>
                <v:stroke on="f"/>
                <v:imagedata o:title=""/>
                <o:lock v:ext="edit" aspectratio="f"/>
                <v:textbox>
                  <w:txbxContent>
                    <w:p w14:paraId="2D17D958">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合同管理</w:t>
                      </w:r>
                    </w:p>
                    <w:p w14:paraId="71081B74">
                      <w:pPr>
                        <w:spacing w:line="240" w:lineRule="exact"/>
                        <w:rPr>
                          <w:rFonts w:hint="eastAsia" w:ascii="楷体_GB2312" w:hAnsi="宋体" w:eastAsia="楷体_GB2312"/>
                          <w:b/>
                          <w:bCs/>
                          <w:sz w:val="18"/>
                          <w:szCs w:val="18"/>
                        </w:rPr>
                      </w:pPr>
                    </w:p>
                  </w:txbxContent>
                </v:textbox>
              </v:rect>
            </w:pict>
          </mc:Fallback>
        </mc:AlternateContent>
      </w:r>
      <w:r>
        <w:rPr>
          <w:rFonts w:hint="eastAsia" w:hAnsi="宋体" w:eastAsia="宋体" w:cs="宋体"/>
          <w:b/>
          <w:bCs/>
          <w:color w:val="auto"/>
          <w:sz w:val="24"/>
          <w:szCs w:val="24"/>
          <w:highlight w:val="none"/>
        </w:rPr>
        <w:t xml:space="preserve">98.1  </w:t>
      </w:r>
    </w:p>
    <w:p w14:paraId="77C66D2E">
      <w:pPr>
        <w:spacing w:line="300" w:lineRule="auto"/>
        <w:ind w:left="2088" w:leftChars="798" w:hanging="412" w:hangingChars="172"/>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合同双方当事人应按照第22条至第25条的职责划分，督促各自人员认真履行合同</w:t>
      </w:r>
    </w:p>
    <w:p w14:paraId="6EE3B9F6">
      <w:pPr>
        <w:spacing w:line="300" w:lineRule="auto"/>
        <w:ind w:firstLine="1680" w:firstLineChars="700"/>
        <w:rPr>
          <w:rFonts w:hint="eastAsia" w:ascii="宋体" w:hAnsi="宋体" w:eastAsia="宋体" w:cs="宋体"/>
          <w:color w:val="auto"/>
          <w:sz w:val="24"/>
          <w:highlight w:val="none"/>
        </w:rPr>
      </w:pPr>
      <w:r>
        <w:rPr>
          <w:rFonts w:hint="eastAsia" w:ascii="宋体" w:hAnsi="宋体" w:eastAsia="宋体" w:cs="宋体"/>
          <w:color w:val="auto"/>
          <w:sz w:val="24"/>
          <w:highlight w:val="none"/>
        </w:rPr>
        <w:t>管理职责，加强合同管理。</w:t>
      </w:r>
    </w:p>
    <w:p w14:paraId="4FBC4D25">
      <w:pPr>
        <w:spacing w:line="300" w:lineRule="auto"/>
        <w:ind w:left="1710" w:leftChars="700"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涉及国有资金投资的工程，建设行政主管部门、工程造价管理机构应依据建设行政主管部门存档合同实施合同监督管理；合同双方当事人应随时接受执法人员对本合同的监督管理，并为监督管理活动提供配合和协助。   </w:t>
      </w:r>
    </w:p>
    <w:p w14:paraId="1BFF2C2E">
      <w:pPr>
        <w:pStyle w:val="2"/>
        <w:rPr>
          <w:rFonts w:hint="eastAsia"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31DFEA0D">
      <w:pPr>
        <w:rPr>
          <w:rFonts w:hint="eastAsia" w:hAnsi="宋体" w:eastAsia="宋体" w:cs="宋体"/>
          <w:b/>
          <w:bCs/>
          <w:color w:val="auto"/>
          <w:sz w:val="24"/>
          <w:szCs w:val="24"/>
          <w:highlight w:val="none"/>
          <w:u w:val="single"/>
        </w:rPr>
      </w:pPr>
    </w:p>
    <w:p w14:paraId="0BFC93F7">
      <w:pPr>
        <w:pStyle w:val="17"/>
        <w:rPr>
          <w:rFonts w:hint="eastAsia" w:hAnsi="宋体" w:eastAsia="宋体" w:cs="宋体"/>
          <w:b/>
          <w:bCs/>
          <w:color w:val="auto"/>
          <w:sz w:val="24"/>
          <w:szCs w:val="24"/>
          <w:highlight w:val="none"/>
          <w:u w:val="single"/>
        </w:rPr>
      </w:pPr>
    </w:p>
    <w:p w14:paraId="4BD2E804">
      <w:pPr>
        <w:pStyle w:val="17"/>
        <w:rPr>
          <w:rFonts w:hint="eastAsia" w:hAnsi="宋体" w:eastAsia="宋体" w:cs="宋体"/>
          <w:b/>
          <w:bCs/>
          <w:color w:val="auto"/>
          <w:sz w:val="24"/>
          <w:szCs w:val="24"/>
          <w:highlight w:val="none"/>
          <w:u w:val="single"/>
        </w:rPr>
      </w:pPr>
    </w:p>
    <w:p w14:paraId="48913721">
      <w:pPr>
        <w:pStyle w:val="17"/>
        <w:rPr>
          <w:rFonts w:hint="eastAsia" w:hAnsi="宋体" w:eastAsia="宋体" w:cs="宋体"/>
          <w:b/>
          <w:bCs/>
          <w:color w:val="auto"/>
          <w:sz w:val="24"/>
          <w:szCs w:val="24"/>
          <w:highlight w:val="none"/>
          <w:u w:val="single"/>
        </w:rPr>
      </w:pPr>
    </w:p>
    <w:p w14:paraId="48CD4D0A">
      <w:pPr>
        <w:pStyle w:val="17"/>
        <w:rPr>
          <w:rFonts w:hint="eastAsia" w:hAnsi="宋体" w:eastAsia="宋体" w:cs="宋体"/>
          <w:b/>
          <w:bCs/>
          <w:color w:val="auto"/>
          <w:sz w:val="24"/>
          <w:szCs w:val="24"/>
          <w:highlight w:val="none"/>
          <w:u w:val="single"/>
        </w:rPr>
      </w:pPr>
    </w:p>
    <w:p w14:paraId="53205D2D">
      <w:pPr>
        <w:pStyle w:val="17"/>
        <w:rPr>
          <w:rFonts w:hint="eastAsia" w:hAnsi="宋体" w:eastAsia="宋体" w:cs="宋体"/>
          <w:b/>
          <w:bCs/>
          <w:color w:val="auto"/>
          <w:sz w:val="24"/>
          <w:szCs w:val="24"/>
          <w:highlight w:val="none"/>
          <w:u w:val="single"/>
        </w:rPr>
      </w:pPr>
    </w:p>
    <w:p w14:paraId="690BC1C1">
      <w:pPr>
        <w:pStyle w:val="17"/>
        <w:rPr>
          <w:rFonts w:hint="eastAsia" w:hAnsi="宋体" w:eastAsia="宋体" w:cs="宋体"/>
          <w:b/>
          <w:bCs/>
          <w:color w:val="auto"/>
          <w:sz w:val="24"/>
          <w:szCs w:val="24"/>
          <w:highlight w:val="none"/>
          <w:u w:val="single"/>
        </w:rPr>
      </w:pPr>
    </w:p>
    <w:p w14:paraId="266DF546">
      <w:pPr>
        <w:pStyle w:val="17"/>
        <w:rPr>
          <w:rFonts w:hint="eastAsia" w:hAnsi="宋体" w:eastAsia="宋体" w:cs="宋体"/>
          <w:b/>
          <w:bCs/>
          <w:color w:val="auto"/>
          <w:sz w:val="24"/>
          <w:szCs w:val="24"/>
          <w:highlight w:val="none"/>
          <w:u w:val="single"/>
        </w:rPr>
      </w:pPr>
    </w:p>
    <w:p w14:paraId="47DC209B">
      <w:pPr>
        <w:pStyle w:val="17"/>
        <w:rPr>
          <w:rFonts w:hint="eastAsia" w:hAnsi="宋体" w:eastAsia="宋体" w:cs="宋体"/>
          <w:b/>
          <w:bCs/>
          <w:color w:val="auto"/>
          <w:sz w:val="24"/>
          <w:szCs w:val="24"/>
          <w:highlight w:val="none"/>
          <w:u w:val="single"/>
        </w:rPr>
      </w:pPr>
    </w:p>
    <w:p w14:paraId="36EADAF5">
      <w:pPr>
        <w:pStyle w:val="17"/>
        <w:rPr>
          <w:rFonts w:hint="eastAsia" w:hAnsi="宋体" w:eastAsia="宋体" w:cs="宋体"/>
          <w:b/>
          <w:bCs/>
          <w:color w:val="auto"/>
          <w:sz w:val="24"/>
          <w:szCs w:val="24"/>
          <w:highlight w:val="none"/>
          <w:u w:val="single"/>
        </w:rPr>
      </w:pPr>
    </w:p>
    <w:p w14:paraId="0420B993">
      <w:pPr>
        <w:pStyle w:val="17"/>
        <w:rPr>
          <w:rFonts w:hint="eastAsia" w:hAnsi="宋体" w:eastAsia="宋体" w:cs="宋体"/>
          <w:b/>
          <w:bCs/>
          <w:color w:val="auto"/>
          <w:sz w:val="24"/>
          <w:szCs w:val="24"/>
          <w:highlight w:val="none"/>
          <w:u w:val="single"/>
        </w:rPr>
      </w:pPr>
    </w:p>
    <w:p w14:paraId="7F9B8E18">
      <w:pPr>
        <w:pStyle w:val="17"/>
        <w:rPr>
          <w:rFonts w:hint="eastAsia" w:hAnsi="宋体" w:eastAsia="宋体" w:cs="宋体"/>
          <w:b/>
          <w:bCs/>
          <w:color w:val="auto"/>
          <w:sz w:val="24"/>
          <w:szCs w:val="24"/>
          <w:highlight w:val="none"/>
          <w:u w:val="single"/>
        </w:rPr>
      </w:pPr>
    </w:p>
    <w:p w14:paraId="5C957FC2">
      <w:pPr>
        <w:pStyle w:val="17"/>
        <w:rPr>
          <w:rFonts w:hint="eastAsia" w:hAnsi="宋体" w:eastAsia="宋体" w:cs="宋体"/>
          <w:b/>
          <w:bCs/>
          <w:color w:val="auto"/>
          <w:sz w:val="24"/>
          <w:szCs w:val="24"/>
          <w:highlight w:val="none"/>
          <w:u w:val="single"/>
        </w:rPr>
      </w:pPr>
    </w:p>
    <w:p w14:paraId="567ACD2C">
      <w:pPr>
        <w:pStyle w:val="17"/>
        <w:rPr>
          <w:rFonts w:hint="eastAsia" w:hAnsi="宋体" w:eastAsia="宋体" w:cs="宋体"/>
          <w:b/>
          <w:bCs/>
          <w:color w:val="auto"/>
          <w:sz w:val="24"/>
          <w:szCs w:val="24"/>
          <w:highlight w:val="none"/>
          <w:u w:val="single"/>
        </w:rPr>
      </w:pPr>
    </w:p>
    <w:p w14:paraId="17B5A1D9">
      <w:pPr>
        <w:pStyle w:val="81"/>
        <w:jc w:val="both"/>
        <w:rPr>
          <w:rFonts w:hint="eastAsia" w:ascii="宋体" w:hAnsi="宋体" w:eastAsia="宋体" w:cs="宋体"/>
          <w:color w:val="auto"/>
          <w:highlight w:val="none"/>
        </w:rPr>
      </w:pPr>
    </w:p>
    <w:p w14:paraId="69F521D4">
      <w:pPr>
        <w:pStyle w:val="81"/>
        <w:jc w:val="center"/>
        <w:rPr>
          <w:rFonts w:hint="eastAsia" w:ascii="宋体" w:hAnsi="宋体" w:eastAsia="宋体" w:cs="宋体"/>
          <w:color w:val="auto"/>
          <w:highlight w:val="none"/>
        </w:rPr>
      </w:pPr>
      <w:r>
        <w:rPr>
          <w:rFonts w:hint="eastAsia" w:ascii="宋体" w:hAnsi="宋体" w:eastAsia="宋体" w:cs="宋体"/>
          <w:color w:val="auto"/>
          <w:highlight w:val="none"/>
        </w:rPr>
        <w:t>第二章　专用条款</w:t>
      </w:r>
      <w:bookmarkEnd w:id="15"/>
    </w:p>
    <w:p w14:paraId="1ED1A4EF">
      <w:pPr>
        <w:pStyle w:val="116"/>
        <w:spacing w:line="360" w:lineRule="auto"/>
        <w:ind w:firstLine="480" w:firstLineChars="200"/>
        <w:jc w:val="both"/>
        <w:outlineLvl w:val="9"/>
        <w:rPr>
          <w:rFonts w:hint="eastAsia" w:ascii="宋体" w:hAnsi="宋体" w:eastAsia="宋体" w:cs="宋体"/>
          <w:color w:val="auto"/>
          <w:highlight w:val="none"/>
        </w:rPr>
      </w:pPr>
      <w:bookmarkStart w:id="225" w:name="_Toc287628029"/>
      <w:r>
        <w:rPr>
          <w:rFonts w:hint="eastAsia" w:ascii="宋体" w:hAnsi="宋体" w:eastAsia="宋体" w:cs="宋体"/>
          <w:color w:val="auto"/>
          <w:highlight w:val="none"/>
        </w:rPr>
        <w:t>1．定义</w:t>
      </w:r>
      <w:bookmarkEnd w:id="225"/>
    </w:p>
    <w:p w14:paraId="6B31EA65">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1.53  所采用的书面形式包括：</w:t>
      </w:r>
    </w:p>
    <w:p w14:paraId="13711B24">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文书</w:t>
      </w:r>
    </w:p>
    <w:p w14:paraId="69DC09B0">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信件（包括邮政快递）</w:t>
      </w:r>
    </w:p>
    <w:p w14:paraId="6D717902">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电报</w:t>
      </w:r>
    </w:p>
    <w:p w14:paraId="20F9FE8D">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传真</w:t>
      </w:r>
    </w:p>
    <w:p w14:paraId="4C35F03A">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电子邮件</w:t>
      </w:r>
    </w:p>
    <w:p w14:paraId="40BF7F1F">
      <w:pPr>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  其他：</w:t>
      </w:r>
    </w:p>
    <w:p w14:paraId="537927BD">
      <w:pPr>
        <w:pStyle w:val="116"/>
        <w:spacing w:line="360" w:lineRule="auto"/>
        <w:ind w:firstLine="480" w:firstLineChars="200"/>
        <w:jc w:val="both"/>
        <w:outlineLvl w:val="9"/>
        <w:rPr>
          <w:rFonts w:hint="eastAsia" w:ascii="宋体" w:hAnsi="宋体" w:eastAsia="宋体" w:cs="宋体"/>
          <w:color w:val="auto"/>
          <w:highlight w:val="none"/>
        </w:rPr>
      </w:pPr>
      <w:bookmarkStart w:id="226" w:name="_Toc287628030"/>
      <w:r>
        <w:rPr>
          <w:rFonts w:hint="eastAsia" w:ascii="宋体" w:hAnsi="宋体" w:eastAsia="宋体" w:cs="宋体"/>
          <w:color w:val="auto"/>
          <w:highlight w:val="none"/>
        </w:rPr>
        <w:t>2．合同文件及解释</w:t>
      </w:r>
      <w:bookmarkEnd w:id="226"/>
    </w:p>
    <w:p w14:paraId="156A3EC1">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2.2 合同文件组成及优先顺序：</w:t>
      </w:r>
    </w:p>
    <w:p w14:paraId="266E6562">
      <w:pPr>
        <w:autoSpaceDE w:val="0"/>
        <w:autoSpaceDN w:val="0"/>
        <w:adjustRightIn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按本合同第一篇执行。</w:t>
      </w:r>
    </w:p>
    <w:p w14:paraId="194107ED">
      <w:pPr>
        <w:autoSpaceDE w:val="0"/>
        <w:autoSpaceDN w:val="0"/>
        <w:adjustRightIn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rPr>
        <w:t>合同中带有</w:t>
      </w:r>
      <w:r>
        <w:rPr>
          <w:rFonts w:hint="eastAsia" w:ascii="宋体" w:hAnsi="宋体" w:eastAsia="宋体" w:cs="宋体"/>
          <w:color w:val="auto"/>
          <w:sz w:val="22"/>
          <w:szCs w:val="22"/>
          <w:highlight w:val="none"/>
          <w:lang w:val="zh-CN"/>
        </w:rPr>
        <w:t>“</w:t>
      </w:r>
      <w:r>
        <w:rPr>
          <w:rFonts w:hint="eastAsia" w:ascii="仿宋" w:hAnsi="仿宋" w:eastAsia="仿宋" w:cs="仿宋"/>
          <w:color w:val="auto"/>
          <w:sz w:val="22"/>
          <w:szCs w:val="22"/>
          <w:highlight w:val="none"/>
          <w:lang w:val="zh-CN"/>
        </w:rPr>
        <w:t>▲</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lang w:val="en-US" w:eastAsia="zh-CN"/>
        </w:rPr>
        <w:t>的条款内容</w:t>
      </w:r>
      <w:r>
        <w:rPr>
          <w:rFonts w:hint="eastAsia" w:ascii="宋体" w:hAnsi="宋体" w:eastAsia="宋体" w:cs="宋体"/>
          <w:color w:val="auto"/>
          <w:sz w:val="22"/>
          <w:szCs w:val="22"/>
          <w:highlight w:val="none"/>
          <w:lang w:val="zh-CN"/>
        </w:rPr>
        <w:t>均属于必须</w:t>
      </w:r>
      <w:r>
        <w:rPr>
          <w:rFonts w:hint="eastAsia" w:ascii="宋体" w:hAnsi="宋体" w:eastAsia="宋体" w:cs="宋体"/>
          <w:color w:val="auto"/>
          <w:sz w:val="22"/>
          <w:szCs w:val="22"/>
          <w:highlight w:val="none"/>
          <w:lang w:val="en-US" w:eastAsia="zh-CN"/>
        </w:rPr>
        <w:t>由施工主要负责单位负责的工作，除带</w:t>
      </w:r>
      <w:r>
        <w:rPr>
          <w:rFonts w:hint="eastAsia" w:ascii="宋体" w:hAnsi="宋体" w:eastAsia="宋体" w:cs="宋体"/>
          <w:color w:val="auto"/>
          <w:kern w:val="0"/>
          <w:sz w:val="22"/>
          <w:szCs w:val="22"/>
          <w:highlight w:val="none"/>
          <w:lang w:val="en-US" w:eastAsia="zh-CN"/>
        </w:rPr>
        <w:t>有</w:t>
      </w:r>
      <w:r>
        <w:rPr>
          <w:rFonts w:hint="eastAsia" w:ascii="宋体" w:hAnsi="宋体" w:eastAsia="宋体" w:cs="宋体"/>
          <w:color w:val="auto"/>
          <w:sz w:val="22"/>
          <w:szCs w:val="22"/>
          <w:highlight w:val="none"/>
          <w:lang w:val="zh-CN"/>
        </w:rPr>
        <w:t>“</w:t>
      </w:r>
      <w:r>
        <w:rPr>
          <w:rFonts w:hint="eastAsia" w:ascii="仿宋" w:hAnsi="仿宋" w:eastAsia="仿宋" w:cs="仿宋"/>
          <w:color w:val="auto"/>
          <w:sz w:val="22"/>
          <w:szCs w:val="22"/>
          <w:highlight w:val="none"/>
          <w:lang w:val="zh-CN"/>
        </w:rPr>
        <w:t>▲</w:t>
      </w:r>
      <w:r>
        <w:rPr>
          <w:rFonts w:hint="eastAsia" w:ascii="宋体" w:hAnsi="宋体" w:eastAsia="宋体" w:cs="宋体"/>
          <w:color w:val="auto"/>
          <w:sz w:val="22"/>
          <w:szCs w:val="22"/>
          <w:highlight w:val="none"/>
          <w:lang w:val="zh-CN"/>
        </w:rPr>
        <w:t>”的其他条款</w:t>
      </w:r>
      <w:r>
        <w:rPr>
          <w:rFonts w:hint="eastAsia" w:ascii="宋体" w:hAnsi="宋体" w:eastAsia="宋体" w:cs="宋体"/>
          <w:color w:val="auto"/>
          <w:sz w:val="22"/>
          <w:szCs w:val="22"/>
          <w:highlight w:val="none"/>
          <w:lang w:val="en-US" w:eastAsia="zh-CN"/>
        </w:rPr>
        <w:t>内容属于由联合体承包人</w:t>
      </w:r>
      <w:r>
        <w:rPr>
          <w:rFonts w:hint="eastAsia" w:ascii="宋体" w:hAnsi="宋体" w:eastAsia="宋体" w:cs="宋体"/>
          <w:color w:val="auto"/>
          <w:sz w:val="22"/>
          <w:szCs w:val="22"/>
          <w:highlight w:val="none"/>
          <w:lang w:val="zh-CN" w:eastAsia="zh-CN"/>
        </w:rPr>
        <w:t>根据</w:t>
      </w:r>
      <w:r>
        <w:rPr>
          <w:rFonts w:hint="eastAsia" w:ascii="宋体" w:hAnsi="宋体" w:eastAsia="宋体" w:cs="宋体"/>
          <w:b w:val="0"/>
          <w:bCs w:val="0"/>
          <w:color w:val="auto"/>
          <w:sz w:val="22"/>
          <w:szCs w:val="22"/>
          <w:highlight w:val="none"/>
          <w:lang w:val="zh-CN"/>
        </w:rPr>
        <w:t>联合体共同投标协议书</w:t>
      </w:r>
      <w:r>
        <w:rPr>
          <w:rFonts w:hint="eastAsia" w:ascii="宋体" w:hAnsi="宋体" w:eastAsia="宋体" w:cs="宋体"/>
          <w:b w:val="0"/>
          <w:bCs w:val="0"/>
          <w:color w:val="auto"/>
          <w:sz w:val="22"/>
          <w:szCs w:val="22"/>
          <w:highlight w:val="none"/>
          <w:lang w:val="zh-CN" w:eastAsia="zh-CN"/>
        </w:rPr>
        <w:t>约定的分工内容各自</w:t>
      </w:r>
      <w:r>
        <w:rPr>
          <w:rFonts w:hint="eastAsia" w:ascii="宋体" w:hAnsi="宋体" w:eastAsia="宋体" w:cs="宋体"/>
          <w:color w:val="auto"/>
          <w:sz w:val="22"/>
          <w:szCs w:val="22"/>
          <w:highlight w:val="none"/>
          <w:lang w:val="zh-CN" w:eastAsia="zh-CN"/>
        </w:rPr>
        <w:t>负</w:t>
      </w:r>
      <w:r>
        <w:rPr>
          <w:rFonts w:hint="eastAsia" w:ascii="宋体" w:hAnsi="宋体" w:eastAsia="宋体" w:cs="宋体"/>
          <w:color w:val="auto"/>
          <w:sz w:val="22"/>
          <w:szCs w:val="22"/>
          <w:highlight w:val="none"/>
          <w:lang w:val="en-US" w:eastAsia="zh-CN"/>
        </w:rPr>
        <w:t>责的工作。</w:t>
      </w:r>
    </w:p>
    <w:p w14:paraId="36268269">
      <w:pPr>
        <w:pStyle w:val="17"/>
        <w:ind w:firstLine="440" w:firstLineChars="200"/>
        <w:rPr>
          <w:rFonts w:hint="default"/>
          <w:color w:val="auto"/>
          <w:highlight w:val="none"/>
          <w:lang w:val="en-US" w:eastAsia="zh-CN"/>
        </w:rPr>
      </w:pPr>
      <w:r>
        <w:rPr>
          <w:rFonts w:hint="eastAsia" w:ascii="宋体" w:hAnsi="宋体" w:eastAsia="宋体" w:cs="宋体"/>
          <w:color w:val="auto"/>
          <w:sz w:val="22"/>
          <w:szCs w:val="22"/>
          <w:highlight w:val="none"/>
          <w:lang w:val="en-US" w:eastAsia="zh-CN"/>
        </w:rPr>
        <w:t>工程量清单以招标人提供概念性方案设计为基础编制。中标人须以该工程量清单为基础编制设计方案和施工方案，最终施工图以发包人审批通过并确认的图纸为准。</w:t>
      </w:r>
    </w:p>
    <w:p w14:paraId="2060A1DA">
      <w:pPr>
        <w:pStyle w:val="116"/>
        <w:spacing w:line="360" w:lineRule="auto"/>
        <w:ind w:firstLine="480" w:firstLineChars="200"/>
        <w:jc w:val="both"/>
        <w:outlineLvl w:val="9"/>
        <w:rPr>
          <w:rFonts w:hint="eastAsia" w:ascii="宋体" w:hAnsi="宋体" w:eastAsia="宋体" w:cs="宋体"/>
          <w:color w:val="auto"/>
          <w:highlight w:val="none"/>
        </w:rPr>
      </w:pPr>
      <w:bookmarkStart w:id="227" w:name="_Toc287628031"/>
      <w:r>
        <w:rPr>
          <w:rFonts w:hint="eastAsia" w:ascii="宋体" w:hAnsi="宋体" w:eastAsia="宋体" w:cs="宋体"/>
          <w:color w:val="auto"/>
          <w:highlight w:val="none"/>
        </w:rPr>
        <w:t>4．语言及适用的法律、标准与规范</w:t>
      </w:r>
      <w:bookmarkEnd w:id="227"/>
    </w:p>
    <w:p w14:paraId="78E9EB69">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4.3 约定适用的标准、规范的名称：</w:t>
      </w:r>
    </w:p>
    <w:p w14:paraId="2BB289FA">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(1)适用法律和法规</w:t>
      </w:r>
    </w:p>
    <w:p w14:paraId="306E2BFE">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按通用条款第4.2款</w:t>
      </w:r>
    </w:p>
    <w:p w14:paraId="66BC94FD">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(2)适用标准、规范：</w:t>
      </w:r>
    </w:p>
    <w:p w14:paraId="14B673B3">
      <w:pPr>
        <w:autoSpaceDE w:val="0"/>
        <w:autoSpaceDN w:val="0"/>
        <w:adjustRightInd w:val="0"/>
        <w:spacing w:line="360" w:lineRule="auto"/>
        <w:ind w:firstLine="48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highlight w:val="none"/>
        </w:rPr>
        <w:t>■ 按通用条款第4.3款</w:t>
      </w:r>
    </w:p>
    <w:p w14:paraId="108D1A4A">
      <w:pPr>
        <w:pStyle w:val="116"/>
        <w:spacing w:line="360" w:lineRule="auto"/>
        <w:ind w:firstLine="480" w:firstLineChars="200"/>
        <w:jc w:val="both"/>
        <w:outlineLvl w:val="9"/>
        <w:rPr>
          <w:rFonts w:hint="eastAsia" w:ascii="宋体" w:hAnsi="宋体" w:eastAsia="宋体" w:cs="宋体"/>
          <w:color w:val="auto"/>
          <w:highlight w:val="none"/>
        </w:rPr>
      </w:pPr>
      <w:bookmarkStart w:id="228" w:name="_Toc287628032"/>
      <w:r>
        <w:rPr>
          <w:rFonts w:hint="eastAsia" w:ascii="宋体" w:hAnsi="宋体" w:eastAsia="宋体" w:cs="宋体"/>
          <w:color w:val="auto"/>
          <w:highlight w:val="none"/>
        </w:rPr>
        <w:t>5． 施工设计图纸</w:t>
      </w:r>
      <w:bookmarkEnd w:id="228"/>
    </w:p>
    <w:p w14:paraId="446A9364">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5.1 </w:t>
      </w:r>
      <w:r>
        <w:rPr>
          <w:rFonts w:hint="eastAsia" w:ascii="宋体" w:hAnsi="宋体" w:eastAsia="宋体" w:cs="宋体"/>
          <w:color w:val="auto"/>
          <w:kern w:val="0"/>
          <w:sz w:val="24"/>
          <w:highlight w:val="none"/>
          <w:u w:val="single"/>
        </w:rPr>
        <w:t>乙方</w:t>
      </w:r>
      <w:r>
        <w:rPr>
          <w:rFonts w:hint="eastAsia" w:ascii="宋体" w:hAnsi="宋体" w:eastAsia="宋体" w:cs="宋体"/>
          <w:color w:val="auto"/>
          <w:kern w:val="0"/>
          <w:sz w:val="24"/>
          <w:highlight w:val="none"/>
        </w:rPr>
        <w:t>提供施工设计图纸</w:t>
      </w:r>
    </w:p>
    <w:p w14:paraId="70D27C14">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 提供的时间：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施工</w:t>
      </w:r>
      <w:r>
        <w:rPr>
          <w:rFonts w:hint="eastAsia" w:ascii="宋体" w:hAnsi="宋体" w:eastAsia="宋体" w:cs="宋体"/>
          <w:color w:val="auto"/>
          <w:kern w:val="0"/>
          <w:sz w:val="24"/>
          <w:highlight w:val="none"/>
          <w:u w:val="single"/>
        </w:rPr>
        <w:t xml:space="preserve">开工前  </w:t>
      </w:r>
    </w:p>
    <w:p w14:paraId="0425EA75">
      <w:pPr>
        <w:autoSpaceDE w:val="0"/>
        <w:autoSpaceDN w:val="0"/>
        <w:adjustRightInd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(2) 提供的数量：</w:t>
      </w:r>
      <w:r>
        <w:rPr>
          <w:rFonts w:hint="eastAsia" w:ascii="宋体" w:hAnsi="宋体" w:eastAsia="宋体" w:cs="宋体"/>
          <w:color w:val="auto"/>
          <w:kern w:val="0"/>
          <w:sz w:val="24"/>
          <w:highlight w:val="none"/>
          <w:u w:val="single"/>
        </w:rPr>
        <w:t>本项目采用EPC</w:t>
      </w:r>
      <w:r>
        <w:rPr>
          <w:rFonts w:hint="eastAsia" w:ascii="宋体" w:hAnsi="宋体" w:eastAsia="宋体" w:cs="宋体"/>
          <w:color w:val="auto"/>
          <w:kern w:val="0"/>
          <w:sz w:val="24"/>
          <w:highlight w:val="none"/>
          <w:u w:val="single"/>
          <w:lang w:val="en-US" w:eastAsia="zh-CN"/>
        </w:rPr>
        <w:t>+O</w:t>
      </w:r>
      <w:r>
        <w:rPr>
          <w:rFonts w:hint="eastAsia" w:ascii="宋体" w:hAnsi="宋体" w:eastAsia="宋体" w:cs="宋体"/>
          <w:color w:val="auto"/>
          <w:kern w:val="0"/>
          <w:sz w:val="24"/>
          <w:highlight w:val="none"/>
          <w:u w:val="single"/>
        </w:rPr>
        <w:t>模式实施，施工设计图纸由乙方（设计单位）完成并经甲方确认后自行提供,且不少于</w:t>
      </w:r>
      <w:r>
        <w:rPr>
          <w:rFonts w:hint="eastAsia" w:ascii="宋体" w:hAnsi="宋体" w:eastAsia="宋体" w:cs="宋体"/>
          <w:color w:val="auto"/>
          <w:kern w:val="0"/>
          <w:sz w:val="24"/>
          <w:highlight w:val="none"/>
          <w:u w:val="single"/>
          <w:lang w:val="en-US" w:eastAsia="zh-CN"/>
        </w:rPr>
        <w:t>8</w:t>
      </w:r>
      <w:r>
        <w:rPr>
          <w:rFonts w:hint="eastAsia" w:ascii="宋体" w:hAnsi="宋体" w:eastAsia="宋体" w:cs="宋体"/>
          <w:color w:val="auto"/>
          <w:kern w:val="0"/>
          <w:sz w:val="24"/>
          <w:highlight w:val="none"/>
          <w:u w:val="single"/>
        </w:rPr>
        <w:t>套，甲方需要的图纸数量乙方应满足甲方要求。</w:t>
      </w:r>
    </w:p>
    <w:p w14:paraId="3E66941C">
      <w:pPr>
        <w:autoSpaceDE w:val="0"/>
        <w:autoSpaceDN w:val="0"/>
        <w:adjustRightIn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(3)甲方对图纸的保密要求：</w:t>
      </w:r>
      <w:r>
        <w:rPr>
          <w:rFonts w:hint="eastAsia" w:ascii="宋体" w:hAnsi="宋体" w:eastAsia="宋体" w:cs="宋体"/>
          <w:color w:val="auto"/>
          <w:kern w:val="0"/>
          <w:sz w:val="24"/>
          <w:highlight w:val="none"/>
          <w:lang w:val="en-US" w:eastAsia="zh-CN"/>
        </w:rPr>
        <w:t>\</w:t>
      </w:r>
    </w:p>
    <w:p w14:paraId="3C036539">
      <w:pPr>
        <w:pStyle w:val="116"/>
        <w:spacing w:line="360" w:lineRule="auto"/>
        <w:ind w:firstLine="480" w:firstLineChars="200"/>
        <w:jc w:val="both"/>
        <w:outlineLvl w:val="9"/>
        <w:rPr>
          <w:rFonts w:hint="eastAsia" w:ascii="宋体" w:hAnsi="宋体" w:eastAsia="宋体" w:cs="宋体"/>
          <w:color w:val="auto"/>
          <w:highlight w:val="none"/>
        </w:rPr>
      </w:pPr>
      <w:bookmarkStart w:id="229" w:name="_Toc287628033"/>
      <w:r>
        <w:rPr>
          <w:rFonts w:hint="eastAsia" w:ascii="宋体" w:hAnsi="宋体" w:eastAsia="宋体" w:cs="宋体"/>
          <w:color w:val="auto"/>
          <w:highlight w:val="none"/>
        </w:rPr>
        <w:t>6． 通讯联络</w:t>
      </w:r>
      <w:bookmarkEnd w:id="229"/>
    </w:p>
    <w:p w14:paraId="3B4D8BEE">
      <w:pPr>
        <w:tabs>
          <w:tab w:val="left" w:pos="1120"/>
        </w:tabs>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6.2</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各方通讯地址、收件人及其他送达方式：</w:t>
      </w:r>
      <w:r>
        <w:rPr>
          <w:rFonts w:hint="eastAsia" w:ascii="宋体" w:hAnsi="宋体" w:eastAsia="宋体" w:cs="宋体"/>
          <w:color w:val="auto"/>
          <w:kern w:val="0"/>
          <w:sz w:val="24"/>
          <w:highlight w:val="none"/>
          <w:u w:val="single"/>
        </w:rPr>
        <w:t>（根据实际情况填写）</w:t>
      </w:r>
    </w:p>
    <w:p w14:paraId="4B7DB44E">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 各方通讯地址和收件人：</w:t>
      </w:r>
    </w:p>
    <w:p w14:paraId="18AC7AF3">
      <w:pPr>
        <w:adjustRightInd w:val="0"/>
        <w:spacing w:line="360" w:lineRule="auto"/>
        <w:ind w:firstLine="480" w:firstLineChars="200"/>
        <w:rPr>
          <w:rFonts w:hint="eastAsia" w:ascii="宋体" w:hAnsi="宋体" w:eastAsia="宋体" w:cs="宋体"/>
          <w:color w:val="auto"/>
          <w:sz w:val="24"/>
          <w:highlight w:val="none"/>
        </w:rPr>
      </w:pPr>
    </w:p>
    <w:p w14:paraId="2AA78CCE">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广州市番禺区石碁镇桥山村股份合作经济社</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182A9CD">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B0E50B0">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收件人：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F96DC72">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9434CE4">
      <w:pPr>
        <w:adjustRightInd w:val="0"/>
        <w:spacing w:line="360" w:lineRule="auto"/>
        <w:ind w:firstLine="480" w:firstLineChars="200"/>
        <w:rPr>
          <w:rFonts w:hint="eastAsia" w:ascii="宋体" w:hAnsi="宋体" w:eastAsia="宋体" w:cs="宋体"/>
          <w:color w:val="auto"/>
          <w:sz w:val="24"/>
          <w:highlight w:val="none"/>
          <w:u w:val="single"/>
        </w:rPr>
      </w:pPr>
    </w:p>
    <w:p w14:paraId="2EDC0DF9">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72F1A32">
      <w:pPr>
        <w:adjustRightIn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收件人：</w:t>
      </w:r>
      <w:r>
        <w:rPr>
          <w:rFonts w:hint="eastAsia" w:ascii="宋体" w:hAnsi="宋体" w:eastAsia="宋体" w:cs="宋体"/>
          <w:color w:val="auto"/>
          <w:sz w:val="24"/>
          <w:highlight w:val="none"/>
          <w:u w:val="single"/>
        </w:rPr>
        <w:t xml:space="preserve">              </w:t>
      </w:r>
    </w:p>
    <w:p w14:paraId="0CB02E4C">
      <w:pPr>
        <w:adjustRightIn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邮政编码：</w:t>
      </w:r>
      <w:r>
        <w:rPr>
          <w:rFonts w:hint="eastAsia" w:ascii="宋体" w:hAnsi="宋体" w:eastAsia="宋体" w:cs="宋体"/>
          <w:color w:val="auto"/>
          <w:sz w:val="24"/>
          <w:highlight w:val="none"/>
          <w:lang w:val="en-US" w:eastAsia="zh-CN"/>
        </w:rPr>
        <w:t xml:space="preserve">                      </w:t>
      </w:r>
    </w:p>
    <w:p w14:paraId="1C89EE97">
      <w:pPr>
        <w:adjustRightInd w:val="0"/>
        <w:spacing w:line="360" w:lineRule="auto"/>
        <w:ind w:firstLine="480" w:firstLineChars="200"/>
        <w:rPr>
          <w:rFonts w:hint="eastAsia" w:ascii="宋体" w:hAnsi="宋体" w:eastAsia="宋体" w:cs="宋体"/>
          <w:color w:val="auto"/>
          <w:sz w:val="24"/>
          <w:highlight w:val="none"/>
        </w:rPr>
      </w:pPr>
    </w:p>
    <w:p w14:paraId="4668D044">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监理人：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C5DD24C">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收件人：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5364F65">
      <w:pPr>
        <w:adjustRightIn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邮政编码：</w:t>
      </w:r>
      <w:r>
        <w:rPr>
          <w:rFonts w:hint="eastAsia" w:ascii="宋体" w:hAnsi="宋体" w:eastAsia="宋体" w:cs="宋体"/>
          <w:color w:val="auto"/>
          <w:sz w:val="24"/>
          <w:highlight w:val="none"/>
          <w:u w:val="single"/>
        </w:rPr>
        <w:t xml:space="preserve">              </w:t>
      </w:r>
    </w:p>
    <w:p w14:paraId="72600540">
      <w:pPr>
        <w:rPr>
          <w:rFonts w:hint="eastAsia" w:ascii="宋体" w:hAnsi="宋体" w:eastAsia="宋体" w:cs="宋体"/>
          <w:color w:val="auto"/>
          <w:highlight w:val="none"/>
        </w:rPr>
      </w:pPr>
    </w:p>
    <w:p w14:paraId="40E544A9">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工程造价咨询人（如有）：</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CD83361">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收件人：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3BBAA724">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sz w:val="24"/>
          <w:highlight w:val="none"/>
        </w:rPr>
        <w:t>邮政编码：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44C423E">
      <w:pPr>
        <w:autoSpaceDE w:val="0"/>
        <w:autoSpaceDN w:val="0"/>
        <w:adjustRightInd w:val="0"/>
        <w:spacing w:line="360" w:lineRule="auto"/>
        <w:ind w:firstLine="480" w:firstLineChars="20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(2) 视为送达的其他方式：</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u w:val="single"/>
        </w:rPr>
        <w:t xml:space="preserve">/       </w:t>
      </w:r>
    </w:p>
    <w:p w14:paraId="0A215A75">
      <w:pPr>
        <w:pStyle w:val="116"/>
        <w:spacing w:line="360" w:lineRule="auto"/>
        <w:ind w:firstLine="480" w:firstLineChars="200"/>
        <w:jc w:val="both"/>
        <w:outlineLvl w:val="9"/>
        <w:rPr>
          <w:rFonts w:hint="eastAsia" w:ascii="宋体" w:hAnsi="宋体" w:eastAsia="宋体" w:cs="宋体"/>
          <w:color w:val="auto"/>
          <w:highlight w:val="none"/>
        </w:rPr>
      </w:pPr>
      <w:bookmarkStart w:id="230" w:name="_Toc287628034"/>
      <w:r>
        <w:rPr>
          <w:rFonts w:hint="eastAsia" w:ascii="宋体" w:hAnsi="宋体" w:eastAsia="宋体" w:cs="宋体"/>
          <w:color w:val="auto"/>
          <w:highlight w:val="none"/>
        </w:rPr>
        <w:t>7．工程分包</w:t>
      </w:r>
      <w:bookmarkEnd w:id="230"/>
    </w:p>
    <w:p w14:paraId="51178128">
      <w:pPr>
        <w:tabs>
          <w:tab w:val="left" w:pos="1120"/>
        </w:tabs>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7.2 指定分包工程名称：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kern w:val="0"/>
          <w:sz w:val="24"/>
          <w:highlight w:val="none"/>
          <w:u w:val="single"/>
        </w:rPr>
        <w:t xml:space="preserve"> </w:t>
      </w:r>
    </w:p>
    <w:p w14:paraId="1FCE8DBE">
      <w:pPr>
        <w:tabs>
          <w:tab w:val="left" w:pos="1120"/>
        </w:tabs>
        <w:autoSpaceDE w:val="0"/>
        <w:autoSpaceDN w:val="0"/>
        <w:adjustRightInd w:val="0"/>
        <w:spacing w:line="360" w:lineRule="auto"/>
        <w:ind w:firstLine="480" w:firstLineChars="20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7.4 分包工程款的支付方式：</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kern w:val="0"/>
          <w:sz w:val="24"/>
          <w:highlight w:val="none"/>
          <w:u w:val="single"/>
        </w:rPr>
        <w:t xml:space="preserve"> </w:t>
      </w:r>
    </w:p>
    <w:p w14:paraId="55ECBA71">
      <w:pPr>
        <w:tabs>
          <w:tab w:val="left" w:pos="1120"/>
        </w:tabs>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11.文物和地下障碍物</w:t>
      </w:r>
    </w:p>
    <w:p w14:paraId="733CFD78">
      <w:pPr>
        <w:tabs>
          <w:tab w:val="left" w:pos="1120"/>
        </w:tabs>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11.2对影响施工的管线的迁移工作，由乙方负责</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如属于第三方财产，则由甲方和第三方协商解决</w:t>
      </w:r>
      <w:r>
        <w:rPr>
          <w:rFonts w:hint="eastAsia" w:ascii="宋体" w:hAnsi="宋体" w:eastAsia="宋体" w:cs="宋体"/>
          <w:color w:val="auto"/>
          <w:kern w:val="0"/>
          <w:sz w:val="24"/>
          <w:highlight w:val="none"/>
        </w:rPr>
        <w:t>。对影响施工的地下障碍物(无论合同中是否明确指出)的拆除工作，由乙方负责，有关费用已包含在本合同总价款内，甲方不再承担任何费用。</w:t>
      </w:r>
    </w:p>
    <w:p w14:paraId="01C33071">
      <w:pPr>
        <w:tabs>
          <w:tab w:val="left" w:pos="1120"/>
        </w:tabs>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12．事故处理</w:t>
      </w:r>
    </w:p>
    <w:p w14:paraId="502419C6">
      <w:pPr>
        <w:tabs>
          <w:tab w:val="left" w:pos="1120"/>
        </w:tabs>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12.4乙方在本工程施工中发生质量或安全事故</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人身损害</w:t>
      </w:r>
      <w:r>
        <w:rPr>
          <w:rFonts w:hint="eastAsia" w:ascii="宋体" w:hAnsi="宋体" w:eastAsia="宋体" w:cs="宋体"/>
          <w:color w:val="auto"/>
          <w:kern w:val="0"/>
          <w:sz w:val="24"/>
          <w:highlight w:val="none"/>
        </w:rPr>
        <w:t>的，由乙方承担相应的经济和法律责任。</w:t>
      </w:r>
    </w:p>
    <w:p w14:paraId="587AE4BE">
      <w:pPr>
        <w:pStyle w:val="116"/>
        <w:spacing w:line="360" w:lineRule="auto"/>
        <w:ind w:firstLine="480" w:firstLineChars="200"/>
        <w:jc w:val="both"/>
        <w:outlineLvl w:val="9"/>
        <w:rPr>
          <w:rFonts w:hint="eastAsia" w:ascii="宋体" w:hAnsi="宋体" w:eastAsia="宋体" w:cs="宋体"/>
          <w:color w:val="auto"/>
          <w:highlight w:val="none"/>
        </w:rPr>
      </w:pPr>
      <w:bookmarkStart w:id="231" w:name="_Toc287628035"/>
      <w:r>
        <w:rPr>
          <w:rFonts w:hint="eastAsia" w:ascii="宋体" w:hAnsi="宋体" w:eastAsia="宋体" w:cs="宋体"/>
          <w:color w:val="auto"/>
          <w:highlight w:val="none"/>
        </w:rPr>
        <w:t>13．交通运输</w:t>
      </w:r>
      <w:bookmarkEnd w:id="231"/>
    </w:p>
    <w:p w14:paraId="257650EB">
      <w:pPr>
        <w:autoSpaceDE w:val="0"/>
        <w:autoSpaceDN w:val="0"/>
        <w:adjustRightInd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13.1 办理道路通行权和修建场外设施的费用：</w:t>
      </w:r>
      <w:r>
        <w:rPr>
          <w:rFonts w:hint="eastAsia" w:ascii="宋体" w:hAnsi="宋体" w:eastAsia="宋体" w:cs="宋体"/>
          <w:color w:val="auto"/>
          <w:kern w:val="0"/>
          <w:sz w:val="24"/>
          <w:highlight w:val="none"/>
          <w:u w:val="single"/>
        </w:rPr>
        <w:t>甲方提供必要的协助。由乙方负责办理，所发生费用已包括在合同价款内，由乙方支付，甲方不再承担和另行支付费用。</w:t>
      </w:r>
    </w:p>
    <w:p w14:paraId="0975FDCF">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13.2 修建场内临时道路和交通设施的费用：</w:t>
      </w:r>
      <w:r>
        <w:rPr>
          <w:rFonts w:hint="eastAsia" w:ascii="宋体" w:hAnsi="宋体" w:eastAsia="宋体" w:cs="宋体"/>
          <w:color w:val="auto"/>
          <w:kern w:val="0"/>
          <w:sz w:val="24"/>
          <w:highlight w:val="none"/>
          <w:u w:val="single"/>
        </w:rPr>
        <w:t>由乙方负责，已包含在合同总价中，甲方不另外支付。</w:t>
      </w:r>
    </w:p>
    <w:p w14:paraId="0951A25A">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13.4 运输超大件和超重件的费用：</w:t>
      </w:r>
      <w:r>
        <w:rPr>
          <w:rFonts w:hint="eastAsia" w:ascii="宋体" w:hAnsi="宋体" w:eastAsia="宋体" w:cs="宋体"/>
          <w:color w:val="auto"/>
          <w:kern w:val="0"/>
          <w:sz w:val="24"/>
          <w:highlight w:val="none"/>
          <w:u w:val="single"/>
        </w:rPr>
        <w:t>由乙方负责，已包含在合同总价中，甲方不另外支付。</w:t>
      </w:r>
    </w:p>
    <w:p w14:paraId="5CFD0AEE">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13.7乙方自进场施工起至项目竣工验收止，需保证临时道路（或通道）的畅通安全及整洁。保证沿线相关单位、居民的行车畅通，如封闭沿线单位、居民进入拟施工道路的出入口，需按原道路宽度，修建临时道路，解决沿线单位、居民出入拟施工道路的问题，相关费用包含在合同总价中，若乙方无法保证，则甲方可另行委托其他单位实施上述工作，相关费用从支付给乙方的工程款中扣回。</w:t>
      </w:r>
    </w:p>
    <w:p w14:paraId="7EEC06BB">
      <w:pPr>
        <w:pStyle w:val="17"/>
        <w:rPr>
          <w:rFonts w:hint="eastAsia"/>
          <w:color w:val="auto"/>
          <w:highlight w:val="none"/>
        </w:rPr>
      </w:pPr>
    </w:p>
    <w:p w14:paraId="32DF79F5">
      <w:pPr>
        <w:pStyle w:val="116"/>
        <w:spacing w:line="360" w:lineRule="auto"/>
        <w:ind w:firstLine="480" w:firstLineChars="200"/>
        <w:jc w:val="both"/>
        <w:outlineLvl w:val="9"/>
        <w:rPr>
          <w:rFonts w:hint="eastAsia" w:ascii="宋体" w:hAnsi="宋体" w:eastAsia="宋体" w:cs="宋体"/>
          <w:color w:val="auto"/>
          <w:highlight w:val="none"/>
        </w:rPr>
      </w:pPr>
      <w:bookmarkStart w:id="232" w:name="_Toc287628036"/>
      <w:r>
        <w:rPr>
          <w:rFonts w:hint="eastAsia" w:ascii="宋体" w:hAnsi="宋体" w:eastAsia="宋体" w:cs="宋体"/>
          <w:color w:val="auto"/>
          <w:highlight w:val="none"/>
        </w:rPr>
        <w:t>14．专项批准事件的签认</w:t>
      </w:r>
      <w:bookmarkEnd w:id="232"/>
    </w:p>
    <w:p w14:paraId="77F6AECE">
      <w:pPr>
        <w:autoSpaceDE w:val="0"/>
        <w:autoSpaceDN w:val="0"/>
        <w:adjustRightInd w:val="0"/>
        <w:spacing w:line="360" w:lineRule="auto"/>
        <w:ind w:firstLine="480" w:firstLineChars="200"/>
        <w:rPr>
          <w:rFonts w:hint="eastAsia" w:ascii="宋体" w:hAnsi="宋体" w:eastAsia="宋体" w:cs="宋体"/>
          <w:color w:val="auto"/>
          <w:kern w:val="0"/>
          <w:position w:val="-2"/>
          <w:sz w:val="24"/>
          <w:highlight w:val="none"/>
        </w:rPr>
      </w:pPr>
      <w:r>
        <w:rPr>
          <w:rFonts w:hint="eastAsia" w:ascii="宋体" w:hAnsi="宋体" w:eastAsia="宋体" w:cs="宋体"/>
          <w:color w:val="auto"/>
          <w:kern w:val="0"/>
          <w:position w:val="-2"/>
          <w:sz w:val="24"/>
          <w:highlight w:val="none"/>
        </w:rPr>
        <w:t>14.2 专项批准事件的签认人选</w:t>
      </w:r>
    </w:p>
    <w:p w14:paraId="215BA959">
      <w:pPr>
        <w:pStyle w:val="6"/>
        <w:adjustRightInd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（1）监理工程师：</w:t>
      </w:r>
    </w:p>
    <w:p w14:paraId="4B52343E">
      <w:pPr>
        <w:pStyle w:val="6"/>
        <w:adjustRightInd w:val="0"/>
        <w:spacing w:line="360" w:lineRule="auto"/>
        <w:ind w:firstLine="48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印章式样：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签字式样：</w:t>
      </w:r>
    </w:p>
    <w:p w14:paraId="6D46E0FE">
      <w:pPr>
        <w:pStyle w:val="6"/>
        <w:adjustRightInd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（2）造价工程师：</w:t>
      </w:r>
    </w:p>
    <w:p w14:paraId="2E79CB19">
      <w:pPr>
        <w:pStyle w:val="6"/>
        <w:adjustRightInd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印章式样：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签字式样：</w:t>
      </w:r>
    </w:p>
    <w:p w14:paraId="6758B40E">
      <w:pPr>
        <w:pStyle w:val="6"/>
        <w:adjustRightInd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（3）建造师：</w:t>
      </w:r>
    </w:p>
    <w:p w14:paraId="4F59B6E3">
      <w:pPr>
        <w:pStyle w:val="6"/>
        <w:adjustRightInd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印章式样：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签字式样：</w:t>
      </w:r>
    </w:p>
    <w:p w14:paraId="455E20A4">
      <w:pPr>
        <w:autoSpaceDE w:val="0"/>
        <w:autoSpaceDN w:val="0"/>
        <w:adjustRightInd w:val="0"/>
        <w:spacing w:line="360" w:lineRule="auto"/>
        <w:ind w:firstLine="400" w:firstLineChars="200"/>
        <w:rPr>
          <w:rFonts w:hint="eastAsia" w:ascii="宋体" w:hAnsi="宋体" w:eastAsia="宋体" w:cs="宋体"/>
          <w:color w:val="auto"/>
          <w:kern w:val="0"/>
          <w:sz w:val="20"/>
          <w:szCs w:val="20"/>
          <w:highlight w:val="none"/>
        </w:rPr>
      </w:pPr>
      <w:bookmarkStart w:id="233" w:name="_Toc287628037"/>
    </w:p>
    <w:p w14:paraId="6A67ACB1">
      <w:pPr>
        <w:pStyle w:val="116"/>
        <w:spacing w:line="360" w:lineRule="auto"/>
        <w:ind w:firstLine="480" w:firstLineChars="20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19． </w:t>
      </w:r>
      <w:bookmarkEnd w:id="233"/>
      <w:r>
        <w:rPr>
          <w:rFonts w:hint="eastAsia" w:ascii="宋体" w:hAnsi="宋体" w:eastAsia="宋体" w:cs="宋体"/>
          <w:color w:val="auto"/>
          <w:highlight w:val="none"/>
        </w:rPr>
        <w:t>甲方</w:t>
      </w:r>
    </w:p>
    <w:p w14:paraId="188BAEDA">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19.2 甲方完成下列工作的约定</w:t>
      </w:r>
    </w:p>
    <w:p w14:paraId="35CF7729">
      <w:pPr>
        <w:pStyle w:val="15"/>
        <w:spacing w:line="360" w:lineRule="auto"/>
        <w:ind w:firstLine="240" w:firstLineChars="100"/>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rPr>
        <w:t>(1)  办理土地征用、拆迁、平整工作场地等工作时间：</w:t>
      </w:r>
      <w:r>
        <w:rPr>
          <w:rFonts w:hint="eastAsia" w:ascii="宋体" w:hAnsi="宋体" w:eastAsia="宋体" w:cs="宋体"/>
          <w:color w:val="auto"/>
          <w:kern w:val="0"/>
          <w:sz w:val="24"/>
          <w:highlight w:val="none"/>
          <w:u w:val="single"/>
          <w:lang w:val="en-US" w:eastAsia="zh-CN"/>
        </w:rPr>
        <w:t>在本合同签署时，甲方尚未完成承租人清拆补偿事宜，由甲方负责与承租人协商，完成清拆补偿后，由甲方负责按照现状交付土地给乙方，由乙方负责平整土地。</w:t>
      </w:r>
    </w:p>
    <w:p w14:paraId="0EA252AB">
      <w:pPr>
        <w:autoSpaceDE w:val="0"/>
        <w:autoSpaceDN w:val="0"/>
        <w:adjustRightInd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(2)  完成施工所需水、电、通讯线路接驳的时间及地点：</w:t>
      </w:r>
      <w:r>
        <w:rPr>
          <w:rFonts w:hint="eastAsia" w:ascii="宋体" w:hAnsi="宋体" w:eastAsia="宋体" w:cs="宋体"/>
          <w:color w:val="auto"/>
          <w:kern w:val="0"/>
          <w:sz w:val="24"/>
          <w:highlight w:val="none"/>
          <w:u w:val="single"/>
        </w:rPr>
        <w:t>开工前，施工临时用水、用电、通讯设施甲方不提供，由乙方自行负责，费用已包含在合同价款中，甲方不再另行计量支付。</w:t>
      </w:r>
    </w:p>
    <w:p w14:paraId="22FD06A9">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  开工施工现场与城乡公共道路间的通道的时间：</w:t>
      </w:r>
      <w:r>
        <w:rPr>
          <w:rFonts w:hint="eastAsia" w:ascii="宋体" w:hAnsi="宋体" w:eastAsia="宋体" w:cs="宋体"/>
          <w:color w:val="auto"/>
          <w:kern w:val="0"/>
          <w:sz w:val="24"/>
          <w:highlight w:val="none"/>
          <w:u w:val="single"/>
        </w:rPr>
        <w:t>由乙方根据现场的需要或甲方的要求确定，相关费用已包含在合同价款中。</w:t>
      </w:r>
    </w:p>
    <w:p w14:paraId="1973F70F">
      <w:pPr>
        <w:autoSpaceDE w:val="0"/>
        <w:autoSpaceDN w:val="0"/>
        <w:adjustRightInd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(4)  提供施工所需的有关资料的时间：</w:t>
      </w:r>
      <w:r>
        <w:rPr>
          <w:rFonts w:hint="eastAsia" w:ascii="宋体" w:hAnsi="宋体" w:eastAsia="宋体" w:cs="宋体"/>
          <w:color w:val="auto"/>
          <w:kern w:val="0"/>
          <w:sz w:val="24"/>
          <w:highlight w:val="none"/>
          <w:u w:val="single"/>
        </w:rPr>
        <w:t>开工前。</w:t>
      </w:r>
    </w:p>
    <w:p w14:paraId="380D6F7B">
      <w:pPr>
        <w:spacing w:line="360" w:lineRule="auto"/>
        <w:ind w:left="120" w:leftChars="57"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 xml:space="preserve">(5) </w:t>
      </w:r>
      <w:r>
        <w:rPr>
          <w:rFonts w:hint="eastAsia" w:ascii="宋体" w:hAnsi="宋体" w:eastAsia="宋体" w:cs="宋体"/>
          <w:color w:val="auto"/>
          <w:sz w:val="24"/>
          <w:highlight w:val="none"/>
        </w:rPr>
        <w:t>办理施工所需的有关证件和批准手续的时间：</w:t>
      </w:r>
      <w:r>
        <w:rPr>
          <w:rFonts w:hint="eastAsia" w:ascii="宋体" w:hAnsi="宋体" w:eastAsia="宋体" w:cs="宋体"/>
          <w:color w:val="auto"/>
          <w:sz w:val="24"/>
          <w:highlight w:val="none"/>
          <w:u w:val="single"/>
        </w:rPr>
        <w:t>开工前三天甲方只提供立项批文等施工报建所需相关证明文件</w:t>
      </w:r>
      <w:r>
        <w:rPr>
          <w:rFonts w:hint="eastAsia" w:ascii="宋体" w:hAnsi="宋体" w:eastAsia="宋体"/>
          <w:color w:val="auto"/>
          <w:sz w:val="28"/>
          <w:szCs w:val="28"/>
          <w:highlight w:val="none"/>
          <w:u w:val="single"/>
        </w:rPr>
        <w:t>。</w:t>
      </w:r>
      <w:r>
        <w:rPr>
          <w:rFonts w:hint="eastAsia" w:ascii="宋体" w:hAnsi="宋体" w:eastAsia="宋体" w:cs="宋体"/>
          <w:color w:val="auto"/>
          <w:sz w:val="24"/>
          <w:highlight w:val="none"/>
          <w:u w:val="single"/>
        </w:rPr>
        <w:t>有关证件和批准手续由乙方负责办理、甲方配合，所发生费用按本地行业管理部门的规定各自承担。其中施工临时用地、停水、停电、中断道路交通、爆破作业等申请批准手续由乙方自行办理，乙方为解决施工道路和施工场地所需要的任何工作均由乙方自行解决，相关费用已综合考虑包含在总报价中，甲方不另行支付费用。</w:t>
      </w:r>
    </w:p>
    <w:p w14:paraId="5B1265DA">
      <w:pPr>
        <w:pStyle w:val="15"/>
        <w:spacing w:line="360" w:lineRule="auto"/>
        <w:ind w:firstLine="480" w:firstLineChars="200"/>
        <w:rPr>
          <w:rFonts w:hint="eastAsia" w:eastAsia="等线"/>
          <w:color w:val="auto"/>
          <w:highlight w:val="none"/>
          <w:lang w:eastAsia="zh-CN"/>
        </w:rPr>
      </w:pPr>
      <w:r>
        <w:rPr>
          <w:rFonts w:hint="eastAsia" w:ascii="宋体" w:hAnsi="宋体" w:eastAsia="宋体" w:cs="宋体"/>
          <w:color w:val="auto"/>
          <w:kern w:val="0"/>
          <w:sz w:val="24"/>
          <w:highlight w:val="none"/>
        </w:rPr>
        <w:t>(6) 现场交验的时间：</w:t>
      </w:r>
      <w:r>
        <w:rPr>
          <w:rFonts w:hint="eastAsia" w:ascii="宋体" w:hAnsi="宋体" w:eastAsia="宋体" w:cs="宋体"/>
          <w:color w:val="auto"/>
          <w:sz w:val="24"/>
          <w:highlight w:val="none"/>
          <w:u w:val="single"/>
          <w:lang w:val="en-US" w:eastAsia="zh-CN"/>
        </w:rPr>
        <w:t>由甲方按照现状交付土地给乙方，由乙方负责平整场地等。</w:t>
      </w:r>
    </w:p>
    <w:p w14:paraId="1AAC7760">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 提供标准与规范的时间：</w:t>
      </w:r>
      <w:r>
        <w:rPr>
          <w:rFonts w:hint="eastAsia" w:ascii="宋体" w:hAnsi="宋体" w:eastAsia="宋体" w:cs="宋体"/>
          <w:color w:val="auto"/>
          <w:kern w:val="0"/>
          <w:sz w:val="24"/>
          <w:highlight w:val="none"/>
          <w:u w:val="single"/>
        </w:rPr>
        <w:t>不提供，由乙方自行解决。</w:t>
      </w:r>
    </w:p>
    <w:p w14:paraId="192D6B3B">
      <w:pPr>
        <w:autoSpaceDE w:val="0"/>
        <w:autoSpaceDN w:val="0"/>
        <w:adjustRightInd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(8) 组织图纸会审和设计交底的时间：</w:t>
      </w:r>
      <w:r>
        <w:rPr>
          <w:rFonts w:hint="eastAsia" w:ascii="宋体" w:hAnsi="宋体" w:eastAsia="宋体" w:cs="宋体"/>
          <w:color w:val="auto"/>
          <w:kern w:val="0"/>
          <w:sz w:val="24"/>
          <w:highlight w:val="none"/>
          <w:lang w:val="en-US" w:eastAsia="zh-CN"/>
        </w:rPr>
        <w:t>施工</w:t>
      </w:r>
      <w:r>
        <w:rPr>
          <w:rFonts w:hint="eastAsia" w:ascii="宋体" w:hAnsi="宋体" w:eastAsia="宋体" w:cs="宋体"/>
          <w:color w:val="auto"/>
          <w:kern w:val="0"/>
          <w:sz w:val="24"/>
          <w:highlight w:val="none"/>
          <w:u w:val="single"/>
        </w:rPr>
        <w:t>开工前。</w:t>
      </w:r>
    </w:p>
    <w:p w14:paraId="434B219D">
      <w:pPr>
        <w:autoSpaceDE w:val="0"/>
        <w:autoSpaceDN w:val="0"/>
        <w:adjustRightInd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(9) 协调处理施工场地周围地形关系问题和做好邻近建筑物、构筑物（包括文物保护建筑）、古树名木等的保护工作的约定：</w:t>
      </w:r>
      <w:r>
        <w:rPr>
          <w:rFonts w:hint="eastAsia" w:ascii="宋体" w:hAnsi="宋体" w:eastAsia="宋体" w:cs="宋体"/>
          <w:color w:val="auto"/>
          <w:kern w:val="0"/>
          <w:sz w:val="24"/>
          <w:highlight w:val="none"/>
          <w:u w:val="single"/>
        </w:rPr>
        <w:t>如有则及时向有关单位报告，由乙方自行勘查和负责保护，有关费用已包含在本合同总价款内，甲方不再承担任何费用。</w:t>
      </w:r>
    </w:p>
    <w:p w14:paraId="1A1E586C">
      <w:pPr>
        <w:pStyle w:val="6"/>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(10) 双方约定甲方应做的其他工作：</w:t>
      </w:r>
      <w:r>
        <w:rPr>
          <w:rFonts w:hint="eastAsia" w:ascii="宋体" w:hAnsi="宋体" w:eastAsia="宋体" w:cs="宋体"/>
          <w:color w:val="auto"/>
          <w:sz w:val="24"/>
          <w:highlight w:val="none"/>
          <w:u w:val="single"/>
        </w:rPr>
        <w:t>甲方向乙方提供施工用地。如果甲方提供的施工用地不能满足乙方施工需要，乙方应自行解决施工临时用地，必要时甲方可予协助，因此造成的工期延误和费用等由乙方承担</w:t>
      </w:r>
      <w:r>
        <w:rPr>
          <w:rFonts w:hint="eastAsia" w:ascii="宋体" w:hAnsi="宋体" w:eastAsia="宋体" w:cs="宋体"/>
          <w:color w:val="auto"/>
          <w:sz w:val="24"/>
          <w:highlight w:val="none"/>
        </w:rPr>
        <w:t>。</w:t>
      </w:r>
    </w:p>
    <w:p w14:paraId="1EDE078B">
      <w:pPr>
        <w:autoSpaceDE w:val="0"/>
        <w:autoSpaceDN w:val="0"/>
        <w:adjustRightInd w:val="0"/>
        <w:spacing w:line="360" w:lineRule="auto"/>
        <w:ind w:firstLine="480" w:firstLineChars="20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(11) 委托乙方办理的工作有：</w:t>
      </w:r>
      <w:r>
        <w:rPr>
          <w:rFonts w:hint="eastAsia" w:ascii="宋体" w:hAnsi="宋体" w:eastAsia="宋体" w:cs="宋体"/>
          <w:color w:val="auto"/>
          <w:kern w:val="0"/>
          <w:sz w:val="24"/>
          <w:highlight w:val="none"/>
          <w:u w:val="single"/>
        </w:rPr>
        <w:t>因工程建设需要的工作，可由甲方提出，乙方应无条件服从。对通用条款中应由甲方承担的工作而发包人委托承包人承担的，承包人已在投标时审慎报价，有关费用已包含在合同总价，发包人不再作补偿。</w:t>
      </w:r>
      <w:r>
        <w:rPr>
          <w:rFonts w:hint="eastAsia" w:ascii="宋体" w:hAnsi="宋体" w:eastAsia="宋体" w:cs="宋体"/>
          <w:color w:val="auto"/>
          <w:sz w:val="24"/>
          <w:highlight w:val="none"/>
        </w:rPr>
        <w:t xml:space="preserve">    </w:t>
      </w:r>
    </w:p>
    <w:p w14:paraId="7BCF7DED">
      <w:pPr>
        <w:tabs>
          <w:tab w:val="left" w:pos="1240"/>
        </w:tabs>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19.3 提供施工场地的时间：</w:t>
      </w:r>
      <w:r>
        <w:rPr>
          <w:rFonts w:hint="eastAsia" w:ascii="宋体" w:hAnsi="宋体" w:eastAsia="宋体" w:cs="宋体"/>
          <w:color w:val="auto"/>
          <w:kern w:val="0"/>
          <w:sz w:val="24"/>
          <w:highlight w:val="none"/>
          <w:u w:val="single"/>
        </w:rPr>
        <w:t xml:space="preserve"> 本项目采用EPCO模式，勘察阶段乙方已入场。    </w:t>
      </w:r>
      <w:r>
        <w:rPr>
          <w:rFonts w:hint="eastAsia" w:ascii="宋体" w:hAnsi="宋体" w:eastAsia="宋体" w:cs="宋体"/>
          <w:color w:val="auto"/>
          <w:sz w:val="24"/>
          <w:highlight w:val="none"/>
          <w:u w:val="single"/>
        </w:rPr>
        <w:t xml:space="preserve">      </w:t>
      </w:r>
    </w:p>
    <w:p w14:paraId="1EC90DEB">
      <w:pPr>
        <w:tabs>
          <w:tab w:val="left" w:pos="1240"/>
        </w:tabs>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19.4 支付款项</w:t>
      </w:r>
    </w:p>
    <w:p w14:paraId="75BBD1DF">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 工程款支付期限</w:t>
      </w:r>
    </w:p>
    <w:p w14:paraId="42088C96">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按专用条款第81.3款规定期限支付。</w:t>
      </w:r>
    </w:p>
    <w:p w14:paraId="6792D41E">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另作约定：</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u w:val="single"/>
        </w:rPr>
        <w:t xml:space="preserve">/       </w:t>
      </w:r>
    </w:p>
    <w:p w14:paraId="33FAA5BC">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 工程款支付方式</w:t>
      </w:r>
    </w:p>
    <w:p w14:paraId="593F66B4">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按协议书所注明的银行帐号转账。</w:t>
      </w:r>
    </w:p>
    <w:p w14:paraId="765DC933">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支票支付。</w:t>
      </w:r>
    </w:p>
    <w:p w14:paraId="078CC33A">
      <w:pPr>
        <w:autoSpaceDE w:val="0"/>
        <w:autoSpaceDN w:val="0"/>
        <w:adjustRightInd w:val="0"/>
        <w:spacing w:line="360" w:lineRule="auto"/>
        <w:ind w:firstLine="480" w:firstLineChars="20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 其他方式：</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u w:val="single"/>
        </w:rPr>
        <w:t xml:space="preserve">/       </w:t>
      </w:r>
    </w:p>
    <w:p w14:paraId="5A8AE6C1">
      <w:pPr>
        <w:pStyle w:val="116"/>
        <w:spacing w:line="360" w:lineRule="auto"/>
        <w:ind w:firstLine="480" w:firstLineChars="200"/>
        <w:jc w:val="both"/>
        <w:outlineLvl w:val="9"/>
        <w:rPr>
          <w:rFonts w:hint="eastAsia" w:ascii="宋体" w:hAnsi="宋体" w:eastAsia="宋体" w:cs="宋体"/>
          <w:color w:val="auto"/>
          <w:highlight w:val="none"/>
        </w:rPr>
      </w:pPr>
      <w:bookmarkStart w:id="234" w:name="_Toc287628038"/>
      <w:r>
        <w:rPr>
          <w:rFonts w:hint="eastAsia" w:ascii="宋体" w:hAnsi="宋体" w:eastAsia="宋体" w:cs="宋体"/>
          <w:color w:val="auto"/>
          <w:highlight w:val="none"/>
        </w:rPr>
        <w:t>20．</w:t>
      </w:r>
      <w:bookmarkEnd w:id="234"/>
      <w:r>
        <w:rPr>
          <w:rFonts w:hint="eastAsia" w:ascii="宋体" w:hAnsi="宋体" w:eastAsia="宋体" w:cs="宋体"/>
          <w:color w:val="auto"/>
          <w:highlight w:val="none"/>
        </w:rPr>
        <w:t>乙方</w:t>
      </w:r>
    </w:p>
    <w:p w14:paraId="4E9ECE76">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20.2 乙方完成下列工作的约定</w:t>
      </w:r>
    </w:p>
    <w:p w14:paraId="639A5269">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 提交支付申请和工程款额报告期限</w:t>
      </w:r>
    </w:p>
    <w:p w14:paraId="29DE7FB4">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■另作约定：</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u w:val="single"/>
        </w:rPr>
        <w:t>每月的20日至25日向</w:t>
      </w:r>
      <w:r>
        <w:rPr>
          <w:rFonts w:hint="eastAsia" w:ascii="宋体" w:hAnsi="宋体" w:eastAsia="宋体" w:cs="宋体"/>
          <w:color w:val="auto"/>
          <w:kern w:val="0"/>
          <w:sz w:val="24"/>
          <w:highlight w:val="none"/>
          <w:u w:val="single"/>
        </w:rPr>
        <w:t>甲方</w:t>
      </w:r>
      <w:r>
        <w:rPr>
          <w:rFonts w:hint="eastAsia" w:ascii="宋体" w:hAnsi="宋体" w:eastAsia="宋体" w:cs="宋体"/>
          <w:color w:val="auto"/>
          <w:sz w:val="24"/>
          <w:highlight w:val="none"/>
          <w:u w:val="single"/>
        </w:rPr>
        <w:t>提交经监理人审核后支付申请和工程款请款资料，逾期由乙方承担一切责任。</w:t>
      </w:r>
    </w:p>
    <w:p w14:paraId="758EC8E6">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仿宋" w:hAnsi="仿宋" w:eastAsia="仿宋" w:cs="仿宋"/>
          <w:color w:val="auto"/>
          <w:kern w:val="0"/>
          <w:sz w:val="24"/>
          <w:highlight w:val="none"/>
        </w:rPr>
        <w:t>▲</w:t>
      </w:r>
      <w:r>
        <w:rPr>
          <w:rFonts w:hint="eastAsia" w:ascii="宋体" w:hAnsi="宋体" w:eastAsia="宋体" w:cs="宋体"/>
          <w:color w:val="auto"/>
          <w:kern w:val="0"/>
          <w:sz w:val="24"/>
          <w:highlight w:val="none"/>
        </w:rPr>
        <w:t>(5) 向甲方提供施工场地办公和生活的房屋及设施的数量和时间等要求：</w:t>
      </w:r>
      <w:r>
        <w:rPr>
          <w:rFonts w:hint="eastAsia" w:ascii="宋体" w:hAnsi="宋体" w:eastAsia="宋体" w:cs="宋体"/>
          <w:color w:val="auto"/>
          <w:kern w:val="0"/>
          <w:sz w:val="24"/>
          <w:highlight w:val="none"/>
          <w:u w:val="single"/>
        </w:rPr>
        <w:t>乙方应提供可以满足本项目开展现场工作的办公和住宿用房及相关设施设备。乙方投入的用于为本项目现场服务的办公和住宿用房、相关设施设备截止日期为工程竣工完成后1个月。</w:t>
      </w:r>
    </w:p>
    <w:p w14:paraId="7A93F6E8">
      <w:pPr>
        <w:autoSpaceDE w:val="0"/>
        <w:autoSpaceDN w:val="0"/>
        <w:adjustRightInd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(6) 办理施工场地交通、环境保护、施工噪声、安全文明施工等手续的约定：</w:t>
      </w:r>
      <w:r>
        <w:rPr>
          <w:rFonts w:hint="eastAsia" w:ascii="宋体" w:hAnsi="宋体" w:eastAsia="宋体" w:cs="宋体"/>
          <w:color w:val="auto"/>
          <w:kern w:val="0"/>
          <w:sz w:val="24"/>
          <w:highlight w:val="none"/>
          <w:u w:val="single"/>
        </w:rPr>
        <w:t>按照广州市建委施工现场、交通环卫和施工噪音管理规定及相关文件办理，承担由于自身措施不力造成事故的责任和发生的费用。</w:t>
      </w:r>
    </w:p>
    <w:p w14:paraId="023D9377">
      <w:pPr>
        <w:autoSpaceDE w:val="0"/>
        <w:autoSpaceDN w:val="0"/>
        <w:adjustRightInd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（7）已完</w:t>
      </w:r>
      <w:r>
        <w:rPr>
          <w:rFonts w:hint="eastAsia" w:ascii="宋体" w:hAnsi="宋体" w:eastAsia="宋体" w:cs="宋体"/>
          <w:color w:val="auto"/>
          <w:kern w:val="0"/>
          <w:sz w:val="24"/>
          <w:highlight w:val="none"/>
          <w:u w:val="single"/>
          <w:lang w:val="en-US" w:eastAsia="zh-CN"/>
        </w:rPr>
        <w:t>工</w:t>
      </w:r>
      <w:r>
        <w:rPr>
          <w:rFonts w:hint="eastAsia" w:ascii="宋体" w:hAnsi="宋体" w:eastAsia="宋体" w:cs="宋体"/>
          <w:color w:val="auto"/>
          <w:kern w:val="0"/>
          <w:sz w:val="24"/>
          <w:highlight w:val="none"/>
          <w:u w:val="single"/>
        </w:rPr>
        <w:t>工程成品保护的特殊要求及费用承担：承包人须负全责保护所有成品，直至工程移交为止，其费用已包括在合同价款内。</w:t>
      </w:r>
    </w:p>
    <w:p w14:paraId="2DBC7632">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w:t>
      </w:r>
      <w:r>
        <w:rPr>
          <w:rFonts w:hint="eastAsia" w:ascii="宋体" w:hAnsi="宋体" w:eastAsia="宋体" w:cs="宋体"/>
          <w:color w:val="auto"/>
          <w:highlight w:val="none"/>
        </w:rPr>
        <w:t xml:space="preserve"> </w:t>
      </w:r>
      <w:r>
        <w:rPr>
          <w:rFonts w:hint="eastAsia" w:ascii="宋体" w:hAnsi="宋体" w:eastAsia="宋体" w:cs="宋体"/>
          <w:color w:val="auto"/>
          <w:kern w:val="0"/>
          <w:sz w:val="24"/>
          <w:highlight w:val="none"/>
        </w:rPr>
        <w:t>做好施工场地地下管线和邻近建筑物、构筑物（包括文物保护建筑）、古树名木保护工作的约定： 由乙方自行勘查和负责保护，在开工前进行房屋鉴定工作（如需），有关费用已包含在本合同总价款内，甲方不再承担任何费用。因施工过程造成的破坏，由乙方负责其翻修费用及赔偿责任。</w:t>
      </w:r>
    </w:p>
    <w:p w14:paraId="4EDD5C67">
      <w:pPr>
        <w:widowControl/>
        <w:spacing w:line="360" w:lineRule="auto"/>
        <w:ind w:firstLine="480" w:firstLineChars="200"/>
        <w:jc w:val="left"/>
        <w:rPr>
          <w:rFonts w:hint="eastAsia" w:ascii="宋体" w:hAnsi="宋体" w:eastAsia="宋体" w:cs="宋体"/>
          <w:color w:val="auto"/>
          <w:highlight w:val="none"/>
          <w:u w:val="singl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文物保护要求：施工过程中乙方发现施工场地存在文物的，应当立即停止施工，保护现场并第一时间通知甲方。乙方应积极配合协助文物部门对文物的保护、抢救和发掘工作。待相关工作完成后，在收到复工报告后5个日历天内进场施工，若未在规定的时间内进场施工，按从延误第二天起，每延误一天，按合同价款的万分之五计算违约金，因文物保护工作占用工期并影响关键线路的，工期相应顺延。</w:t>
      </w:r>
    </w:p>
    <w:p w14:paraId="1B629BDE">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u w:val="single"/>
        </w:rPr>
        <w:t>古树名木保护要求：项目涉及古树名木的，乙方应依法采取必要的避让保护措施或异地迁移措施</w:t>
      </w:r>
      <w:r>
        <w:rPr>
          <w:rFonts w:hint="eastAsia" w:ascii="宋体" w:hAnsi="宋体" w:eastAsia="宋体" w:cs="宋体"/>
          <w:color w:val="auto"/>
          <w:sz w:val="24"/>
          <w:highlight w:val="none"/>
        </w:rPr>
        <w:t>。</w:t>
      </w:r>
    </w:p>
    <w:p w14:paraId="00BD7967">
      <w:pPr>
        <w:autoSpaceDE w:val="0"/>
        <w:autoSpaceDN w:val="0"/>
        <w:adjustRightInd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(9) 保证施工场地的清洁和做好交工前施工现场清理工作的约定：</w:t>
      </w:r>
      <w:r>
        <w:rPr>
          <w:rFonts w:hint="eastAsia" w:ascii="宋体" w:hAnsi="宋体" w:eastAsia="宋体" w:cs="宋体"/>
          <w:color w:val="auto"/>
          <w:kern w:val="0"/>
          <w:sz w:val="24"/>
          <w:highlight w:val="none"/>
          <w:u w:val="single"/>
        </w:rPr>
        <w:t>保证施工场地清洁卫生符合广州市有关规定的要求。乙方必须按有关规定执行，做好施工场地的文明施工措施。竣工后7个日历天内拆除临时设施、搬走所有施工机械、垃圾及剩余材料，使竣工现场干净、整洁，并以通过甲方验收为标准。逾期不拆，甲方有权安排其他单位完成，所需费用从结算款中扣除。</w:t>
      </w:r>
    </w:p>
    <w:p w14:paraId="087246AA">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仿宋" w:hAnsi="仿宋" w:eastAsia="仿宋" w:cs="仿宋"/>
          <w:color w:val="auto"/>
          <w:kern w:val="0"/>
          <w:sz w:val="24"/>
          <w:highlight w:val="none"/>
        </w:rPr>
        <w:t>▲</w:t>
      </w:r>
      <w:r>
        <w:rPr>
          <w:rFonts w:hint="eastAsia" w:ascii="宋体" w:hAnsi="宋体" w:eastAsia="宋体" w:cs="宋体"/>
          <w:color w:val="auto"/>
          <w:kern w:val="0"/>
          <w:sz w:val="24"/>
          <w:highlight w:val="none"/>
        </w:rPr>
        <w:t>(10) 提交竣工验收申请报告和竣工结算文件</w:t>
      </w:r>
    </w:p>
    <w:p w14:paraId="448C6F7F">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□按通用条款第82款规定提交。</w:t>
      </w:r>
    </w:p>
    <w:p w14:paraId="6A47A508">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另作约定：</w:t>
      </w:r>
      <w:r>
        <w:rPr>
          <w:rFonts w:hint="eastAsia" w:ascii="宋体" w:hAnsi="宋体" w:eastAsia="宋体" w:cs="宋体"/>
          <w:color w:val="auto"/>
          <w:kern w:val="0"/>
          <w:sz w:val="24"/>
          <w:highlight w:val="none"/>
          <w:u w:val="single"/>
        </w:rPr>
        <w:t xml:space="preserve"> 按通用条款第82款规定提交，满足本合同第四篇第三章补充条款的要求。 </w:t>
      </w:r>
    </w:p>
    <w:p w14:paraId="7719AB93">
      <w:pPr>
        <w:tabs>
          <w:tab w:val="left" w:pos="1240"/>
        </w:tabs>
        <w:autoSpaceDE w:val="0"/>
        <w:autoSpaceDN w:val="0"/>
        <w:adjustRightInd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补充以下工作内容，包括但不限于：</w:t>
      </w:r>
    </w:p>
    <w:p w14:paraId="5497A8F7">
      <w:pPr>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（11）</w:t>
      </w:r>
      <w:r>
        <w:rPr>
          <w:rFonts w:hint="eastAsia" w:ascii="宋体" w:hAnsi="宋体" w:eastAsia="宋体" w:cs="宋体"/>
          <w:color w:val="auto"/>
          <w:kern w:val="0"/>
          <w:sz w:val="24"/>
          <w:highlight w:val="none"/>
          <w:u w:val="single"/>
        </w:rPr>
        <w:t>基坑工程由乙方负责基坑排水，费用已包含于合同价内，甲方不再另行支付</w:t>
      </w:r>
      <w:r>
        <w:rPr>
          <w:rFonts w:hint="eastAsia" w:ascii="宋体" w:hAnsi="宋体" w:eastAsia="宋体" w:cs="宋体"/>
          <w:color w:val="auto"/>
          <w:kern w:val="0"/>
          <w:sz w:val="24"/>
          <w:highlight w:val="none"/>
        </w:rPr>
        <w:t>。</w:t>
      </w:r>
    </w:p>
    <w:p w14:paraId="6568EEA5">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w:t>
      </w:r>
      <w:r>
        <w:rPr>
          <w:rFonts w:hint="eastAsia" w:ascii="宋体" w:hAnsi="宋体" w:eastAsia="宋体" w:cs="宋体"/>
          <w:color w:val="auto"/>
          <w:kern w:val="0"/>
          <w:sz w:val="24"/>
          <w:highlight w:val="none"/>
          <w:u w:val="single"/>
        </w:rPr>
        <w:t>施工场地外通道，乙方进场后应负责照管和维护至本合同工程竣工验收通过，费用已包含于合同价款内，甲方不再另行承担和支付</w:t>
      </w:r>
      <w:r>
        <w:rPr>
          <w:rFonts w:hint="eastAsia" w:ascii="宋体" w:hAnsi="宋体" w:eastAsia="宋体" w:cs="宋体"/>
          <w:color w:val="auto"/>
          <w:kern w:val="0"/>
          <w:sz w:val="24"/>
          <w:highlight w:val="none"/>
        </w:rPr>
        <w:t>。</w:t>
      </w:r>
    </w:p>
    <w:p w14:paraId="19E10417">
      <w:pPr>
        <w:tabs>
          <w:tab w:val="left" w:pos="540"/>
          <w:tab w:val="left" w:pos="900"/>
          <w:tab w:val="left" w:pos="1080"/>
        </w:tabs>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w:t>
      </w:r>
      <w:r>
        <w:rPr>
          <w:rFonts w:hint="eastAsia" w:ascii="宋体" w:hAnsi="宋体" w:eastAsia="宋体" w:cs="宋体"/>
          <w:color w:val="auto"/>
          <w:kern w:val="0"/>
          <w:sz w:val="24"/>
          <w:highlight w:val="none"/>
          <w:u w:val="single"/>
        </w:rPr>
        <w:t>乙方出现拖欠工人工资纠纷的，</w:t>
      </w:r>
      <w:r>
        <w:rPr>
          <w:rFonts w:hint="eastAsia" w:ascii="宋体" w:hAnsi="宋体" w:eastAsia="宋体" w:cs="宋体"/>
          <w:color w:val="auto"/>
          <w:kern w:val="0"/>
          <w:sz w:val="24"/>
          <w:highlight w:val="none"/>
          <w:u w:val="single"/>
          <w:lang w:val="en-US" w:eastAsia="zh-CN"/>
        </w:rPr>
        <w:t>乙方负责人或安排专人</w:t>
      </w:r>
      <w:r>
        <w:rPr>
          <w:rFonts w:hint="eastAsia" w:ascii="宋体" w:hAnsi="宋体" w:eastAsia="宋体" w:cs="宋体"/>
          <w:color w:val="auto"/>
          <w:kern w:val="0"/>
          <w:sz w:val="24"/>
          <w:highlight w:val="none"/>
          <w:u w:val="single"/>
        </w:rPr>
        <w:t>在接到通知后1小时内到现场协调处理。在15日内按所欠工资额的3倍向发包方交纳罚金。乙方如拒不交纳罚金，甲方有权在进度款扣减或提取履约保证金，列入黑名单及拒绝其后续投标，并报上级主管部门</w:t>
      </w:r>
      <w:r>
        <w:rPr>
          <w:rFonts w:hint="eastAsia" w:ascii="宋体" w:hAnsi="宋体" w:eastAsia="宋体" w:cs="宋体"/>
          <w:color w:val="auto"/>
          <w:kern w:val="0"/>
          <w:sz w:val="24"/>
          <w:highlight w:val="none"/>
        </w:rPr>
        <w:t>。</w:t>
      </w:r>
    </w:p>
    <w:p w14:paraId="60EC2B72">
      <w:pPr>
        <w:tabs>
          <w:tab w:val="left" w:pos="540"/>
          <w:tab w:val="left" w:pos="900"/>
          <w:tab w:val="left" w:pos="1080"/>
        </w:tabs>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仿宋" w:hAnsi="仿宋" w:eastAsia="仿宋" w:cs="仿宋"/>
          <w:color w:val="auto"/>
          <w:kern w:val="0"/>
          <w:sz w:val="24"/>
          <w:highlight w:val="none"/>
        </w:rPr>
        <w:t>▲</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14）配合办理项目报建工作，包含但不限于以下内容：地质灾害审批、抗震设防审批、水土保持审批、环境评价审批、建筑防雷设计审批、建设工程规划许可证、消防备案（审核）、合同备案、施工许可证、施工图审查、质量安全监督登记备案、市政排污、噪音排放、建筑垃圾排放、道路开口等。</w:t>
      </w:r>
    </w:p>
    <w:p w14:paraId="34B2EC66">
      <w:pPr>
        <w:tabs>
          <w:tab w:val="left" w:pos="540"/>
          <w:tab w:val="left" w:pos="900"/>
          <w:tab w:val="left" w:pos="1080"/>
        </w:tabs>
        <w:spacing w:line="360" w:lineRule="auto"/>
        <w:ind w:firstLine="480" w:firstLineChars="200"/>
        <w:rPr>
          <w:color w:val="auto"/>
          <w:highlight w:val="none"/>
        </w:rPr>
      </w:pPr>
      <w:r>
        <w:rPr>
          <w:rFonts w:hint="eastAsia" w:ascii="仿宋" w:hAnsi="仿宋" w:eastAsia="仿宋" w:cs="仿宋"/>
          <w:color w:val="auto"/>
          <w:kern w:val="0"/>
          <w:sz w:val="24"/>
          <w:highlight w:val="none"/>
        </w:rPr>
        <w:t>▲</w:t>
      </w:r>
      <w:r>
        <w:rPr>
          <w:rFonts w:hint="eastAsia" w:ascii="宋体" w:hAnsi="宋体" w:eastAsia="宋体" w:cs="宋体"/>
          <w:color w:val="auto"/>
          <w:kern w:val="0"/>
          <w:sz w:val="24"/>
          <w:highlight w:val="none"/>
          <w:lang w:val="en-US" w:eastAsia="zh-CN"/>
        </w:rPr>
        <w:t>（15）配合办理项目验收工作，包含但不限于以下内容：规划验收、竣工验收及备案、资料归档、房产确权，以及依据联合体协议书中约定由联合体牵头人负责施工的各专项验收及检测。</w:t>
      </w:r>
    </w:p>
    <w:p w14:paraId="24B6973D">
      <w:pPr>
        <w:pStyle w:val="17"/>
        <w:ind w:firstLine="480" w:firstLineChars="200"/>
        <w:rPr>
          <w:rFonts w:hint="eastAsia" w:ascii="宋体" w:hAnsi="宋体" w:eastAsia="宋体" w:cs="宋体"/>
          <w:color w:val="auto"/>
          <w:kern w:val="0"/>
          <w:sz w:val="24"/>
          <w:highlight w:val="none"/>
          <w:lang w:val="en-US" w:eastAsia="zh-CN"/>
        </w:rPr>
      </w:pPr>
      <w:r>
        <w:rPr>
          <w:rFonts w:hint="eastAsia" w:ascii="仿宋" w:hAnsi="仿宋" w:eastAsia="仿宋" w:cs="仿宋"/>
          <w:color w:val="auto"/>
          <w:kern w:val="0"/>
          <w:sz w:val="24"/>
          <w:highlight w:val="none"/>
        </w:rPr>
        <w:t>▲</w:t>
      </w:r>
      <w:r>
        <w:rPr>
          <w:rFonts w:hint="eastAsia" w:ascii="宋体" w:hAnsi="宋体" w:eastAsia="宋体" w:cs="宋体"/>
          <w:i w:val="0"/>
          <w:iCs w:val="0"/>
          <w:caps w:val="0"/>
          <w:color w:val="auto"/>
          <w:spacing w:val="0"/>
          <w:kern w:val="0"/>
          <w:sz w:val="24"/>
          <w:szCs w:val="24"/>
          <w:highlight w:val="none"/>
          <w:shd w:val="clear"/>
          <w:lang w:eastAsia="zh-CN"/>
        </w:rPr>
        <w:t>（</w:t>
      </w:r>
      <w:r>
        <w:rPr>
          <w:rFonts w:hint="eastAsia" w:ascii="宋体" w:hAnsi="宋体" w:eastAsia="宋体" w:cs="宋体"/>
          <w:i w:val="0"/>
          <w:iCs w:val="0"/>
          <w:caps w:val="0"/>
          <w:color w:val="auto"/>
          <w:spacing w:val="0"/>
          <w:kern w:val="0"/>
          <w:sz w:val="24"/>
          <w:szCs w:val="24"/>
          <w:highlight w:val="none"/>
          <w:shd w:val="clear"/>
          <w:lang w:val="en-US" w:eastAsia="zh-CN"/>
        </w:rPr>
        <w:t>16）乙方应提供</w:t>
      </w:r>
      <w:r>
        <w:rPr>
          <w:rFonts w:hint="eastAsia" w:ascii="宋体" w:hAnsi="宋体" w:eastAsia="宋体" w:cs="宋体"/>
          <w:i w:val="0"/>
          <w:iCs w:val="0"/>
          <w:caps w:val="0"/>
          <w:color w:val="auto"/>
          <w:spacing w:val="0"/>
          <w:kern w:val="0"/>
          <w:sz w:val="24"/>
          <w:szCs w:val="24"/>
          <w:highlight w:val="none"/>
          <w:shd w:val="clear"/>
        </w:rPr>
        <w:t>生物（人脸）识别</w:t>
      </w:r>
      <w:r>
        <w:rPr>
          <w:rFonts w:hint="eastAsia" w:ascii="宋体" w:hAnsi="宋体" w:eastAsia="宋体" w:cs="宋体"/>
          <w:i w:val="0"/>
          <w:iCs w:val="0"/>
          <w:caps w:val="0"/>
          <w:color w:val="auto"/>
          <w:spacing w:val="0"/>
          <w:kern w:val="0"/>
          <w:sz w:val="24"/>
          <w:szCs w:val="24"/>
          <w:highlight w:val="none"/>
          <w:shd w:val="clear"/>
          <w:lang w:val="en-US" w:eastAsia="zh-CN"/>
        </w:rPr>
        <w:t>设备进行打卡考勤，</w:t>
      </w:r>
      <w:r>
        <w:rPr>
          <w:rFonts w:hint="eastAsia" w:ascii="宋体" w:hAnsi="宋体" w:eastAsia="宋体" w:cs="宋体"/>
          <w:i w:val="0"/>
          <w:iCs w:val="0"/>
          <w:caps w:val="0"/>
          <w:color w:val="auto"/>
          <w:spacing w:val="0"/>
          <w:kern w:val="0"/>
          <w:sz w:val="24"/>
          <w:szCs w:val="24"/>
          <w:highlight w:val="none"/>
          <w:shd w:val="clear"/>
        </w:rPr>
        <w:t>项目部管理人员，包括专业分包和劳务企业的管理人员都应自觉考勤</w:t>
      </w:r>
      <w:r>
        <w:rPr>
          <w:rFonts w:hint="eastAsia" w:ascii="宋体" w:hAnsi="宋体" w:eastAsia="宋体" w:cs="宋体"/>
          <w:i w:val="0"/>
          <w:iCs w:val="0"/>
          <w:caps w:val="0"/>
          <w:color w:val="auto"/>
          <w:spacing w:val="0"/>
          <w:kern w:val="0"/>
          <w:sz w:val="24"/>
          <w:szCs w:val="24"/>
          <w:highlight w:val="none"/>
          <w:shd w:val="clear"/>
          <w:lang w:val="en-US" w:eastAsia="zh-CN"/>
        </w:rPr>
        <w:t>并</w:t>
      </w:r>
      <w:r>
        <w:rPr>
          <w:rFonts w:hint="eastAsia" w:ascii="宋体" w:hAnsi="宋体" w:eastAsia="宋体" w:cs="宋体"/>
          <w:i w:val="0"/>
          <w:iCs w:val="0"/>
          <w:caps w:val="0"/>
          <w:color w:val="auto"/>
          <w:spacing w:val="0"/>
          <w:kern w:val="0"/>
          <w:sz w:val="24"/>
          <w:szCs w:val="24"/>
          <w:highlight w:val="none"/>
          <w:shd w:val="clear"/>
        </w:rPr>
        <w:t>接受管理。</w:t>
      </w:r>
    </w:p>
    <w:p w14:paraId="34173CA9">
      <w:pPr>
        <w:spacing w:line="360" w:lineRule="auto"/>
        <w:ind w:left="105" w:leftChars="50" w:firstLine="480" w:firstLineChars="200"/>
        <w:rPr>
          <w:rFonts w:hint="eastAsia" w:ascii="宋体" w:hAnsi="宋体" w:eastAsia="宋体" w:cs="宋体"/>
          <w:color w:val="auto"/>
          <w:highlight w:val="none"/>
        </w:rPr>
      </w:pPr>
      <w:r>
        <w:rPr>
          <w:rFonts w:hint="eastAsia" w:ascii="宋体" w:hAnsi="宋体" w:eastAsia="宋体" w:cs="宋体"/>
          <w:color w:val="auto"/>
          <w:kern w:val="0"/>
          <w:sz w:val="24"/>
          <w:highlight w:val="none"/>
        </w:rPr>
        <w:t>20.4 乙方提供施工所需劳务、材料、国产设备、施工设备和其他物品的约定：</w:t>
      </w:r>
      <w:r>
        <w:rPr>
          <w:rFonts w:hint="eastAsia" w:ascii="宋体" w:hAnsi="宋体" w:eastAsia="宋体" w:cs="宋体"/>
          <w:color w:val="auto"/>
          <w:kern w:val="0"/>
          <w:sz w:val="24"/>
          <w:highlight w:val="none"/>
          <w:u w:val="single"/>
        </w:rPr>
        <w:t>按本合同专用条款49.2款执行</w:t>
      </w:r>
      <w:r>
        <w:rPr>
          <w:rFonts w:hint="eastAsia" w:ascii="宋体" w:hAnsi="宋体" w:eastAsia="宋体" w:cs="宋体"/>
          <w:color w:val="auto"/>
          <w:kern w:val="0"/>
          <w:sz w:val="24"/>
          <w:highlight w:val="none"/>
        </w:rPr>
        <w:t>。</w:t>
      </w:r>
    </w:p>
    <w:p w14:paraId="6AF15E07">
      <w:pPr>
        <w:pStyle w:val="6"/>
        <w:spacing w:line="360" w:lineRule="auto"/>
        <w:ind w:firstLine="48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补充以下工作内容，包括但不限于：</w:t>
      </w:r>
    </w:p>
    <w:p w14:paraId="43F3A860">
      <w:pPr>
        <w:numPr>
          <w:ilvl w:val="0"/>
          <w:numId w:val="0"/>
        </w:numPr>
        <w:tabs>
          <w:tab w:val="left" w:pos="1240"/>
        </w:tabs>
        <w:autoSpaceDE w:val="0"/>
        <w:autoSpaceDN w:val="0"/>
        <w:adjustRightInd w:val="0"/>
        <w:spacing w:line="360" w:lineRule="auto"/>
        <w:ind w:left="0" w:firstLine="480" w:firstLineChars="200"/>
        <w:rPr>
          <w:rFonts w:hint="eastAsia" w:ascii="宋体" w:hAnsi="宋体" w:eastAsia="宋体" w:cs="宋体"/>
          <w:color w:val="auto"/>
          <w:kern w:val="0"/>
          <w:sz w:val="24"/>
          <w:highlight w:val="none"/>
          <w:u w:val="single"/>
        </w:rPr>
      </w:pPr>
      <w:r>
        <w:rPr>
          <w:rFonts w:hint="default"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highlight w:val="none"/>
          <w:u w:val="single"/>
        </w:rPr>
        <w:t>乙方进场时，如没有临时施工用电或已有用电条件不能满足施工需求，乙方应投入发电措施实施施工，不能因此理由拒绝或推迟开工，乙方所投入的发电机功率应满足施工的需求。</w:t>
      </w:r>
    </w:p>
    <w:p w14:paraId="221FAA97">
      <w:pPr>
        <w:numPr>
          <w:ilvl w:val="0"/>
          <w:numId w:val="0"/>
        </w:numPr>
        <w:tabs>
          <w:tab w:val="left" w:pos="1240"/>
        </w:tabs>
        <w:autoSpaceDE w:val="0"/>
        <w:autoSpaceDN w:val="0"/>
        <w:adjustRightInd w:val="0"/>
        <w:spacing w:line="360" w:lineRule="auto"/>
        <w:ind w:left="0" w:firstLine="480" w:firstLineChars="200"/>
        <w:rPr>
          <w:rFonts w:hint="eastAsia" w:ascii="宋体" w:hAnsi="宋体" w:eastAsia="宋体" w:cs="宋体"/>
          <w:color w:val="auto"/>
          <w:kern w:val="0"/>
          <w:sz w:val="24"/>
          <w:highlight w:val="none"/>
          <w:u w:val="single"/>
        </w:rPr>
      </w:pPr>
      <w:r>
        <w:rPr>
          <w:rFonts w:hint="default"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highlight w:val="none"/>
          <w:u w:val="single"/>
        </w:rPr>
        <w:t>本项目采用EPCO模式，双方约定自合同签订</w:t>
      </w:r>
      <w:r>
        <w:rPr>
          <w:rFonts w:hint="eastAsia" w:ascii="宋体" w:hAnsi="宋体" w:eastAsia="宋体" w:cs="宋体"/>
          <w:color w:val="auto"/>
          <w:kern w:val="0"/>
          <w:sz w:val="24"/>
          <w:highlight w:val="none"/>
          <w:u w:val="single"/>
          <w:lang w:val="en-US" w:eastAsia="zh-CN"/>
        </w:rPr>
        <w:t>并甲方发出开工通知</w:t>
      </w:r>
      <w:r>
        <w:rPr>
          <w:rFonts w:hint="eastAsia" w:ascii="宋体" w:hAnsi="宋体" w:eastAsia="宋体" w:cs="宋体"/>
          <w:color w:val="auto"/>
          <w:kern w:val="0"/>
          <w:sz w:val="24"/>
          <w:highlight w:val="none"/>
          <w:u w:val="single"/>
        </w:rPr>
        <w:t>之日起</w:t>
      </w:r>
      <w:r>
        <w:rPr>
          <w:rFonts w:hint="eastAsia" w:ascii="宋体" w:hAnsi="宋体" w:eastAsia="宋体" w:cs="宋体"/>
          <w:color w:val="auto"/>
          <w:kern w:val="0"/>
          <w:sz w:val="24"/>
          <w:highlight w:val="none"/>
          <w:u w:val="single"/>
          <w:lang w:val="en-US" w:eastAsia="zh-CN"/>
        </w:rPr>
        <w:t>15</w:t>
      </w:r>
      <w:r>
        <w:rPr>
          <w:rFonts w:hint="eastAsia" w:ascii="宋体" w:hAnsi="宋体" w:eastAsia="宋体" w:cs="宋体"/>
          <w:color w:val="auto"/>
          <w:kern w:val="0"/>
          <w:sz w:val="24"/>
          <w:highlight w:val="none"/>
          <w:u w:val="single"/>
        </w:rPr>
        <w:t>天内</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highlight w:val="none"/>
          <w:u w:val="single"/>
        </w:rPr>
        <w:t>乙方必须完成全部进场工作。如果乙方的实际进场日期迟于计划进场日期，每延迟一天，甲方有权向乙方索取</w:t>
      </w:r>
      <w:r>
        <w:rPr>
          <w:rFonts w:hint="eastAsia" w:ascii="宋体" w:hAnsi="宋体" w:eastAsia="宋体" w:cs="宋体"/>
          <w:color w:val="auto"/>
          <w:kern w:val="0"/>
          <w:sz w:val="24"/>
          <w:highlight w:val="none"/>
          <w:u w:val="single"/>
          <w:lang w:val="en-US" w:eastAsia="zh-CN"/>
        </w:rPr>
        <w:t>3000</w:t>
      </w:r>
      <w:r>
        <w:rPr>
          <w:rFonts w:hint="eastAsia" w:ascii="宋体" w:hAnsi="宋体" w:eastAsia="宋体" w:cs="宋体"/>
          <w:color w:val="auto"/>
          <w:kern w:val="0"/>
          <w:sz w:val="24"/>
          <w:highlight w:val="none"/>
          <w:u w:val="single"/>
        </w:rPr>
        <w:t>元的误期赔偿费。</w:t>
      </w:r>
    </w:p>
    <w:p w14:paraId="3689B20C">
      <w:pPr>
        <w:numPr>
          <w:ilvl w:val="0"/>
          <w:numId w:val="0"/>
        </w:numPr>
        <w:tabs>
          <w:tab w:val="left" w:pos="1240"/>
        </w:tabs>
        <w:autoSpaceDE w:val="0"/>
        <w:autoSpaceDN w:val="0"/>
        <w:adjustRightInd w:val="0"/>
        <w:spacing w:line="360" w:lineRule="auto"/>
        <w:ind w:left="0" w:firstLine="480" w:firstLineChars="200"/>
        <w:rPr>
          <w:rFonts w:hint="eastAsia" w:ascii="宋体" w:hAnsi="宋体" w:eastAsia="宋体" w:cs="宋体"/>
          <w:color w:val="auto"/>
          <w:kern w:val="0"/>
          <w:sz w:val="24"/>
          <w:highlight w:val="none"/>
          <w:u w:val="single"/>
        </w:rPr>
      </w:pPr>
      <w:r>
        <w:rPr>
          <w:rFonts w:hint="eastAsia" w:ascii="仿宋" w:hAnsi="仿宋" w:eastAsia="仿宋" w:cs="仿宋"/>
          <w:color w:val="auto"/>
          <w:kern w:val="0"/>
          <w:sz w:val="24"/>
          <w:highlight w:val="none"/>
        </w:rPr>
        <w:t>▲</w:t>
      </w:r>
      <w:r>
        <w:rPr>
          <w:rFonts w:hint="default" w:ascii="宋体" w:hAnsi="宋体" w:eastAsia="宋体" w:cs="宋体"/>
          <w:color w:val="auto"/>
          <w:kern w:val="0"/>
          <w:sz w:val="24"/>
          <w:szCs w:val="24"/>
          <w:highlight w:val="none"/>
          <w:lang w:val="en-US" w:eastAsia="zh-CN" w:bidi="ar-SA"/>
        </w:rPr>
        <w:t>（3）</w:t>
      </w:r>
      <w:r>
        <w:rPr>
          <w:rFonts w:hint="eastAsia" w:ascii="宋体" w:hAnsi="宋体" w:eastAsia="宋体" w:cs="宋体"/>
          <w:color w:val="auto"/>
          <w:kern w:val="0"/>
          <w:sz w:val="24"/>
          <w:highlight w:val="none"/>
          <w:u w:val="single"/>
        </w:rPr>
        <w:t>乙方必须建立并健全全面质量管理体系、施工质量检验制度和综合施工质量水平评定考核制度，严格按照操作工艺流程、技术要求施工，设置具备资格的各级技术管理和质量检查人员</w:t>
      </w:r>
      <w:r>
        <w:rPr>
          <w:rFonts w:hint="eastAsia" w:ascii="宋体" w:hAnsi="宋体" w:eastAsia="宋体" w:cs="宋体"/>
          <w:color w:val="auto"/>
          <w:spacing w:val="0"/>
          <w:kern w:val="0"/>
          <w:sz w:val="24"/>
          <w:highlight w:val="none"/>
          <w:u w:val="single"/>
          <w:lang w:val="en-US" w:eastAsia="zh-CN"/>
        </w:rPr>
        <w:t>组织日常政府部门的巡检、组织项目日常会议。</w:t>
      </w:r>
    </w:p>
    <w:p w14:paraId="782627C2">
      <w:pPr>
        <w:numPr>
          <w:ilvl w:val="0"/>
          <w:numId w:val="0"/>
        </w:numPr>
        <w:tabs>
          <w:tab w:val="left" w:pos="1240"/>
        </w:tabs>
        <w:autoSpaceDE w:val="0"/>
        <w:autoSpaceDN w:val="0"/>
        <w:adjustRightInd w:val="0"/>
        <w:spacing w:line="360" w:lineRule="auto"/>
        <w:ind w:left="0" w:firstLine="480" w:firstLineChars="200"/>
        <w:rPr>
          <w:rFonts w:hint="eastAsia" w:ascii="宋体" w:hAnsi="宋体" w:eastAsia="宋体" w:cs="宋体"/>
          <w:color w:val="auto"/>
          <w:kern w:val="0"/>
          <w:sz w:val="24"/>
          <w:highlight w:val="none"/>
          <w:u w:val="single"/>
        </w:rPr>
      </w:pPr>
      <w:r>
        <w:rPr>
          <w:rFonts w:hint="default" w:ascii="宋体" w:hAnsi="宋体" w:eastAsia="宋体" w:cs="宋体"/>
          <w:color w:val="auto"/>
          <w:kern w:val="0"/>
          <w:sz w:val="24"/>
          <w:szCs w:val="24"/>
          <w:highlight w:val="none"/>
          <w:lang w:val="en-US" w:eastAsia="zh-CN" w:bidi="ar-SA"/>
        </w:rPr>
        <w:t>（4）</w:t>
      </w:r>
      <w:r>
        <w:rPr>
          <w:rFonts w:hint="eastAsia" w:ascii="宋体" w:hAnsi="宋体" w:eastAsia="宋体" w:cs="宋体"/>
          <w:color w:val="auto"/>
          <w:kern w:val="0"/>
          <w:sz w:val="24"/>
          <w:highlight w:val="none"/>
          <w:u w:val="single"/>
        </w:rPr>
        <w:t>保证执行投标文件所承诺的施工组织设计中的资源投入计划，将工程施工所需的机械设备、人员、材料等资源，根据工程进度计划按时、按标准、足额投入；否则，应承担违反投标承诺的违约责任。</w:t>
      </w:r>
    </w:p>
    <w:p w14:paraId="2B7D7D9F">
      <w:pPr>
        <w:numPr>
          <w:ilvl w:val="0"/>
          <w:numId w:val="0"/>
        </w:numPr>
        <w:tabs>
          <w:tab w:val="left" w:pos="1240"/>
        </w:tabs>
        <w:autoSpaceDE w:val="0"/>
        <w:autoSpaceDN w:val="0"/>
        <w:adjustRightInd w:val="0"/>
        <w:spacing w:line="360" w:lineRule="auto"/>
        <w:ind w:left="0" w:firstLine="480" w:firstLineChars="200"/>
        <w:rPr>
          <w:rFonts w:hint="eastAsia" w:ascii="宋体" w:hAnsi="宋体" w:eastAsia="宋体" w:cs="宋体"/>
          <w:color w:val="auto"/>
          <w:kern w:val="0"/>
          <w:sz w:val="24"/>
          <w:highlight w:val="none"/>
          <w:u w:val="single"/>
        </w:rPr>
      </w:pPr>
      <w:r>
        <w:rPr>
          <w:rFonts w:hint="default" w:ascii="宋体" w:hAnsi="宋体" w:eastAsia="宋体" w:cs="宋体"/>
          <w:color w:val="auto"/>
          <w:kern w:val="0"/>
          <w:sz w:val="24"/>
          <w:szCs w:val="24"/>
          <w:highlight w:val="none"/>
          <w:lang w:val="en-US" w:eastAsia="zh-CN" w:bidi="ar-SA"/>
        </w:rPr>
        <w:t>（5）</w:t>
      </w:r>
      <w:r>
        <w:rPr>
          <w:rFonts w:hint="eastAsia" w:ascii="宋体" w:hAnsi="宋体" w:eastAsia="宋体" w:cs="宋体"/>
          <w:color w:val="auto"/>
          <w:kern w:val="0"/>
          <w:sz w:val="24"/>
          <w:highlight w:val="none"/>
          <w:u w:val="single"/>
        </w:rPr>
        <w:t>施工过程中，乙方因特殊原因需变更资源投入计划或者对已投入的资源进行调整的，应当提前7天提出书面申请，报总监理工程师和甲方批准。允许机械、设备调整的原则为：所调整机械、设备，规格、标准只能比原计划提高，不能降低；数量原则上不允许减少，如确因更换先进设备提高了工效，可考虑在总工作能力不降低的前提下同意调整。未经甲方许可，乙方开工后已进场的机械设备在任何情况下都不得在计划使用期间撤出现场。若施工机械、设备在施工过程中发生损坏，乙方必须在3天内修复或更换。</w:t>
      </w:r>
    </w:p>
    <w:p w14:paraId="20ADF318">
      <w:pPr>
        <w:numPr>
          <w:ilvl w:val="0"/>
          <w:numId w:val="0"/>
        </w:numPr>
        <w:tabs>
          <w:tab w:val="left" w:pos="1240"/>
        </w:tabs>
        <w:autoSpaceDE w:val="0"/>
        <w:autoSpaceDN w:val="0"/>
        <w:adjustRightInd w:val="0"/>
        <w:spacing w:line="360" w:lineRule="auto"/>
        <w:ind w:left="0" w:firstLine="480" w:firstLineChars="200"/>
        <w:rPr>
          <w:rFonts w:hint="eastAsia" w:ascii="宋体" w:hAnsi="宋体" w:eastAsia="宋体" w:cs="宋体"/>
          <w:color w:val="auto"/>
          <w:kern w:val="0"/>
          <w:sz w:val="24"/>
          <w:highlight w:val="none"/>
          <w:u w:val="single"/>
        </w:rPr>
      </w:pPr>
      <w:r>
        <w:rPr>
          <w:rFonts w:hint="default" w:ascii="宋体" w:hAnsi="宋体" w:eastAsia="宋体" w:cs="宋体"/>
          <w:color w:val="auto"/>
          <w:kern w:val="0"/>
          <w:sz w:val="24"/>
          <w:szCs w:val="24"/>
          <w:highlight w:val="none"/>
          <w:lang w:val="en-US" w:eastAsia="zh-CN" w:bidi="ar-SA"/>
        </w:rPr>
        <w:t>（6）</w:t>
      </w:r>
      <w:r>
        <w:rPr>
          <w:rFonts w:hint="eastAsia" w:ascii="宋体" w:hAnsi="宋体" w:eastAsia="宋体" w:cs="宋体"/>
          <w:color w:val="auto"/>
          <w:kern w:val="0"/>
          <w:sz w:val="24"/>
          <w:highlight w:val="none"/>
          <w:u w:val="single"/>
        </w:rPr>
        <w:t>因设计变更、施工现场情况变化造成工程内容、工程量变化，乙方须在变更或变化确定后3天内，提出完整的更新施工方案和资源投入计划，报总监理工程师和甲方批准后实施。</w:t>
      </w:r>
    </w:p>
    <w:p w14:paraId="64BCB943">
      <w:pPr>
        <w:numPr>
          <w:ilvl w:val="0"/>
          <w:numId w:val="0"/>
        </w:numPr>
        <w:tabs>
          <w:tab w:val="left" w:pos="1240"/>
        </w:tabs>
        <w:autoSpaceDE w:val="0"/>
        <w:autoSpaceDN w:val="0"/>
        <w:adjustRightInd w:val="0"/>
        <w:spacing w:line="360" w:lineRule="auto"/>
        <w:ind w:left="0" w:firstLine="480" w:firstLineChars="200"/>
        <w:rPr>
          <w:rFonts w:hint="eastAsia" w:ascii="宋体" w:hAnsi="宋体" w:eastAsia="宋体" w:cs="宋体"/>
          <w:color w:val="auto"/>
          <w:kern w:val="0"/>
          <w:sz w:val="24"/>
          <w:highlight w:val="none"/>
          <w:u w:val="single"/>
        </w:rPr>
      </w:pPr>
      <w:r>
        <w:rPr>
          <w:rFonts w:hint="default" w:ascii="宋体" w:hAnsi="宋体" w:eastAsia="宋体" w:cs="宋体"/>
          <w:color w:val="auto"/>
          <w:kern w:val="0"/>
          <w:sz w:val="24"/>
          <w:szCs w:val="24"/>
          <w:highlight w:val="none"/>
          <w:lang w:val="en-US" w:eastAsia="zh-CN" w:bidi="ar-SA"/>
        </w:rPr>
        <w:t>（7）</w:t>
      </w:r>
      <w:r>
        <w:rPr>
          <w:rFonts w:hint="eastAsia" w:ascii="宋体" w:hAnsi="宋体" w:eastAsia="宋体" w:cs="宋体"/>
          <w:color w:val="auto"/>
          <w:kern w:val="0"/>
          <w:sz w:val="24"/>
          <w:highlight w:val="none"/>
          <w:u w:val="single"/>
        </w:rPr>
        <w:t>对施工图、技术资料认真地复核和检查，有预见性地发现和指正设计缺陷和错误，应提出能实质性地节约资金和缩短工期的建议和措施。</w:t>
      </w:r>
    </w:p>
    <w:p w14:paraId="48D281E5">
      <w:pPr>
        <w:numPr>
          <w:ilvl w:val="0"/>
          <w:numId w:val="0"/>
        </w:numPr>
        <w:autoSpaceDE w:val="0"/>
        <w:autoSpaceDN w:val="0"/>
        <w:adjustRightInd w:val="0"/>
        <w:spacing w:line="360" w:lineRule="auto"/>
        <w:ind w:left="0" w:firstLine="480" w:firstLineChars="200"/>
        <w:rPr>
          <w:rFonts w:hint="eastAsia" w:ascii="宋体" w:hAnsi="宋体" w:eastAsia="宋体" w:cs="宋体"/>
          <w:color w:val="auto"/>
          <w:kern w:val="0"/>
          <w:sz w:val="24"/>
          <w:highlight w:val="none"/>
          <w:u w:val="single"/>
        </w:rPr>
      </w:pPr>
      <w:r>
        <w:rPr>
          <w:rFonts w:hint="eastAsia" w:ascii="仿宋" w:hAnsi="仿宋" w:eastAsia="仿宋" w:cs="仿宋"/>
          <w:color w:val="auto"/>
          <w:kern w:val="0"/>
          <w:sz w:val="24"/>
          <w:highlight w:val="none"/>
        </w:rPr>
        <w:t>▲</w:t>
      </w:r>
      <w:r>
        <w:rPr>
          <w:rFonts w:hint="default" w:ascii="宋体" w:hAnsi="宋体" w:eastAsia="宋体" w:cs="宋体"/>
          <w:color w:val="auto"/>
          <w:kern w:val="0"/>
          <w:sz w:val="24"/>
          <w:szCs w:val="24"/>
          <w:highlight w:val="none"/>
          <w:lang w:val="en-US" w:eastAsia="zh-CN" w:bidi="ar-SA"/>
        </w:rPr>
        <w:t>（8）</w:t>
      </w:r>
      <w:r>
        <w:rPr>
          <w:rFonts w:hint="eastAsia" w:ascii="宋体" w:hAnsi="宋体" w:eastAsia="宋体" w:cs="宋体"/>
          <w:color w:val="auto"/>
          <w:kern w:val="0"/>
          <w:sz w:val="24"/>
          <w:highlight w:val="none"/>
          <w:u w:val="single"/>
        </w:rPr>
        <w:t>乙方必须配备足够的安保人员，加强巡查，落实安全责任。</w:t>
      </w:r>
      <w:r>
        <w:rPr>
          <w:rFonts w:hint="eastAsia" w:ascii="宋体" w:hAnsi="宋体" w:eastAsia="宋体" w:cs="宋体"/>
          <w:color w:val="auto"/>
          <w:spacing w:val="0"/>
          <w:kern w:val="0"/>
          <w:sz w:val="24"/>
          <w:highlight w:val="none"/>
          <w:u w:val="single"/>
          <w:lang w:val="en-US" w:eastAsia="zh-CN"/>
        </w:rPr>
        <w:t>在施工现场、生活区、办公区布设安防监控及对</w:t>
      </w:r>
      <w:r>
        <w:rPr>
          <w:rFonts w:hint="eastAsia" w:ascii="宋体" w:hAnsi="宋体" w:eastAsia="宋体" w:cs="宋体"/>
          <w:color w:val="auto"/>
          <w:kern w:val="0"/>
          <w:sz w:val="24"/>
          <w:highlight w:val="none"/>
          <w:u w:val="single"/>
        </w:rPr>
        <w:t>搭建外墙排栅施工工程，要切实保障施工范围内相关人员的人身、财产安全。若因乙方配备安保人员不到位，未落实安全生产责任制引起入室盗窃，住户或单位的人身、财产安全因而遭受侵害的，所发生的各类损失由乙方负责赔偿。</w:t>
      </w:r>
    </w:p>
    <w:p w14:paraId="3A9577AE">
      <w:pPr>
        <w:numPr>
          <w:ilvl w:val="0"/>
          <w:numId w:val="0"/>
        </w:numPr>
        <w:tabs>
          <w:tab w:val="left" w:pos="1240"/>
        </w:tabs>
        <w:autoSpaceDE w:val="0"/>
        <w:autoSpaceDN w:val="0"/>
        <w:adjustRightInd w:val="0"/>
        <w:spacing w:line="360" w:lineRule="auto"/>
        <w:ind w:left="0" w:firstLine="480" w:firstLineChars="200"/>
        <w:rPr>
          <w:rFonts w:hint="eastAsia" w:ascii="宋体" w:hAnsi="宋体" w:eastAsia="宋体" w:cs="宋体"/>
          <w:color w:val="auto"/>
          <w:kern w:val="0"/>
          <w:sz w:val="24"/>
          <w:highlight w:val="none"/>
          <w:u w:val="single"/>
          <w:lang w:eastAsia="zh-CN"/>
        </w:rPr>
      </w:pPr>
      <w:r>
        <w:rPr>
          <w:rFonts w:hint="default" w:ascii="宋体" w:hAnsi="宋体" w:eastAsia="宋体" w:cs="宋体"/>
          <w:color w:val="auto"/>
          <w:kern w:val="0"/>
          <w:sz w:val="24"/>
          <w:szCs w:val="24"/>
          <w:highlight w:val="none"/>
          <w:lang w:val="en-US" w:eastAsia="zh-CN" w:bidi="ar-SA"/>
        </w:rPr>
        <w:t>（9）</w:t>
      </w:r>
      <w:r>
        <w:rPr>
          <w:rFonts w:hint="eastAsia" w:ascii="宋体" w:hAnsi="宋体" w:eastAsia="宋体" w:cs="宋体"/>
          <w:color w:val="auto"/>
          <w:kern w:val="0"/>
          <w:sz w:val="24"/>
          <w:highlight w:val="none"/>
          <w:u w:val="single"/>
        </w:rPr>
        <w:t>工人的意外事故或伤害。对于乙方或其分包人所雇用的工人出现的伤亡事故或损失，应由乙方自行负责，乙方应为所有施工人员购买工伤保险。对于这类伤亡或损失，甲方不承担责任，不负担涉及此类伤亡或损失的索赔、诉讼、损害赔偿及其他费用。对分包单位出现的工人意外事故或伤害，由于分包单位原因造成的，乙方同样须承担连带责任</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u w:val="single"/>
          <w:lang w:val="en-US" w:eastAsia="zh-CN"/>
        </w:rPr>
        <w:t>如因此造成甲方损失，乙方应对予以赔偿</w:t>
      </w:r>
      <w:r>
        <w:rPr>
          <w:rFonts w:hint="eastAsia" w:ascii="宋体" w:hAnsi="宋体" w:eastAsia="宋体" w:cs="宋体"/>
          <w:color w:val="auto"/>
          <w:kern w:val="0"/>
          <w:sz w:val="24"/>
          <w:highlight w:val="none"/>
          <w:u w:val="single"/>
        </w:rPr>
        <w:t>。</w:t>
      </w:r>
    </w:p>
    <w:p w14:paraId="4E8759A5">
      <w:pPr>
        <w:numPr>
          <w:ilvl w:val="0"/>
          <w:numId w:val="0"/>
        </w:numPr>
        <w:tabs>
          <w:tab w:val="left" w:pos="1240"/>
        </w:tabs>
        <w:autoSpaceDE w:val="0"/>
        <w:autoSpaceDN w:val="0"/>
        <w:adjustRightInd w:val="0"/>
        <w:spacing w:line="360" w:lineRule="auto"/>
        <w:ind w:left="0" w:firstLine="480" w:firstLineChars="200"/>
        <w:rPr>
          <w:rFonts w:hint="eastAsia" w:ascii="宋体" w:hAnsi="宋体" w:eastAsia="宋体" w:cs="宋体"/>
          <w:color w:val="auto"/>
          <w:kern w:val="0"/>
          <w:sz w:val="24"/>
          <w:highlight w:val="none"/>
          <w:u w:val="single"/>
        </w:rPr>
      </w:pPr>
      <w:r>
        <w:rPr>
          <w:rFonts w:hint="default"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0</w:t>
      </w:r>
      <w:r>
        <w:rPr>
          <w:rFonts w:hint="default"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highlight w:val="none"/>
          <w:u w:val="single"/>
        </w:rPr>
        <w:t>按照《关于加强建设工地民工安全教育和现场出入管理的通知》穗建筑[2006]655号的规定，加强对施工人员、材料、设备的进出工地管理。</w:t>
      </w:r>
    </w:p>
    <w:p w14:paraId="5AC1DC14">
      <w:pPr>
        <w:autoSpaceDE w:val="0"/>
        <w:autoSpaceDN w:val="0"/>
        <w:adjustRightIn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1）落实安全生产三级教育制度。如</w:t>
      </w:r>
      <w:r>
        <w:rPr>
          <w:rFonts w:hint="eastAsia" w:ascii="宋体" w:hAnsi="宋体" w:eastAsia="宋体" w:cs="宋体"/>
          <w:color w:val="auto"/>
          <w:kern w:val="0"/>
          <w:sz w:val="24"/>
          <w:highlight w:val="none"/>
          <w:u w:val="single"/>
        </w:rPr>
        <w:t>甲方</w:t>
      </w:r>
      <w:r>
        <w:rPr>
          <w:rFonts w:hint="eastAsia" w:ascii="宋体" w:hAnsi="宋体" w:eastAsia="宋体" w:cs="宋体"/>
          <w:color w:val="auto"/>
          <w:sz w:val="24"/>
          <w:highlight w:val="none"/>
          <w:u w:val="single"/>
        </w:rPr>
        <w:t>、监理单位检查发现场内作业人员一人未进行三级教育，或三级教育弄虚作假，每人次扣罚5万元。未经乙方组织进行安全生产教育并考核合格，且未与用工单位依法签订书面劳动合同的人员，工程监理单位将不确认其进入施工现场作业资格；施工使用的材料和机具设备应按规定进行质量安全检测，未经工程监理单位按规定确认的作业人员、施工材料和机具设备不得进入施工现场；对已进场的施工材料和机具设备必须坚持动态管理，定期安全检查，不合格的坚决停用，并清出施工现场；施工机械操作人员必须建立机组责任制，并依照有关规定持证上岗，严禁无证操作。</w:t>
      </w:r>
    </w:p>
    <w:p w14:paraId="253218B9">
      <w:pPr>
        <w:pStyle w:val="6"/>
        <w:spacing w:line="360" w:lineRule="auto"/>
        <w:ind w:firstLine="48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项目经理或专职安全员必须每日以班组为单位开展所有班组的班前安全活动教育。班前活动教育中应检查工人员安全防护用品配备情况、着装规范情况，讲解当日工作安全要点和注意事项，设专人进行拍照，照片需显示拍摄时间，每天通过安全生产工作微信群上传，备查。乙方未开展班前安全活动教育、未上传照片的，每缺1个班组扣罚5000元/天。</w:t>
      </w:r>
    </w:p>
    <w:p w14:paraId="42FC5E65">
      <w:pPr>
        <w:autoSpaceDE w:val="0"/>
        <w:autoSpaceDN w:val="0"/>
        <w:adjustRightInd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sz w:val="24"/>
          <w:highlight w:val="none"/>
          <w:u w:val="single"/>
        </w:rPr>
        <w:t>2）乙方应按照《广州市建设工程现场文明施工管理办法》（广州市人民政府令第62</w:t>
      </w:r>
      <w:r>
        <w:rPr>
          <w:rFonts w:hint="eastAsia" w:ascii="宋体" w:hAnsi="宋体" w:eastAsia="宋体" w:cs="宋体"/>
          <w:color w:val="auto"/>
          <w:sz w:val="24"/>
          <w:highlight w:val="none"/>
          <w:u w:val="single"/>
          <w:shd w:val="clear" w:color="auto" w:fill="FFFFFF"/>
        </w:rPr>
        <w:t>号）、《关于印发广州市建设工程绿色施工围蔽指导图集（V2.0版）的通知》（穗建质〔2020〕1号）、《广东省房屋市政工程文明施工工作导则（试行）〉的通知》（粤建质[2014]134号）、广东省人民政府办公厅关于印发广东省建设工程施工扬尘污染防治管理办法(试行)的通知（粤办函〔2017〕708号）等的规定做好现场文明施工的管理工作。</w:t>
      </w:r>
      <w:r>
        <w:rPr>
          <w:rFonts w:hint="eastAsia" w:ascii="宋体" w:hAnsi="宋体" w:eastAsia="宋体" w:cs="宋体"/>
          <w:color w:val="auto"/>
          <w:sz w:val="24"/>
          <w:highlight w:val="none"/>
          <w:u w:val="single"/>
        </w:rPr>
        <w:t>施工临时占用人行道、车道等设施，由乙方办理有关手续，甲方协助，所需费用由乙方负责。同时乙方有责任协助公安、交通等部门维护所在现场地段的交通与人流，既保证施工安全，也保护车辆和行人的畅通和安全。乙方应在投标报价中考虑有关费用，并保证甲方免于受到或承担应由乙方负责的上述事项所引起的或与之有关的索赔、诉讼、以及其他开支或不良的影响</w:t>
      </w:r>
      <w:r>
        <w:rPr>
          <w:rFonts w:hint="eastAsia" w:ascii="宋体" w:hAnsi="宋体" w:eastAsia="宋体" w:cs="宋体"/>
          <w:color w:val="auto"/>
          <w:sz w:val="24"/>
          <w:highlight w:val="none"/>
        </w:rPr>
        <w:t>。由于乙方原因，导致项目施工过程被周边居民投诉导致当地政府处罚的，每次扣罚乙方违约金10万元。</w:t>
      </w:r>
    </w:p>
    <w:p w14:paraId="08A5D456">
      <w:pPr>
        <w:numPr>
          <w:ilvl w:val="0"/>
          <w:numId w:val="0"/>
        </w:numPr>
        <w:tabs>
          <w:tab w:val="left" w:pos="1240"/>
        </w:tabs>
        <w:autoSpaceDE w:val="0"/>
        <w:autoSpaceDN w:val="0"/>
        <w:adjustRightInd w:val="0"/>
        <w:spacing w:line="360" w:lineRule="auto"/>
        <w:ind w:left="0" w:firstLine="480" w:firstLineChars="200"/>
        <w:rPr>
          <w:rFonts w:hint="eastAsia" w:ascii="宋体" w:hAnsi="宋体" w:eastAsia="宋体" w:cs="宋体"/>
          <w:color w:val="auto"/>
          <w:kern w:val="0"/>
          <w:sz w:val="24"/>
          <w:highlight w:val="none"/>
          <w:u w:val="single"/>
        </w:rPr>
      </w:pPr>
      <w:r>
        <w:rPr>
          <w:rFonts w:hint="default"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1</w:t>
      </w:r>
      <w:r>
        <w:rPr>
          <w:rFonts w:hint="default"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highlight w:val="none"/>
          <w:u w:val="single"/>
        </w:rPr>
        <w:t xml:space="preserve"> 本合同被解除时，乙方应将全部场地清理干净退还甲方并将与工程相关技术资料、文件等交给甲方或甲方指定的人。</w:t>
      </w:r>
    </w:p>
    <w:p w14:paraId="0EB78256">
      <w:pPr>
        <w:numPr>
          <w:ilvl w:val="0"/>
          <w:numId w:val="0"/>
        </w:numPr>
        <w:tabs>
          <w:tab w:val="left" w:pos="1240"/>
        </w:tabs>
        <w:autoSpaceDE w:val="0"/>
        <w:autoSpaceDN w:val="0"/>
        <w:adjustRightInd w:val="0"/>
        <w:spacing w:line="360" w:lineRule="auto"/>
        <w:ind w:left="0" w:firstLine="480" w:firstLineChars="200"/>
        <w:rPr>
          <w:rFonts w:hint="eastAsia" w:ascii="宋体" w:hAnsi="宋体" w:eastAsia="宋体" w:cs="宋体"/>
          <w:color w:val="auto"/>
          <w:kern w:val="0"/>
          <w:sz w:val="24"/>
          <w:highlight w:val="none"/>
          <w:u w:val="single"/>
        </w:rPr>
      </w:pPr>
      <w:r>
        <w:rPr>
          <w:rFonts w:hint="default"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2</w:t>
      </w:r>
      <w:r>
        <w:rPr>
          <w:rFonts w:hint="default"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highlight w:val="none"/>
          <w:u w:val="single"/>
        </w:rPr>
        <w:t>乙方负责协调办理工程竣工后涉及设施的养护移交工作。</w:t>
      </w:r>
    </w:p>
    <w:p w14:paraId="2C6CBCF1">
      <w:pPr>
        <w:numPr>
          <w:ilvl w:val="0"/>
          <w:numId w:val="0"/>
        </w:numPr>
        <w:tabs>
          <w:tab w:val="left" w:pos="1240"/>
        </w:tabs>
        <w:autoSpaceDE w:val="0"/>
        <w:autoSpaceDN w:val="0"/>
        <w:adjustRightInd w:val="0"/>
        <w:spacing w:line="360" w:lineRule="auto"/>
        <w:ind w:left="0" w:firstLine="480" w:firstLineChars="200"/>
        <w:rPr>
          <w:rFonts w:hint="default" w:ascii="宋体" w:hAnsi="宋体" w:eastAsia="宋体" w:cs="宋体"/>
          <w:color w:val="auto"/>
          <w:kern w:val="0"/>
          <w:sz w:val="24"/>
          <w:szCs w:val="24"/>
          <w:highlight w:val="none"/>
          <w:lang w:val="en-US"/>
        </w:rPr>
      </w:pPr>
      <w:r>
        <w:rPr>
          <w:rFonts w:hint="default" w:ascii="宋体" w:hAnsi="宋体" w:eastAsia="宋体" w:cs="宋体"/>
          <w:color w:val="auto"/>
          <w:kern w:val="0"/>
          <w:sz w:val="24"/>
          <w:szCs w:val="24"/>
          <w:highlight w:val="none"/>
          <w:lang w:val="en-US" w:eastAsia="zh-CN" w:bidi="ar-SA"/>
        </w:rPr>
        <w:t>（13）</w:t>
      </w:r>
      <w:r>
        <w:rPr>
          <w:rFonts w:hint="default" w:ascii="宋体" w:hAnsi="宋体" w:eastAsia="宋体" w:cs="宋体"/>
          <w:color w:val="auto"/>
          <w:kern w:val="0"/>
          <w:sz w:val="24"/>
          <w:highlight w:val="none"/>
          <w:u w:val="none"/>
        </w:rPr>
        <w:t>乙方应严格执行《广州市住房和城乡建设局关于在我市房建市政工程贯彻执行省用工实名及工人工资支付专用账户管理办法有关要求的通知》（穗建筑〔2019〕352号），切实规范用工制</w:t>
      </w:r>
      <w:r>
        <w:rPr>
          <w:rFonts w:hint="default" w:ascii="宋体" w:hAnsi="宋体" w:eastAsia="宋体" w:cs="宋体"/>
          <w:color w:val="auto"/>
          <w:kern w:val="0"/>
          <w:sz w:val="24"/>
          <w:highlight w:val="none"/>
          <w:u w:val="none"/>
          <w:lang w:val="en-US" w:eastAsia="zh-CN"/>
        </w:rPr>
        <w:t>度。</w:t>
      </w:r>
      <w:bookmarkStart w:id="235" w:name="_Hlk52116971"/>
      <w:r>
        <w:rPr>
          <w:rFonts w:hint="default" w:ascii="宋体" w:hAnsi="宋体" w:eastAsia="宋体" w:cs="宋体"/>
          <w:color w:val="auto"/>
          <w:kern w:val="0"/>
          <w:sz w:val="24"/>
          <w:highlight w:val="none"/>
          <w:u w:val="none"/>
          <w:lang w:val="en-US" w:eastAsia="zh-CN"/>
        </w:rPr>
        <w:tab/>
      </w:r>
    </w:p>
    <w:bookmarkEnd w:id="235"/>
    <w:p w14:paraId="0E77AF5B">
      <w:pPr>
        <w:pStyle w:val="116"/>
        <w:spacing w:line="360" w:lineRule="auto"/>
        <w:ind w:firstLine="480" w:firstLineChars="200"/>
        <w:jc w:val="both"/>
        <w:outlineLvl w:val="9"/>
        <w:rPr>
          <w:rFonts w:hint="eastAsia" w:ascii="宋体" w:hAnsi="宋体" w:eastAsia="宋体" w:cs="宋体"/>
          <w:color w:val="auto"/>
          <w:highlight w:val="none"/>
        </w:rPr>
      </w:pPr>
      <w:bookmarkStart w:id="236" w:name="_Toc287628039"/>
      <w:r>
        <w:rPr>
          <w:rFonts w:hint="eastAsia" w:ascii="宋体" w:hAnsi="宋体" w:eastAsia="宋体" w:cs="宋体"/>
          <w:color w:val="auto"/>
          <w:highlight w:val="none"/>
        </w:rPr>
        <w:t>21.现场管理人员任命和更换</w:t>
      </w:r>
      <w:bookmarkEnd w:id="236"/>
    </w:p>
    <w:p w14:paraId="74DBBA5D">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21.1 甲方现场管理人员任命和更换：</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w:t>
      </w:r>
    </w:p>
    <w:p w14:paraId="6A39A52E">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21.2 乙方代表任命和更换：</w:t>
      </w:r>
    </w:p>
    <w:p w14:paraId="3B06BC85">
      <w:pPr>
        <w:pStyle w:val="6"/>
        <w:spacing w:line="360" w:lineRule="auto"/>
        <w:ind w:firstLine="480"/>
        <w:rPr>
          <w:rFonts w:hint="eastAsia" w:ascii="宋体" w:hAnsi="宋体" w:eastAsia="宋体" w:cs="宋体"/>
          <w:color w:val="auto"/>
          <w:highlight w:val="none"/>
        </w:rPr>
      </w:pPr>
      <w:r>
        <w:rPr>
          <w:rFonts w:hint="eastAsia" w:ascii="宋体" w:hAnsi="宋体" w:eastAsia="宋体" w:cs="宋体"/>
          <w:color w:val="auto"/>
          <w:sz w:val="24"/>
          <w:highlight w:val="none"/>
          <w:u w:val="single"/>
        </w:rPr>
        <w:t>乙方如确需更换投标项目经理或技术负责人的，需经过甲方同意，否则乙方同意</w:t>
      </w:r>
      <w:r>
        <w:rPr>
          <w:rFonts w:hint="eastAsia" w:ascii="宋体" w:hAnsi="宋体" w:eastAsia="宋体" w:cs="宋体"/>
          <w:color w:val="auto"/>
          <w:kern w:val="0"/>
          <w:sz w:val="24"/>
          <w:highlight w:val="none"/>
          <w:u w:val="single"/>
        </w:rPr>
        <w:t>甲方</w:t>
      </w:r>
      <w:r>
        <w:rPr>
          <w:rFonts w:hint="eastAsia" w:ascii="宋体" w:hAnsi="宋体" w:eastAsia="宋体" w:cs="宋体"/>
          <w:color w:val="auto"/>
          <w:sz w:val="24"/>
          <w:highlight w:val="none"/>
          <w:u w:val="single"/>
        </w:rPr>
        <w:t>在当期工程款中扣除5万元/人次。如经过甲方同意第二次更换的，应扣5万元/人次；更换安全员、质检员、施工员等其他主要管理人员，需经过甲方同意，否则乙方同意</w:t>
      </w:r>
      <w:r>
        <w:rPr>
          <w:rFonts w:hint="eastAsia" w:ascii="宋体" w:hAnsi="宋体" w:eastAsia="宋体" w:cs="宋体"/>
          <w:color w:val="auto"/>
          <w:kern w:val="0"/>
          <w:sz w:val="24"/>
          <w:highlight w:val="none"/>
          <w:u w:val="single"/>
        </w:rPr>
        <w:t>甲方</w:t>
      </w:r>
      <w:r>
        <w:rPr>
          <w:rFonts w:hint="eastAsia" w:ascii="宋体" w:hAnsi="宋体" w:eastAsia="宋体" w:cs="宋体"/>
          <w:color w:val="auto"/>
          <w:sz w:val="24"/>
          <w:highlight w:val="none"/>
          <w:u w:val="single"/>
        </w:rPr>
        <w:t>在当期工程款中扣除3万元/人次。如经过甲方同意第二次更换的，应扣3万元/人次；更换投标项目经理或技术负责人的，在乙方提出书面申请经</w:t>
      </w:r>
      <w:r>
        <w:rPr>
          <w:rFonts w:hint="eastAsia" w:ascii="宋体" w:hAnsi="宋体" w:eastAsia="宋体" w:cs="宋体"/>
          <w:color w:val="auto"/>
          <w:kern w:val="0"/>
          <w:sz w:val="24"/>
          <w:highlight w:val="none"/>
          <w:u w:val="single"/>
        </w:rPr>
        <w:t>甲方</w:t>
      </w:r>
      <w:r>
        <w:rPr>
          <w:rFonts w:hint="eastAsia" w:ascii="宋体" w:hAnsi="宋体" w:eastAsia="宋体" w:cs="宋体"/>
          <w:color w:val="auto"/>
          <w:sz w:val="24"/>
          <w:highlight w:val="none"/>
          <w:u w:val="single"/>
        </w:rPr>
        <w:t>批准后可以更换。所有更换的人员不低于招标文件要求，并需提前一个月向甲方提出书面申请，经甲方核实同意后方可替换，否则甲方有权没收履约保证金。</w:t>
      </w:r>
    </w:p>
    <w:p w14:paraId="4F1489AD">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21.3 监理工程师代表任命和撤回</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w:t>
      </w:r>
    </w:p>
    <w:p w14:paraId="22722441">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造价工程师代表任命和撤回：</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w:t>
      </w:r>
    </w:p>
    <w:p w14:paraId="36A30A9F">
      <w:pPr>
        <w:autoSpaceDE w:val="0"/>
        <w:autoSpaceDN w:val="0"/>
        <w:adjustRightInd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21.4 乙方代表授权人选任命和撤回：</w:t>
      </w:r>
      <w:r>
        <w:rPr>
          <w:rFonts w:hint="eastAsia" w:ascii="宋体" w:hAnsi="宋体" w:eastAsia="宋体" w:cs="宋体"/>
          <w:color w:val="auto"/>
          <w:kern w:val="0"/>
          <w:sz w:val="22"/>
          <w:szCs w:val="22"/>
          <w:highlight w:val="none"/>
        </w:rPr>
        <w:t xml:space="preserve"> </w:t>
      </w:r>
    </w:p>
    <w:p w14:paraId="7B11B7AE">
      <w:pPr>
        <w:autoSpaceDE w:val="0"/>
        <w:autoSpaceDN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如项目经理或现场管理机构主要负责人的实际工作能力和工作表现未达到建设施工管理要求，甲方有权提出撤换，乙方必须在7天内无条件撤换，并在工程款中扣除6万元/人次的罚金。</w:t>
      </w:r>
    </w:p>
    <w:p w14:paraId="7512E375">
      <w:pPr>
        <w:spacing w:line="360" w:lineRule="auto"/>
        <w:ind w:left="105" w:leftChars="50" w:firstLine="360" w:firstLineChars="1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补充内容：项目经理及现场管理人员（五大员）要求</w:t>
      </w:r>
    </w:p>
    <w:p w14:paraId="2F894065">
      <w:pPr>
        <w:tabs>
          <w:tab w:val="left" w:pos="0"/>
        </w:tabs>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（1）乙方必须派出投标文件中列出的项目经理及现场管理人员负责本工程施工的管理工作，乙方有特殊情况需更换项目经理或相关管理人员，须征得甲方同意并报有关管理部门备案。</w:t>
      </w:r>
    </w:p>
    <w:p w14:paraId="7D4BB7B5">
      <w:pPr>
        <w:tabs>
          <w:tab w:val="left" w:pos="0"/>
        </w:tabs>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2）项目经理和现场管理人员每月驻工地时间不得少于20天。在施工过程中，甲方和监理单位将对项目经理和技术负责人、施工员、质量员、安全员实施考勤登记制度，项目经理、技术负责人、施工员、质量员、安全员因事离开施工现场两天（含两天）以上的，必须书面向监理工程师报告。未经甲方书面同意，项目经理、技术负责人、施工员、质量员、安全员每月驻工地时间少于20天的，将按每人每天800元的标准对乙方进行罚款。</w:t>
      </w:r>
    </w:p>
    <w:p w14:paraId="51DD5F40">
      <w:pPr>
        <w:spacing w:line="360" w:lineRule="auto"/>
        <w:ind w:left="119"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u w:val="single"/>
        </w:rPr>
        <w:t>项目经理或专职安全员必须每日开展所有班组的班前活动教育，负责检查出工人员安全防护用品配备情况，着装情况，讲解当日工作安全要点和注意事项，设专人进行拍照，照片需显示拍摄时间，每天通过微信群上传，备查。一天未开展班前教育，未上传照片，每次扣罚800元。</w:t>
      </w:r>
    </w:p>
    <w:p w14:paraId="07E96023">
      <w:pPr>
        <w:spacing w:line="360" w:lineRule="auto"/>
        <w:ind w:left="119"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（4）</w:t>
      </w:r>
      <w:r>
        <w:rPr>
          <w:rFonts w:hint="eastAsia" w:ascii="宋体" w:hAnsi="宋体" w:eastAsia="宋体" w:cs="宋体"/>
          <w:color w:val="auto"/>
          <w:kern w:val="0"/>
          <w:sz w:val="24"/>
          <w:highlight w:val="none"/>
          <w:u w:val="single"/>
        </w:rPr>
        <w:t>乙方除必须严格执行国家、广东省、广州市有关安全生产的工作要求外，还必须按照番禺区安全生产十大体系指标要求开展安全生产工作，未执行此项，每条指标扣罚800元。</w:t>
      </w:r>
    </w:p>
    <w:p w14:paraId="700A0F3E">
      <w:pPr>
        <w:autoSpaceDE w:val="0"/>
        <w:autoSpaceDN w:val="0"/>
        <w:adjustRightInd w:val="0"/>
        <w:spacing w:line="360" w:lineRule="auto"/>
        <w:ind w:firstLine="48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sz w:val="24"/>
          <w:highlight w:val="none"/>
          <w:u w:val="single"/>
        </w:rPr>
        <w:t>（5）项目经理和安全员必须每日填写安全施工日志备查；乙方必须提交项目施工总结；竣工验收时，同施工日记一并提交存档。</w:t>
      </w:r>
    </w:p>
    <w:p w14:paraId="4C359252">
      <w:pPr>
        <w:pStyle w:val="116"/>
        <w:spacing w:line="360" w:lineRule="auto"/>
        <w:ind w:firstLine="480" w:firstLineChars="200"/>
        <w:jc w:val="both"/>
        <w:outlineLvl w:val="9"/>
        <w:rPr>
          <w:rFonts w:hint="eastAsia" w:ascii="宋体" w:hAnsi="宋体" w:eastAsia="宋体" w:cs="宋体"/>
          <w:color w:val="auto"/>
          <w:highlight w:val="none"/>
        </w:rPr>
      </w:pPr>
      <w:bookmarkStart w:id="237" w:name="_Toc287628040"/>
      <w:r>
        <w:rPr>
          <w:rFonts w:hint="eastAsia" w:ascii="宋体" w:hAnsi="宋体" w:eastAsia="宋体" w:cs="宋体"/>
          <w:color w:val="auto"/>
          <w:highlight w:val="none"/>
        </w:rPr>
        <w:t>22．甲方代表</w:t>
      </w:r>
      <w:bookmarkEnd w:id="237"/>
    </w:p>
    <w:p w14:paraId="0C696D6E">
      <w:pPr>
        <w:tabs>
          <w:tab w:val="left" w:pos="1240"/>
        </w:tabs>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22.1</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甲方代表及其权力的限制</w:t>
      </w:r>
    </w:p>
    <w:p w14:paraId="3A28CA1E">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（1）甲方任命（</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）为甲方代表，其通讯方式为</w:t>
      </w:r>
    </w:p>
    <w:p w14:paraId="1495D6B9">
      <w:pPr>
        <w:spacing w:line="360" w:lineRule="auto"/>
        <w:ind w:left="12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        通讯地址：</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邮政编码：</w:t>
      </w:r>
      <w:r>
        <w:rPr>
          <w:rFonts w:hint="eastAsia" w:ascii="宋体" w:hAnsi="宋体" w:eastAsia="宋体" w:cs="宋体"/>
          <w:color w:val="auto"/>
          <w:kern w:val="0"/>
          <w:sz w:val="24"/>
          <w:highlight w:val="none"/>
          <w:u w:val="single"/>
        </w:rPr>
        <w:t xml:space="preserve">              </w:t>
      </w:r>
    </w:p>
    <w:p w14:paraId="03529B7D">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传真号码：</w:t>
      </w:r>
      <w:r>
        <w:rPr>
          <w:rFonts w:hint="eastAsia" w:ascii="宋体" w:hAnsi="宋体" w:eastAsia="宋体" w:cs="宋体"/>
          <w:color w:val="auto"/>
          <w:sz w:val="24"/>
          <w:highlight w:val="none"/>
          <w:u w:val="single"/>
        </w:rPr>
        <w:t xml:space="preserve">              </w:t>
      </w:r>
    </w:p>
    <w:p w14:paraId="77C39E43">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（2）甲方对甲方代表权力做如下限制：</w:t>
      </w:r>
      <w:r>
        <w:rPr>
          <w:rFonts w:hint="eastAsia" w:ascii="宋体" w:hAnsi="宋体" w:eastAsia="宋体" w:cs="宋体"/>
          <w:color w:val="auto"/>
          <w:sz w:val="24"/>
          <w:highlight w:val="none"/>
          <w:u w:val="single"/>
        </w:rPr>
        <w:t xml:space="preserve"> 根据代建合同及本合同履行相关权利和义务，对工程的实施进行管理和协调。 </w:t>
      </w:r>
    </w:p>
    <w:p w14:paraId="6CE15F14">
      <w:pPr>
        <w:spacing w:line="360" w:lineRule="auto"/>
        <w:ind w:firstLine="480" w:firstLineChars="200"/>
        <w:rPr>
          <w:rFonts w:hint="eastAsia" w:ascii="宋体" w:hAnsi="宋体" w:eastAsia="宋体" w:cs="宋体"/>
          <w:color w:val="auto"/>
          <w:sz w:val="24"/>
          <w:highlight w:val="none"/>
        </w:rPr>
      </w:pPr>
      <w:bookmarkStart w:id="238" w:name="_Toc287628041"/>
      <w:r>
        <w:rPr>
          <w:rFonts w:hint="eastAsia" w:ascii="宋体" w:hAnsi="宋体" w:eastAsia="宋体" w:cs="宋体"/>
          <w:color w:val="auto"/>
          <w:sz w:val="24"/>
          <w:highlight w:val="none"/>
        </w:rPr>
        <w:t>23．监理工程师</w:t>
      </w:r>
      <w:bookmarkEnd w:id="238"/>
    </w:p>
    <w:p w14:paraId="218ED5F5">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23.1 负责合同工程的监理单位及任命的监理工程师</w:t>
      </w:r>
    </w:p>
    <w:p w14:paraId="632E36D3">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 监理单位：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法定代表人：</w:t>
      </w:r>
      <w:r>
        <w:rPr>
          <w:rFonts w:hint="eastAsia" w:ascii="宋体" w:hAnsi="宋体" w:eastAsia="宋体" w:cs="宋体"/>
          <w:color w:val="auto"/>
          <w:kern w:val="0"/>
          <w:sz w:val="24"/>
          <w:highlight w:val="none"/>
          <w:u w:val="single"/>
        </w:rPr>
        <w:t xml:space="preserve">              </w:t>
      </w:r>
    </w:p>
    <w:p w14:paraId="2D4A70C8">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 任命（          ）为监理工程师，其联络通讯地址如下：</w:t>
      </w:r>
    </w:p>
    <w:p w14:paraId="3E1EFE06">
      <w:pPr>
        <w:autoSpaceDE w:val="0"/>
        <w:autoSpaceDN w:val="0"/>
        <w:adjustRightInd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通讯地址：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邮政编码：</w:t>
      </w:r>
      <w:r>
        <w:rPr>
          <w:rFonts w:hint="eastAsia" w:ascii="宋体" w:hAnsi="宋体" w:eastAsia="宋体" w:cs="宋体"/>
          <w:color w:val="auto"/>
          <w:kern w:val="0"/>
          <w:sz w:val="24"/>
          <w:highlight w:val="none"/>
          <w:u w:val="single"/>
        </w:rPr>
        <w:t xml:space="preserve">                 </w:t>
      </w:r>
    </w:p>
    <w:p w14:paraId="07CB6652">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传真号码：</w:t>
      </w:r>
      <w:r>
        <w:rPr>
          <w:rFonts w:hint="eastAsia" w:ascii="宋体" w:hAnsi="宋体" w:eastAsia="宋体" w:cs="宋体"/>
          <w:color w:val="auto"/>
          <w:kern w:val="0"/>
          <w:sz w:val="24"/>
          <w:highlight w:val="none"/>
          <w:u w:val="single"/>
        </w:rPr>
        <w:t xml:space="preserve">                 </w:t>
      </w:r>
    </w:p>
    <w:p w14:paraId="227764BB">
      <w:pPr>
        <w:autoSpaceDE w:val="0"/>
        <w:autoSpaceDN w:val="0"/>
        <w:adjustRightInd w:val="0"/>
        <w:spacing w:line="360" w:lineRule="auto"/>
        <w:ind w:firstLine="480" w:firstLineChars="20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23.3 (12)需要甲方批准的其他事项：</w:t>
      </w:r>
      <w:r>
        <w:rPr>
          <w:rFonts w:hint="eastAsia" w:ascii="宋体" w:hAnsi="宋体" w:eastAsia="宋体" w:cs="宋体"/>
          <w:color w:val="auto"/>
          <w:kern w:val="0"/>
          <w:sz w:val="24"/>
          <w:highlight w:val="none"/>
          <w:u w:val="single"/>
        </w:rPr>
        <w:t xml:space="preserve">      /      。</w:t>
      </w:r>
    </w:p>
    <w:p w14:paraId="39AB3995">
      <w:pPr>
        <w:pStyle w:val="116"/>
        <w:spacing w:line="360" w:lineRule="auto"/>
        <w:ind w:firstLine="480" w:firstLineChars="200"/>
        <w:jc w:val="both"/>
        <w:outlineLvl w:val="9"/>
        <w:rPr>
          <w:rFonts w:hint="eastAsia" w:ascii="宋体" w:hAnsi="宋体" w:eastAsia="宋体" w:cs="宋体"/>
          <w:color w:val="auto"/>
          <w:highlight w:val="none"/>
        </w:rPr>
      </w:pPr>
      <w:bookmarkStart w:id="239" w:name="_Toc287628042"/>
      <w:r>
        <w:rPr>
          <w:rFonts w:hint="eastAsia" w:ascii="宋体" w:hAnsi="宋体" w:eastAsia="宋体" w:cs="宋体"/>
          <w:color w:val="auto"/>
          <w:highlight w:val="none"/>
        </w:rPr>
        <w:t>24．造价工程师</w:t>
      </w:r>
      <w:bookmarkEnd w:id="239"/>
      <w:r>
        <w:rPr>
          <w:rFonts w:hint="eastAsia" w:ascii="宋体" w:hAnsi="宋体" w:eastAsia="宋体" w:cs="宋体"/>
          <w:color w:val="auto"/>
          <w:highlight w:val="none"/>
        </w:rPr>
        <w:t>（如有）</w:t>
      </w:r>
    </w:p>
    <w:p w14:paraId="74CC16ED">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24.1 负责合同工程的造价咨询单位及任命的造价工程师</w:t>
      </w:r>
    </w:p>
    <w:p w14:paraId="020279E3">
      <w:pPr>
        <w:tabs>
          <w:tab w:val="left" w:pos="5540"/>
        </w:tabs>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 造价咨询单位：</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法定代表人：</w:t>
      </w:r>
      <w:r>
        <w:rPr>
          <w:rFonts w:hint="eastAsia" w:ascii="宋体" w:hAnsi="宋体" w:eastAsia="宋体" w:cs="宋体"/>
          <w:color w:val="auto"/>
          <w:kern w:val="0"/>
          <w:sz w:val="24"/>
          <w:highlight w:val="none"/>
          <w:u w:val="single"/>
        </w:rPr>
        <w:t xml:space="preserve">              </w:t>
      </w:r>
    </w:p>
    <w:p w14:paraId="21050063">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 任命（            ）为造价工程师，其联络通讯地址如下：</w:t>
      </w:r>
    </w:p>
    <w:p w14:paraId="304E3688">
      <w:pPr>
        <w:autoSpaceDE w:val="0"/>
        <w:autoSpaceDN w:val="0"/>
        <w:adjustRightInd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通讯地址：</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邮政编码：</w:t>
      </w:r>
      <w:r>
        <w:rPr>
          <w:rFonts w:hint="eastAsia" w:ascii="宋体" w:hAnsi="宋体" w:eastAsia="宋体" w:cs="宋体"/>
          <w:color w:val="auto"/>
          <w:kern w:val="0"/>
          <w:sz w:val="24"/>
          <w:highlight w:val="none"/>
          <w:u w:val="single"/>
        </w:rPr>
        <w:t xml:space="preserve">                        </w:t>
      </w:r>
    </w:p>
    <w:p w14:paraId="7E196F8C">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传真号码：</w:t>
      </w:r>
      <w:r>
        <w:rPr>
          <w:rFonts w:hint="eastAsia" w:ascii="宋体" w:hAnsi="宋体" w:eastAsia="宋体" w:cs="宋体"/>
          <w:color w:val="auto"/>
          <w:kern w:val="0"/>
          <w:sz w:val="24"/>
          <w:highlight w:val="none"/>
          <w:u w:val="single"/>
        </w:rPr>
        <w:t xml:space="preserve">                        </w:t>
      </w:r>
    </w:p>
    <w:p w14:paraId="3386AC08">
      <w:pPr>
        <w:tabs>
          <w:tab w:val="left" w:pos="3260"/>
          <w:tab w:val="left" w:pos="5740"/>
        </w:tabs>
        <w:autoSpaceDE w:val="0"/>
        <w:autoSpaceDN w:val="0"/>
        <w:adjustRightInd w:val="0"/>
        <w:spacing w:line="360" w:lineRule="auto"/>
        <w:ind w:firstLine="48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highlight w:val="none"/>
        </w:rPr>
        <w:t>24.3 (7)需要甲方批准的其他事项：</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w:t>
      </w:r>
    </w:p>
    <w:p w14:paraId="277A2FBB">
      <w:pPr>
        <w:pStyle w:val="116"/>
        <w:spacing w:line="360" w:lineRule="auto"/>
        <w:ind w:firstLine="480" w:firstLineChars="200"/>
        <w:jc w:val="both"/>
        <w:outlineLvl w:val="9"/>
        <w:rPr>
          <w:rFonts w:hint="eastAsia" w:ascii="宋体" w:hAnsi="宋体" w:eastAsia="宋体" w:cs="宋体"/>
          <w:color w:val="auto"/>
          <w:highlight w:val="none"/>
        </w:rPr>
      </w:pPr>
      <w:bookmarkStart w:id="240" w:name="_Toc287628043"/>
      <w:r>
        <w:rPr>
          <w:rFonts w:hint="eastAsia" w:ascii="宋体" w:hAnsi="宋体" w:eastAsia="宋体" w:cs="宋体"/>
          <w:color w:val="auto"/>
          <w:highlight w:val="none"/>
        </w:rPr>
        <w:t>25．乙方代表</w:t>
      </w:r>
      <w:bookmarkEnd w:id="240"/>
    </w:p>
    <w:p w14:paraId="22DAF7D0">
      <w:pPr>
        <w:tabs>
          <w:tab w:val="left" w:pos="1240"/>
          <w:tab w:val="left" w:pos="4120"/>
          <w:tab w:val="left" w:pos="5860"/>
        </w:tabs>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25.1</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乙方任命（</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）为乙方代表，其联络通讯地址如下：</w:t>
      </w:r>
    </w:p>
    <w:p w14:paraId="64ECF55D">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通讯地址：                     邮政编码：</w:t>
      </w:r>
    </w:p>
    <w:p w14:paraId="08E7347E">
      <w:pPr>
        <w:autoSpaceDE w:val="0"/>
        <w:autoSpaceDN w:val="0"/>
        <w:adjustRightInd w:val="0"/>
        <w:spacing w:line="360" w:lineRule="auto"/>
        <w:ind w:firstLine="480" w:firstLineChars="200"/>
        <w:rPr>
          <w:rFonts w:hint="eastAsia" w:ascii="宋体" w:hAnsi="宋体" w:eastAsia="宋体" w:cs="宋体"/>
          <w:color w:val="auto"/>
          <w:kern w:val="0"/>
          <w:position w:val="-2"/>
          <w:sz w:val="24"/>
          <w:highlight w:val="none"/>
        </w:rPr>
      </w:pPr>
      <w:r>
        <w:rPr>
          <w:rFonts w:hint="eastAsia" w:ascii="宋体" w:hAnsi="宋体" w:eastAsia="宋体" w:cs="宋体"/>
          <w:color w:val="auto"/>
          <w:kern w:val="0"/>
          <w:sz w:val="24"/>
          <w:highlight w:val="none"/>
        </w:rPr>
        <w:t>联系电话：               传真号码：</w:t>
      </w:r>
    </w:p>
    <w:p w14:paraId="1FA0FAF6">
      <w:pPr>
        <w:autoSpaceDE w:val="0"/>
        <w:autoSpaceDN w:val="0"/>
        <w:adjustRightInd w:val="0"/>
        <w:spacing w:line="360" w:lineRule="auto"/>
        <w:ind w:firstLine="480" w:firstLineChars="200"/>
        <w:rPr>
          <w:rFonts w:hint="eastAsia" w:ascii="宋体" w:hAnsi="宋体" w:eastAsia="宋体" w:cs="宋体"/>
          <w:color w:val="auto"/>
          <w:kern w:val="0"/>
          <w:position w:val="-2"/>
          <w:sz w:val="24"/>
          <w:highlight w:val="none"/>
        </w:rPr>
      </w:pPr>
      <w:r>
        <w:rPr>
          <w:rFonts w:hint="eastAsia" w:ascii="宋体" w:hAnsi="宋体" w:eastAsia="宋体" w:cs="宋体"/>
          <w:color w:val="auto"/>
          <w:kern w:val="0"/>
          <w:position w:val="-2"/>
          <w:sz w:val="24"/>
          <w:highlight w:val="none"/>
        </w:rPr>
        <w:t>补充以下内容：</w:t>
      </w:r>
    </w:p>
    <w:p w14:paraId="3FE88A5A">
      <w:pPr>
        <w:autoSpaceDE w:val="0"/>
        <w:autoSpaceDN w:val="0"/>
        <w:adjustRightInd w:val="0"/>
        <w:spacing w:line="360" w:lineRule="auto"/>
        <w:ind w:firstLine="480" w:firstLineChars="200"/>
        <w:rPr>
          <w:rFonts w:hint="eastAsia" w:ascii="宋体" w:hAnsi="宋体" w:eastAsia="宋体" w:cs="宋体"/>
          <w:color w:val="auto"/>
          <w:kern w:val="0"/>
          <w:position w:val="-2"/>
          <w:sz w:val="24"/>
          <w:highlight w:val="none"/>
          <w:u w:val="single"/>
        </w:rPr>
      </w:pPr>
      <w:r>
        <w:rPr>
          <w:rFonts w:hint="eastAsia" w:ascii="宋体" w:hAnsi="宋体" w:eastAsia="宋体" w:cs="宋体"/>
          <w:color w:val="auto"/>
          <w:kern w:val="0"/>
          <w:position w:val="-2"/>
          <w:sz w:val="24"/>
          <w:highlight w:val="none"/>
          <w:u w:val="single"/>
        </w:rPr>
        <w:t>乙方代表及现场管理机构主要部门负责人必须全职在现场办公，不得兼职或者擅自离岗。因特殊情况需短暂离岗的，应当事先报监理单位书面批准，报甲方备案,必须妥善安排工地现场的工作交接。</w:t>
      </w:r>
    </w:p>
    <w:p w14:paraId="0CA7A924">
      <w:pPr>
        <w:autoSpaceDE w:val="0"/>
        <w:autoSpaceDN w:val="0"/>
        <w:adjustRightInd w:val="0"/>
        <w:spacing w:line="360" w:lineRule="auto"/>
        <w:ind w:firstLine="480" w:firstLineChars="200"/>
        <w:rPr>
          <w:rFonts w:hint="eastAsia" w:ascii="宋体" w:hAnsi="宋体" w:eastAsia="宋体" w:cs="宋体"/>
          <w:color w:val="auto"/>
          <w:kern w:val="0"/>
          <w:position w:val="-2"/>
          <w:sz w:val="24"/>
          <w:highlight w:val="none"/>
        </w:rPr>
      </w:pPr>
      <w:r>
        <w:rPr>
          <w:rFonts w:hint="eastAsia" w:ascii="宋体" w:hAnsi="宋体" w:eastAsia="宋体" w:cs="宋体"/>
          <w:color w:val="auto"/>
          <w:kern w:val="0"/>
          <w:position w:val="-2"/>
          <w:sz w:val="24"/>
          <w:highlight w:val="none"/>
          <w:u w:val="single"/>
        </w:rPr>
        <w:t>本合同所称“现场办公”，指在工程实施过程中，乙方代表及乙方现场管理机构主要部门负责人必须在施工场地全职跟班，履行各自的职责。</w:t>
      </w:r>
    </w:p>
    <w:p w14:paraId="43B6C44E">
      <w:pPr>
        <w:pStyle w:val="116"/>
        <w:spacing w:line="360" w:lineRule="auto"/>
        <w:ind w:firstLine="480" w:firstLineChars="200"/>
        <w:jc w:val="both"/>
        <w:outlineLvl w:val="9"/>
        <w:rPr>
          <w:rFonts w:hint="eastAsia" w:ascii="宋体" w:hAnsi="宋体" w:eastAsia="宋体" w:cs="宋体"/>
          <w:color w:val="auto"/>
          <w:highlight w:val="none"/>
        </w:rPr>
      </w:pPr>
      <w:bookmarkStart w:id="241" w:name="_Toc287628044"/>
      <w:r>
        <w:rPr>
          <w:rFonts w:hint="eastAsia" w:ascii="宋体" w:hAnsi="宋体" w:eastAsia="宋体" w:cs="宋体"/>
          <w:color w:val="auto"/>
          <w:highlight w:val="none"/>
        </w:rPr>
        <w:t>26．指定分包人</w:t>
      </w:r>
      <w:bookmarkEnd w:id="241"/>
    </w:p>
    <w:p w14:paraId="47C16E87">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26.1 依法指定的分包人及其有关规定：</w:t>
      </w:r>
    </w:p>
    <w:p w14:paraId="14D1B5CA">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 实施、完成任何永久工程的分包人：</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w:t>
      </w:r>
    </w:p>
    <w:p w14:paraId="1B3115A9">
      <w:pPr>
        <w:autoSpaceDE w:val="0"/>
        <w:autoSpaceDN w:val="0"/>
        <w:adjustRightInd w:val="0"/>
        <w:spacing w:line="360" w:lineRule="auto"/>
        <w:ind w:firstLine="480" w:firstLineChars="20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(2) 提供本合同工程材料和工程设备、服务的分包人：</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w:t>
      </w:r>
    </w:p>
    <w:p w14:paraId="22AF40A0">
      <w:pPr>
        <w:pStyle w:val="116"/>
        <w:spacing w:line="360" w:lineRule="auto"/>
        <w:ind w:firstLine="480" w:firstLineChars="200"/>
        <w:jc w:val="both"/>
        <w:outlineLvl w:val="9"/>
        <w:rPr>
          <w:rFonts w:hint="eastAsia" w:ascii="宋体" w:hAnsi="宋体" w:eastAsia="宋体" w:cs="宋体"/>
          <w:color w:val="auto"/>
          <w:highlight w:val="none"/>
        </w:rPr>
      </w:pPr>
      <w:bookmarkStart w:id="242" w:name="_Toc287628045"/>
      <w:r>
        <w:rPr>
          <w:rFonts w:hint="eastAsia" w:ascii="宋体" w:hAnsi="宋体" w:eastAsia="宋体" w:cs="宋体"/>
          <w:color w:val="auto"/>
          <w:highlight w:val="none"/>
        </w:rPr>
        <w:t>28．工程担保</w:t>
      </w:r>
      <w:bookmarkEnd w:id="242"/>
    </w:p>
    <w:p w14:paraId="16B35767">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28.1 乙方提供履约担保的约定</w:t>
      </w:r>
    </w:p>
    <w:p w14:paraId="211CCEAC">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 履约担保的金额</w:t>
      </w:r>
      <w:r>
        <w:rPr>
          <w:rFonts w:hint="eastAsia" w:ascii="宋体" w:hAnsi="宋体" w:eastAsia="宋体" w:cs="宋体"/>
          <w:color w:val="auto"/>
          <w:spacing w:val="-120"/>
          <w:kern w:val="0"/>
          <w:sz w:val="24"/>
          <w:highlight w:val="none"/>
        </w:rPr>
        <w:t xml:space="preserve">：：  </w:t>
      </w:r>
      <w:r>
        <w:rPr>
          <w:rFonts w:hint="eastAsia" w:ascii="宋体" w:hAnsi="宋体" w:eastAsia="宋体" w:cs="宋体"/>
          <w:color w:val="auto"/>
          <w:sz w:val="24"/>
          <w:highlight w:val="none"/>
          <w:u w:val="single"/>
        </w:rPr>
        <w:t>：按</w:t>
      </w:r>
      <w:r>
        <w:rPr>
          <w:rFonts w:hint="eastAsia" w:ascii="宋体" w:hAnsi="宋体" w:eastAsia="宋体" w:cs="宋体"/>
          <w:color w:val="auto"/>
          <w:sz w:val="24"/>
          <w:highlight w:val="none"/>
          <w:u w:val="single"/>
          <w:lang w:val="en-US" w:eastAsia="zh-CN"/>
        </w:rPr>
        <w:t>每期</w:t>
      </w:r>
      <w:r>
        <w:rPr>
          <w:rFonts w:hint="eastAsia" w:ascii="宋体" w:hAnsi="宋体" w:eastAsia="宋体" w:cs="宋体"/>
          <w:color w:val="auto"/>
          <w:kern w:val="0"/>
          <w:sz w:val="24"/>
          <w:highlight w:val="none"/>
          <w:u w:val="single"/>
        </w:rPr>
        <w:t>中标金额（</w:t>
      </w:r>
      <w:r>
        <w:rPr>
          <w:rFonts w:hint="eastAsia" w:ascii="宋体" w:hAnsi="宋体" w:eastAsia="宋体" w:cs="宋体"/>
          <w:color w:val="auto"/>
          <w:kern w:val="0"/>
          <w:sz w:val="24"/>
          <w:highlight w:val="none"/>
          <w:u w:val="single"/>
          <w:lang w:val="en-US" w:eastAsia="zh-CN"/>
        </w:rPr>
        <w:t>工程施工费</w:t>
      </w:r>
      <w:r>
        <w:rPr>
          <w:rFonts w:hint="eastAsia" w:ascii="宋体" w:hAnsi="宋体" w:eastAsia="宋体" w:cs="宋体"/>
          <w:color w:val="auto"/>
          <w:kern w:val="0"/>
          <w:sz w:val="24"/>
          <w:highlight w:val="none"/>
          <w:u w:val="single"/>
        </w:rPr>
        <w:t>）</w:t>
      </w:r>
      <w:r>
        <w:rPr>
          <w:rFonts w:hint="eastAsia" w:ascii="宋体" w:hAnsi="宋体" w:eastAsia="宋体" w:cs="宋体"/>
          <w:color w:val="auto"/>
          <w:sz w:val="24"/>
          <w:highlight w:val="none"/>
          <w:u w:val="single"/>
        </w:rPr>
        <w:t>的</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single"/>
        </w:rPr>
        <w:t>%向业主单位提供项目履约保证金。</w:t>
      </w:r>
      <w:r>
        <w:rPr>
          <w:rFonts w:hint="eastAsia" w:ascii="宋体" w:hAnsi="宋体" w:eastAsia="宋体" w:cs="宋体"/>
          <w:color w:val="auto"/>
          <w:kern w:val="0"/>
          <w:sz w:val="24"/>
          <w:highlight w:val="none"/>
        </w:rPr>
        <w:t>（大写）</w:t>
      </w:r>
      <w:r>
        <w:rPr>
          <w:rFonts w:hint="eastAsia" w:ascii="宋体" w:hAnsi="宋体" w:eastAsia="宋体" w:cs="宋体"/>
          <w:color w:val="auto"/>
          <w:kern w:val="0"/>
          <w:sz w:val="24"/>
          <w:highlight w:val="none"/>
          <w:u w:val="single"/>
        </w:rPr>
        <w:t>人民币      元整</w:t>
      </w:r>
      <w:r>
        <w:rPr>
          <w:rFonts w:hint="eastAsia" w:ascii="宋体" w:hAnsi="宋体" w:eastAsia="宋体" w:cs="宋体"/>
          <w:color w:val="auto"/>
          <w:kern w:val="0"/>
          <w:sz w:val="24"/>
          <w:highlight w:val="none"/>
        </w:rPr>
        <w:t>（小写</w:t>
      </w:r>
      <w:r>
        <w:rPr>
          <w:rFonts w:hint="eastAsia" w:ascii="宋体" w:hAnsi="宋体" w:eastAsia="宋体" w:cs="宋体"/>
          <w:color w:val="auto"/>
          <w:kern w:val="0"/>
          <w:sz w:val="24"/>
          <w:highlight w:val="none"/>
          <w:u w:val="single"/>
        </w:rPr>
        <w:t xml:space="preserve"> ¥     元 </w:t>
      </w:r>
      <w:r>
        <w:rPr>
          <w:rFonts w:hint="eastAsia" w:ascii="宋体" w:hAnsi="宋体" w:eastAsia="宋体" w:cs="宋体"/>
          <w:color w:val="auto"/>
          <w:kern w:val="0"/>
          <w:sz w:val="24"/>
          <w:highlight w:val="none"/>
        </w:rPr>
        <w:t>）；若为联合体投标，由承担施工任务的单位提供。</w:t>
      </w:r>
    </w:p>
    <w:p w14:paraId="0C604289">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 提供履约担保的时间：</w:t>
      </w:r>
    </w:p>
    <w:p w14:paraId="3F66C970">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签订本合同时。</w:t>
      </w:r>
    </w:p>
    <w:p w14:paraId="3F66AFD7">
      <w:pPr>
        <w:pStyle w:val="6"/>
        <w:spacing w:line="360" w:lineRule="auto"/>
        <w:ind w:firstLine="48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另作约定：</w:t>
      </w:r>
      <w:r>
        <w:rPr>
          <w:rFonts w:hint="eastAsia" w:ascii="宋体" w:hAnsi="宋体" w:eastAsia="宋体" w:cs="宋体"/>
          <w:color w:val="auto"/>
          <w:kern w:val="0"/>
          <w:sz w:val="24"/>
          <w:highlight w:val="none"/>
          <w:lang w:val="en-US" w:eastAsia="zh-CN"/>
        </w:rPr>
        <w:t>①</w:t>
      </w:r>
      <w:r>
        <w:rPr>
          <w:rFonts w:hint="eastAsia" w:ascii="宋体" w:hAnsi="宋体" w:eastAsia="宋体" w:cs="宋体"/>
          <w:color w:val="auto"/>
          <w:kern w:val="0"/>
          <w:sz w:val="24"/>
          <w:highlight w:val="none"/>
        </w:rPr>
        <w:t>签订合同后</w:t>
      </w:r>
      <w:r>
        <w:rPr>
          <w:rFonts w:hint="eastAsia" w:ascii="宋体" w:hAnsi="宋体" w:eastAsia="宋体" w:cs="宋体"/>
          <w:color w:val="auto"/>
          <w:kern w:val="0"/>
          <w:sz w:val="24"/>
          <w:highlight w:val="none"/>
          <w:lang w:val="en-US" w:eastAsia="zh-CN"/>
        </w:rPr>
        <w:t>15</w:t>
      </w:r>
      <w:r>
        <w:rPr>
          <w:rFonts w:hint="eastAsia" w:ascii="宋体" w:hAnsi="宋体" w:eastAsia="宋体" w:cs="宋体"/>
          <w:color w:val="auto"/>
          <w:kern w:val="0"/>
          <w:sz w:val="24"/>
          <w:highlight w:val="none"/>
        </w:rPr>
        <w:t>个</w:t>
      </w:r>
      <w:r>
        <w:rPr>
          <w:rFonts w:hint="eastAsia" w:ascii="宋体" w:hAnsi="宋体" w:eastAsia="宋体" w:cs="宋体"/>
          <w:color w:val="auto"/>
          <w:kern w:val="0"/>
          <w:sz w:val="24"/>
          <w:highlight w:val="none"/>
          <w:lang w:val="en-US" w:eastAsia="zh-CN"/>
        </w:rPr>
        <w:t>工作日</w:t>
      </w:r>
      <w:r>
        <w:rPr>
          <w:rFonts w:hint="eastAsia" w:ascii="宋体" w:hAnsi="宋体" w:eastAsia="宋体" w:cs="宋体"/>
          <w:color w:val="auto"/>
          <w:kern w:val="0"/>
          <w:sz w:val="24"/>
          <w:highlight w:val="none"/>
        </w:rPr>
        <w:t>内，乙方（若承包人为联合体单位的，由联合体单位</w:t>
      </w:r>
      <w:r>
        <w:rPr>
          <w:rFonts w:hint="eastAsia" w:ascii="宋体" w:hAnsi="宋体" w:eastAsia="宋体" w:cs="宋体"/>
          <w:color w:val="auto"/>
          <w:kern w:val="0"/>
          <w:sz w:val="24"/>
          <w:highlight w:val="none"/>
          <w:lang w:val="en-US" w:eastAsia="zh-CN"/>
        </w:rPr>
        <w:t>施工方</w:t>
      </w:r>
      <w:r>
        <w:rPr>
          <w:rFonts w:hint="eastAsia" w:ascii="宋体" w:hAnsi="宋体" w:eastAsia="宋体" w:cs="宋体"/>
          <w:color w:val="auto"/>
          <w:kern w:val="0"/>
          <w:sz w:val="24"/>
          <w:highlight w:val="none"/>
        </w:rPr>
        <w:t>提供）以履约保函方式向业主单位提供</w:t>
      </w:r>
      <w:r>
        <w:rPr>
          <w:rFonts w:hint="eastAsia" w:ascii="宋体" w:hAnsi="宋体" w:eastAsia="宋体" w:cs="宋体"/>
          <w:color w:val="auto"/>
          <w:kern w:val="0"/>
          <w:sz w:val="24"/>
          <w:highlight w:val="none"/>
          <w:lang w:val="en-US" w:eastAsia="zh-CN"/>
        </w:rPr>
        <w:t>一期</w:t>
      </w:r>
      <w:r>
        <w:rPr>
          <w:rFonts w:hint="eastAsia" w:ascii="宋体" w:hAnsi="宋体" w:eastAsia="宋体" w:cs="宋体"/>
          <w:color w:val="auto"/>
          <w:kern w:val="0"/>
          <w:sz w:val="24"/>
          <w:highlight w:val="none"/>
        </w:rPr>
        <w:t>中标金额（</w:t>
      </w:r>
      <w:r>
        <w:rPr>
          <w:rFonts w:hint="eastAsia" w:ascii="宋体" w:hAnsi="宋体" w:eastAsia="宋体" w:cs="宋体"/>
          <w:color w:val="auto"/>
          <w:kern w:val="0"/>
          <w:sz w:val="24"/>
          <w:highlight w:val="none"/>
          <w:lang w:val="en-US" w:eastAsia="zh-CN"/>
        </w:rPr>
        <w:t>工程施工费</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10</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％的履约保证金。</w:t>
      </w:r>
      <w:r>
        <w:rPr>
          <w:rFonts w:hint="eastAsia" w:ascii="宋体" w:hAnsi="宋体" w:eastAsia="宋体" w:cs="宋体"/>
          <w:color w:val="auto"/>
          <w:kern w:val="0"/>
          <w:sz w:val="24"/>
          <w:highlight w:val="none"/>
          <w:lang w:val="en-US" w:eastAsia="zh-CN"/>
        </w:rPr>
        <w:t>②二期、三期以甲方向乙方发出施工开工通知后15个工作日内，</w:t>
      </w:r>
      <w:r>
        <w:rPr>
          <w:rFonts w:hint="eastAsia" w:ascii="宋体" w:hAnsi="宋体" w:eastAsia="宋体" w:cs="宋体"/>
          <w:color w:val="auto"/>
          <w:kern w:val="0"/>
          <w:sz w:val="24"/>
          <w:highlight w:val="none"/>
        </w:rPr>
        <w:t>乙方（若承包人为联合体单位的，由联合体单位</w:t>
      </w:r>
      <w:r>
        <w:rPr>
          <w:rFonts w:hint="eastAsia" w:ascii="宋体" w:hAnsi="宋体" w:eastAsia="宋体" w:cs="宋体"/>
          <w:color w:val="auto"/>
          <w:kern w:val="2"/>
          <w:sz w:val="24"/>
          <w:highlight w:val="none"/>
          <w:lang w:val="en-US" w:eastAsia="zh-CN"/>
        </w:rPr>
        <w:t>施工方</w:t>
      </w:r>
      <w:r>
        <w:rPr>
          <w:rFonts w:hint="eastAsia" w:ascii="宋体" w:hAnsi="宋体" w:eastAsia="宋体" w:cs="宋体"/>
          <w:color w:val="auto"/>
          <w:kern w:val="0"/>
          <w:sz w:val="24"/>
          <w:highlight w:val="none"/>
        </w:rPr>
        <w:t>提供）以履约保函方式向业主单位提供</w:t>
      </w:r>
      <w:r>
        <w:rPr>
          <w:rFonts w:hint="eastAsia" w:ascii="宋体" w:hAnsi="宋体" w:eastAsia="宋体" w:cs="宋体"/>
          <w:color w:val="auto"/>
          <w:kern w:val="0"/>
          <w:sz w:val="24"/>
          <w:highlight w:val="none"/>
          <w:lang w:val="en-US" w:eastAsia="zh-CN"/>
        </w:rPr>
        <w:t>该期</w:t>
      </w:r>
      <w:r>
        <w:rPr>
          <w:rFonts w:hint="eastAsia" w:ascii="宋体" w:hAnsi="宋体" w:eastAsia="宋体" w:cs="宋体"/>
          <w:color w:val="auto"/>
          <w:kern w:val="0"/>
          <w:sz w:val="24"/>
          <w:highlight w:val="none"/>
        </w:rPr>
        <w:t>中标金额（</w:t>
      </w:r>
      <w:r>
        <w:rPr>
          <w:rFonts w:hint="eastAsia" w:ascii="宋体" w:hAnsi="宋体" w:eastAsia="宋体" w:cs="宋体"/>
          <w:color w:val="auto"/>
          <w:kern w:val="0"/>
          <w:sz w:val="24"/>
          <w:highlight w:val="none"/>
          <w:lang w:val="en-US" w:eastAsia="zh-CN"/>
        </w:rPr>
        <w:t>工程施工费</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lang w:val="en-US" w:eastAsia="zh-CN"/>
        </w:rPr>
        <w:t>10</w:t>
      </w:r>
      <w:r>
        <w:rPr>
          <w:rFonts w:hint="eastAsia" w:ascii="宋体" w:hAnsi="宋体" w:eastAsia="宋体" w:cs="宋体"/>
          <w:color w:val="auto"/>
          <w:kern w:val="0"/>
          <w:sz w:val="24"/>
          <w:highlight w:val="none"/>
        </w:rPr>
        <w:t>％</w:t>
      </w:r>
      <w:r>
        <w:rPr>
          <w:rFonts w:hint="eastAsia"/>
          <w:color w:val="auto"/>
          <w:highlight w:val="none"/>
          <w:lang w:val="en-US" w:eastAsia="zh-CN"/>
        </w:rPr>
        <w:t xml:space="preserve"> </w:t>
      </w:r>
      <w:r>
        <w:rPr>
          <w:rFonts w:hint="eastAsia" w:ascii="宋体" w:hAnsi="宋体" w:eastAsia="宋体" w:cs="宋体"/>
          <w:color w:val="auto"/>
          <w:kern w:val="0"/>
          <w:sz w:val="24"/>
          <w:highlight w:val="none"/>
        </w:rPr>
        <w:t>的履约保证金。</w:t>
      </w:r>
    </w:p>
    <w:p w14:paraId="6A88714C">
      <w:pPr>
        <w:spacing w:line="360" w:lineRule="auto"/>
        <w:ind w:firstLine="360" w:firstLineChars="15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（3）■ 出具履约保函的担保人：</w:t>
      </w:r>
      <w:r>
        <w:rPr>
          <w:rFonts w:hint="eastAsia" w:ascii="宋体" w:hAnsi="宋体" w:eastAsia="宋体" w:cs="宋体"/>
          <w:color w:val="auto"/>
          <w:kern w:val="0"/>
          <w:sz w:val="24"/>
          <w:highlight w:val="none"/>
          <w:u w:val="single"/>
        </w:rPr>
        <w:t>原则要求在中国注册的银行或甲方认可的担保机构开具，且是不可撤销、见索即付的银行保函。</w:t>
      </w:r>
    </w:p>
    <w:p w14:paraId="2CA67D3F">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履约保证金退还时间</w:t>
      </w:r>
      <w:r>
        <w:rPr>
          <w:rFonts w:hint="eastAsia" w:ascii="宋体" w:hAnsi="宋体" w:eastAsia="宋体" w:cs="宋体"/>
          <w:color w:val="auto"/>
          <w:kern w:val="0"/>
          <w:sz w:val="24"/>
          <w:highlight w:val="none"/>
          <w:lang w:val="en-US" w:eastAsia="zh-CN"/>
        </w:rPr>
        <w:t>/保函退回</w:t>
      </w:r>
      <w:r>
        <w:rPr>
          <w:rFonts w:hint="eastAsia" w:ascii="宋体" w:hAnsi="宋体" w:eastAsia="宋体" w:cs="宋体"/>
          <w:color w:val="auto"/>
          <w:kern w:val="0"/>
          <w:sz w:val="24"/>
          <w:highlight w:val="none"/>
        </w:rPr>
        <w:t>：银行保函的有效期至少应至</w:t>
      </w:r>
      <w:r>
        <w:rPr>
          <w:rFonts w:hint="eastAsia" w:ascii="宋体" w:hAnsi="宋体" w:eastAsia="宋体" w:cs="宋体"/>
          <w:color w:val="auto"/>
          <w:kern w:val="0"/>
          <w:sz w:val="24"/>
          <w:highlight w:val="none"/>
          <w:lang w:val="en-US" w:eastAsia="zh-CN"/>
        </w:rPr>
        <w:t>每期</w:t>
      </w:r>
      <w:r>
        <w:rPr>
          <w:rFonts w:hint="eastAsia" w:ascii="宋体" w:hAnsi="宋体" w:eastAsia="宋体" w:cs="宋体"/>
          <w:color w:val="auto"/>
          <w:kern w:val="0"/>
          <w:sz w:val="24"/>
          <w:highlight w:val="none"/>
        </w:rPr>
        <w:t>工程竣工且联合验收合格，保函有效期届满而工程尚未竣工时乙方应在原保函期满前提供新的有效保函，保函内容应由甲方确认，提供履约担保所发生的费用由乙方承担。在工程竣工验收合格并提交结算资料后28天内，由乙方提出申请，经监理人和甲方同意，退回履约担保。</w:t>
      </w:r>
      <w:r>
        <w:rPr>
          <w:rFonts w:hint="eastAsia" w:ascii="宋体" w:hAnsi="宋体" w:eastAsia="宋体" w:cs="宋体"/>
          <w:color w:val="auto"/>
          <w:kern w:val="0"/>
          <w:sz w:val="24"/>
          <w:highlight w:val="none"/>
          <w:lang w:val="en-US" w:eastAsia="zh-CN"/>
        </w:rPr>
        <w:t>如乙方现金方式支付履行保证金，则甲方无息退还履约保证金。</w:t>
      </w:r>
    </w:p>
    <w:p w14:paraId="17E80EC9">
      <w:pPr>
        <w:spacing w:line="360" w:lineRule="auto"/>
        <w:ind w:firstLine="120" w:firstLineChars="50"/>
        <w:rPr>
          <w:rFonts w:hint="eastAsia" w:ascii="宋体" w:hAnsi="宋体" w:eastAsia="宋体" w:cs="宋体"/>
          <w:color w:val="auto"/>
          <w:kern w:val="0"/>
          <w:sz w:val="24"/>
          <w:highlight w:val="none"/>
          <w:u w:val="singl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 出具</w:t>
      </w:r>
      <w:r>
        <w:rPr>
          <w:rFonts w:hint="eastAsia" w:ascii="宋体" w:hAnsi="宋体" w:eastAsia="宋体" w:cs="宋体"/>
          <w:color w:val="auto"/>
          <w:sz w:val="24"/>
          <w:highlight w:val="none"/>
          <w:shd w:val="clear" w:color="auto" w:fill="FFFFFF"/>
        </w:rPr>
        <w:t>履约担保</w:t>
      </w:r>
      <w:r>
        <w:rPr>
          <w:rFonts w:hint="eastAsia" w:ascii="宋体" w:hAnsi="宋体" w:eastAsia="宋体" w:cs="宋体"/>
          <w:color w:val="auto"/>
          <w:kern w:val="0"/>
          <w:sz w:val="24"/>
          <w:highlight w:val="none"/>
        </w:rPr>
        <w:t>的担保人：</w:t>
      </w:r>
      <w:r>
        <w:rPr>
          <w:rFonts w:hint="eastAsia" w:ascii="宋体" w:hAnsi="宋体" w:eastAsia="宋体" w:cs="宋体"/>
          <w:color w:val="auto"/>
          <w:kern w:val="0"/>
          <w:sz w:val="24"/>
          <w:highlight w:val="none"/>
          <w:u w:val="single"/>
        </w:rPr>
        <w:t xml:space="preserve">       /        </w:t>
      </w:r>
    </w:p>
    <w:p w14:paraId="462CB245">
      <w:pPr>
        <w:spacing w:line="360" w:lineRule="auto"/>
        <w:ind w:firstLine="120" w:firstLineChars="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 出具</w:t>
      </w:r>
      <w:r>
        <w:rPr>
          <w:rFonts w:hint="eastAsia" w:ascii="宋体" w:hAnsi="宋体" w:eastAsia="宋体" w:cs="宋体"/>
          <w:color w:val="auto"/>
          <w:sz w:val="24"/>
          <w:highlight w:val="none"/>
          <w:shd w:val="clear" w:color="auto" w:fill="FFFFFF"/>
        </w:rPr>
        <w:t>履约保证保险</w:t>
      </w:r>
      <w:r>
        <w:rPr>
          <w:rFonts w:hint="eastAsia" w:ascii="宋体" w:hAnsi="宋体" w:eastAsia="宋体" w:cs="宋体"/>
          <w:color w:val="auto"/>
          <w:kern w:val="0"/>
          <w:sz w:val="24"/>
          <w:highlight w:val="none"/>
        </w:rPr>
        <w:t>的担保人：</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 xml:space="preserve">  </w:t>
      </w:r>
    </w:p>
    <w:p w14:paraId="1B4BC7DB">
      <w:pPr>
        <w:spacing w:line="360" w:lineRule="auto"/>
        <w:ind w:firstLine="720" w:firstLineChars="300"/>
        <w:rPr>
          <w:rFonts w:hint="eastAsia" w:ascii="宋体" w:hAnsi="宋体" w:eastAsia="宋体" w:cs="宋体"/>
          <w:color w:val="auto"/>
          <w:highlight w:val="none"/>
        </w:rPr>
      </w:pPr>
      <w:r>
        <w:rPr>
          <w:rFonts w:hint="eastAsia" w:ascii="宋体" w:hAnsi="宋体" w:eastAsia="宋体" w:cs="宋体"/>
          <w:color w:val="auto"/>
          <w:kern w:val="0"/>
          <w:sz w:val="24"/>
          <w:highlight w:val="none"/>
        </w:rPr>
        <w:t>□ 其它：</w:t>
      </w:r>
      <w:r>
        <w:rPr>
          <w:rFonts w:hint="eastAsia" w:ascii="宋体" w:hAnsi="宋体" w:eastAsia="宋体" w:cs="宋体"/>
          <w:color w:val="auto"/>
          <w:kern w:val="0"/>
          <w:sz w:val="24"/>
          <w:highlight w:val="none"/>
          <w:u w:val="single"/>
        </w:rPr>
        <w:t xml:space="preserve">       /       </w:t>
      </w:r>
    </w:p>
    <w:p w14:paraId="0BA388B9">
      <w:pPr>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28.4 甲方提供支付担保的约定： </w:t>
      </w:r>
    </w:p>
    <w:p w14:paraId="5BF1C95B">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 支付担保的金额</w:t>
      </w:r>
      <w:r>
        <w:rPr>
          <w:rFonts w:hint="eastAsia" w:ascii="宋体" w:hAnsi="宋体" w:eastAsia="宋体" w:cs="宋体"/>
          <w:color w:val="auto"/>
          <w:spacing w:val="-120"/>
          <w:kern w:val="0"/>
          <w:sz w:val="24"/>
          <w:highlight w:val="none"/>
        </w:rPr>
        <w:t>：</w:t>
      </w:r>
      <w:r>
        <w:rPr>
          <w:rFonts w:hint="eastAsia" w:ascii="宋体" w:hAnsi="宋体" w:eastAsia="宋体" w:cs="宋体"/>
          <w:color w:val="auto"/>
          <w:kern w:val="0"/>
          <w:sz w:val="24"/>
          <w:highlight w:val="none"/>
        </w:rPr>
        <w:t>（大写）</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（小写</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14:paraId="2AB06DA6">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 提供支付担保的时间：甲方</w:t>
      </w:r>
      <w:r>
        <w:rPr>
          <w:rFonts w:hint="eastAsia" w:ascii="宋体" w:hAnsi="宋体" w:eastAsia="宋体" w:cs="宋体"/>
          <w:color w:val="auto"/>
          <w:sz w:val="24"/>
          <w:highlight w:val="none"/>
        </w:rPr>
        <w:t>不向乙方提供支付担保。</w:t>
      </w:r>
    </w:p>
    <w:p w14:paraId="47030B44">
      <w:pPr>
        <w:autoSpaceDE w:val="0"/>
        <w:autoSpaceDN w:val="0"/>
        <w:adjustRightInd w:val="0"/>
        <w:spacing w:line="360" w:lineRule="auto"/>
        <w:ind w:firstLine="480" w:firstLineChars="200"/>
        <w:rPr>
          <w:rFonts w:hint="eastAsia"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 签订本合同时。</w:t>
      </w:r>
    </w:p>
    <w:p w14:paraId="77EF20AC">
      <w:pPr>
        <w:autoSpaceDE w:val="0"/>
        <w:autoSpaceDN w:val="0"/>
        <w:adjustRightInd w:val="0"/>
        <w:spacing w:line="360" w:lineRule="auto"/>
        <w:ind w:firstLine="480" w:firstLineChars="200"/>
        <w:rPr>
          <w:rFonts w:hint="eastAsia"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 另作约定：</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w:t>
      </w:r>
    </w:p>
    <w:p w14:paraId="5FEE4FDF">
      <w:pPr>
        <w:autoSpaceDE w:val="0"/>
        <w:autoSpaceDN w:val="0"/>
        <w:adjustRightInd w:val="0"/>
        <w:spacing w:line="360" w:lineRule="auto"/>
        <w:ind w:firstLine="480" w:firstLineChars="20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(3) 出具支付保函的担保人：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u w:val="single"/>
        </w:rPr>
        <w:t xml:space="preserve">/   </w:t>
      </w:r>
    </w:p>
    <w:p w14:paraId="19CB0713">
      <w:pPr>
        <w:pStyle w:val="6"/>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28.8 担保内容、方式和责任等事项的约定：</w:t>
      </w:r>
    </w:p>
    <w:p w14:paraId="317EF55E">
      <w:pPr>
        <w:pStyle w:val="6"/>
        <w:spacing w:line="360" w:lineRule="auto"/>
        <w:ind w:firstLine="480"/>
        <w:rPr>
          <w:rFonts w:hint="eastAsia" w:ascii="宋体" w:hAnsi="宋体" w:eastAsia="宋体" w:cs="宋体"/>
          <w:color w:val="auto"/>
          <w:sz w:val="24"/>
          <w:highlight w:val="none"/>
          <w:u w:val="single"/>
        </w:rPr>
      </w:pPr>
      <w:r>
        <w:rPr>
          <w:rFonts w:hint="eastAsia" w:ascii="宋体" w:hAnsi="宋体" w:eastAsia="宋体" w:cs="宋体"/>
          <w:color w:val="auto"/>
          <w:kern w:val="0"/>
          <w:sz w:val="24"/>
          <w:highlight w:val="none"/>
        </w:rPr>
        <w:t>（1）</w:t>
      </w:r>
      <w:r>
        <w:rPr>
          <w:rFonts w:hint="eastAsia" w:ascii="宋体" w:hAnsi="宋体" w:eastAsia="宋体" w:cs="宋体"/>
          <w:color w:val="auto"/>
          <w:sz w:val="24"/>
          <w:highlight w:val="none"/>
          <w:u w:val="single"/>
        </w:rPr>
        <w:t>合同正式签订之日后的</w:t>
      </w:r>
      <w:r>
        <w:rPr>
          <w:rFonts w:hint="eastAsia" w:ascii="宋体" w:hAnsi="宋体" w:eastAsia="宋体" w:cs="宋体"/>
          <w:color w:val="auto"/>
          <w:sz w:val="24"/>
          <w:highlight w:val="none"/>
          <w:u w:val="single"/>
          <w:lang w:val="en-US" w:eastAsia="zh-CN"/>
        </w:rPr>
        <w:t>15工作日</w:t>
      </w:r>
      <w:r>
        <w:rPr>
          <w:rFonts w:hint="eastAsia" w:ascii="宋体" w:hAnsi="宋体" w:eastAsia="宋体" w:cs="宋体"/>
          <w:color w:val="auto"/>
          <w:sz w:val="24"/>
          <w:highlight w:val="none"/>
          <w:u w:val="single"/>
        </w:rPr>
        <w:t>内, 乙方须向甲方提交</w:t>
      </w:r>
      <w:r>
        <w:rPr>
          <w:rFonts w:hint="eastAsia" w:ascii="宋体" w:hAnsi="宋体" w:eastAsia="宋体" w:cs="宋体"/>
          <w:color w:val="auto"/>
          <w:sz w:val="24"/>
          <w:highlight w:val="none"/>
          <w:u w:val="single"/>
          <w:lang w:eastAsia="zh-CN"/>
        </w:rPr>
        <w:t>一期</w:t>
      </w:r>
      <w:r>
        <w:rPr>
          <w:rFonts w:hint="eastAsia" w:ascii="宋体" w:hAnsi="宋体" w:eastAsia="宋体" w:cs="宋体"/>
          <w:color w:val="auto"/>
          <w:sz w:val="24"/>
          <w:highlight w:val="none"/>
          <w:u w:val="single"/>
        </w:rPr>
        <w:t>履约保证金，履约保证金</w:t>
      </w:r>
      <w:r>
        <w:rPr>
          <w:rFonts w:hint="eastAsia" w:ascii="宋体" w:hAnsi="宋体" w:eastAsia="宋体" w:cs="宋体"/>
          <w:color w:val="auto"/>
          <w:sz w:val="24"/>
          <w:highlight w:val="none"/>
          <w:u w:val="single"/>
          <w:lang w:val="en-US" w:eastAsia="zh-CN"/>
        </w:rPr>
        <w:t>以28.1（2）条款的约定时间，按每期</w:t>
      </w:r>
      <w:r>
        <w:rPr>
          <w:rFonts w:hint="eastAsia" w:ascii="宋体" w:hAnsi="宋体" w:eastAsia="宋体" w:cs="宋体"/>
          <w:color w:val="auto"/>
          <w:sz w:val="24"/>
          <w:highlight w:val="none"/>
          <w:u w:val="single"/>
        </w:rPr>
        <w:t>中标价款</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工程施工费）</w:t>
      </w:r>
      <w:r>
        <w:rPr>
          <w:rFonts w:hint="eastAsia" w:ascii="宋体" w:hAnsi="宋体" w:eastAsia="宋体" w:cs="宋体"/>
          <w:color w:val="auto"/>
          <w:sz w:val="24"/>
          <w:highlight w:val="none"/>
          <w:u w:val="single"/>
        </w:rPr>
        <w:t>的</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single"/>
        </w:rPr>
        <w:t>%，以现金或转账支票方式提交或开具为</w:t>
      </w:r>
      <w:r>
        <w:rPr>
          <w:rFonts w:hint="eastAsia" w:ascii="宋体" w:hAnsi="宋体" w:eastAsia="宋体" w:cs="宋体"/>
          <w:color w:val="auto"/>
          <w:sz w:val="24"/>
          <w:highlight w:val="none"/>
          <w:u w:val="single"/>
          <w:lang w:val="en-US" w:eastAsia="zh-CN"/>
        </w:rPr>
        <w:t>每期</w:t>
      </w:r>
      <w:r>
        <w:rPr>
          <w:rFonts w:hint="eastAsia" w:ascii="宋体" w:hAnsi="宋体" w:eastAsia="宋体" w:cs="宋体"/>
          <w:color w:val="auto"/>
          <w:sz w:val="24"/>
          <w:highlight w:val="none"/>
          <w:u w:val="single"/>
        </w:rPr>
        <w:t>中标价的</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single"/>
        </w:rPr>
        <w:t>%银行保函。开具银行保函的有效期至</w:t>
      </w:r>
      <w:r>
        <w:rPr>
          <w:rFonts w:hint="eastAsia" w:ascii="宋体" w:hAnsi="宋体" w:eastAsia="宋体" w:cs="宋体"/>
          <w:color w:val="auto"/>
          <w:sz w:val="24"/>
          <w:highlight w:val="none"/>
          <w:u w:val="single"/>
          <w:lang w:val="en-US" w:eastAsia="zh-CN"/>
        </w:rPr>
        <w:t>该期</w:t>
      </w:r>
      <w:r>
        <w:rPr>
          <w:rFonts w:hint="eastAsia" w:ascii="宋体" w:hAnsi="宋体" w:eastAsia="宋体" w:cs="宋体"/>
          <w:color w:val="auto"/>
          <w:sz w:val="24"/>
          <w:highlight w:val="none"/>
          <w:u w:val="single"/>
        </w:rPr>
        <w:t>竣工且通过联合验收</w:t>
      </w:r>
      <w:r>
        <w:rPr>
          <w:rFonts w:hint="eastAsia" w:asciiTheme="minorEastAsia" w:hAnsiTheme="minorEastAsia" w:eastAsiaTheme="minorEastAsia"/>
          <w:color w:val="auto"/>
          <w:sz w:val="24"/>
          <w:highlight w:val="none"/>
          <w:u w:val="single"/>
        </w:rPr>
        <w:t>之日止</w:t>
      </w:r>
      <w:r>
        <w:rPr>
          <w:rFonts w:hint="eastAsia" w:ascii="宋体" w:hAnsi="宋体" w:eastAsia="宋体" w:cs="宋体"/>
          <w:color w:val="auto"/>
          <w:sz w:val="24"/>
          <w:highlight w:val="none"/>
          <w:u w:val="single"/>
        </w:rPr>
        <w:t>。</w:t>
      </w:r>
    </w:p>
    <w:p w14:paraId="51C565A2">
      <w:pPr>
        <w:pStyle w:val="6"/>
        <w:spacing w:line="360" w:lineRule="auto"/>
        <w:ind w:firstLine="48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2）如保函过期工程尚未竣工初验，乙方应在保函有效期满前1个月无条件及时办理保函延期手续，确保保函担保期间不出现空缺，否则不予办理请款手续。合同正式签订之日后的10日后，乙方未提交履约保证金且未征得</w:t>
      </w:r>
      <w:r>
        <w:rPr>
          <w:rFonts w:hint="eastAsia" w:ascii="宋体" w:hAnsi="宋体" w:eastAsia="宋体" w:cs="宋体"/>
          <w:color w:val="auto"/>
          <w:sz w:val="24"/>
          <w:highlight w:val="none"/>
          <w:u w:val="single"/>
          <w:lang w:val="en-US" w:eastAsia="zh-CN"/>
        </w:rPr>
        <w:t>甲方</w:t>
      </w:r>
      <w:r>
        <w:rPr>
          <w:rFonts w:hint="eastAsia" w:ascii="宋体" w:hAnsi="宋体" w:eastAsia="宋体" w:cs="宋体"/>
          <w:color w:val="auto"/>
          <w:sz w:val="24"/>
          <w:highlight w:val="none"/>
          <w:u w:val="single"/>
        </w:rPr>
        <w:t>同意延期缴交的，</w:t>
      </w:r>
      <w:r>
        <w:rPr>
          <w:rFonts w:hint="eastAsia" w:ascii="宋体" w:hAnsi="宋体" w:eastAsia="宋体" w:cs="宋体"/>
          <w:color w:val="auto"/>
          <w:sz w:val="24"/>
          <w:highlight w:val="none"/>
          <w:u w:val="single"/>
          <w:lang w:val="en-US" w:eastAsia="zh-CN"/>
        </w:rPr>
        <w:t>甲方</w:t>
      </w:r>
      <w:r>
        <w:rPr>
          <w:rFonts w:hint="eastAsia" w:ascii="宋体" w:hAnsi="宋体" w:eastAsia="宋体" w:cs="宋体"/>
          <w:color w:val="auto"/>
          <w:sz w:val="24"/>
          <w:highlight w:val="none"/>
          <w:u w:val="single"/>
        </w:rPr>
        <w:t>有权取消其中标资格并没收其投标保证金，并选取第二中标候选人替补。</w:t>
      </w:r>
    </w:p>
    <w:p w14:paraId="642C6E7E">
      <w:pPr>
        <w:autoSpaceDE w:val="0"/>
        <w:autoSpaceDN w:val="0"/>
        <w:adjustRightIn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（3）乙方提交的履约保函是对本合同约定的乙方全部义务（包括但不限于乙方违约后应支付的违约金和赔偿金）的担保，乙方任何一次不履行或不完全履行合同义务的行为，</w:t>
      </w:r>
      <w:r>
        <w:rPr>
          <w:rFonts w:hint="eastAsia" w:ascii="宋体" w:hAnsi="宋体" w:eastAsia="宋体" w:cs="宋体"/>
          <w:color w:val="auto"/>
          <w:sz w:val="24"/>
          <w:highlight w:val="none"/>
          <w:u w:val="single"/>
          <w:lang w:val="en-US" w:eastAsia="zh-CN"/>
        </w:rPr>
        <w:t>甲方发函通知乙方拒不整改，</w:t>
      </w:r>
      <w:r>
        <w:rPr>
          <w:rFonts w:hint="eastAsia" w:ascii="宋体" w:hAnsi="宋体" w:eastAsia="宋体" w:cs="宋体"/>
          <w:color w:val="auto"/>
          <w:sz w:val="24"/>
          <w:highlight w:val="none"/>
          <w:u w:val="single"/>
        </w:rPr>
        <w:t xml:space="preserve">甲方有权向出函银行提出索赔或启动履约保函的一部分或全部。 </w:t>
      </w:r>
    </w:p>
    <w:p w14:paraId="2E8C4F0C">
      <w:pPr>
        <w:autoSpaceDE w:val="0"/>
        <w:autoSpaceDN w:val="0"/>
        <w:adjustRightIn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4）乙方不履行或不完全履行合同义务的行为导致甲方通过履约保函向银行索赔履约保函金额的一部分或者全部的，乙方必须在甲方规定的时间内补充提交履约保函，使得本合同履行期间有效的履约保函金额不低于乙方第一次提交的履约保函金额，同时也不超过未完工程的合同价。 </w:t>
      </w:r>
    </w:p>
    <w:p w14:paraId="6BDF756B">
      <w:pPr>
        <w:autoSpaceDE w:val="0"/>
        <w:autoSpaceDN w:val="0"/>
        <w:adjustRightIn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5）乙方不履行或不完全履行合同义务的行为导致甲方没收履约担保的一部分或者全部的，乙方必须在甲方规定的时间内补充提交履约担保，使得本合同履行期间有效的履约担保金额不低于乙方第一次提交的履约担保，同时也不超过未完工程的合同价。</w:t>
      </w:r>
    </w:p>
    <w:p w14:paraId="4D1855D1">
      <w:pPr>
        <w:autoSpaceDE w:val="0"/>
        <w:autoSpaceDN w:val="0"/>
        <w:adjustRightIn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（6）如果乙方不按甲方的要求及时补充提交履约保函的，则甲方有权部分解除或解除本合同。</w:t>
      </w:r>
    </w:p>
    <w:p w14:paraId="51A231FF">
      <w:pPr>
        <w:autoSpaceDE w:val="0"/>
        <w:autoSpaceDN w:val="0"/>
        <w:adjustRightIn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（7）履约保函在工程验收合格后止。但如果因乙方不履行或不完全履行合同义务的行为导致甲方扣取履约保函的一部分或者全部的，则相应扣取部分的履约保函不予退还。</w:t>
      </w:r>
    </w:p>
    <w:p w14:paraId="2BB181C1">
      <w:pPr>
        <w:autoSpaceDE w:val="0"/>
        <w:autoSpaceDN w:val="0"/>
        <w:adjustRightIn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（8）乙方违约与履约担保金的扣除。如果乙方违反国家法律法规及合同约定义务，导致合同提前终止或解除，甲方有权根据其损失情况，依照履约保函约定向银行索偿。</w:t>
      </w:r>
    </w:p>
    <w:p w14:paraId="212EC5C5">
      <w:pPr>
        <w:pStyle w:val="31"/>
        <w:rPr>
          <w:color w:val="auto"/>
          <w:highlight w:val="none"/>
        </w:rPr>
      </w:pPr>
    </w:p>
    <w:p w14:paraId="26552C42">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30.</w:t>
      </w:r>
      <w:r>
        <w:rPr>
          <w:rFonts w:hint="eastAsia" w:ascii="宋体" w:hAnsi="宋体" w:eastAsia="宋体" w:cs="宋体"/>
          <w:color w:val="auto"/>
          <w:sz w:val="24"/>
          <w:highlight w:val="none"/>
        </w:rPr>
        <w:t xml:space="preserve"> 乙方风险</w:t>
      </w:r>
    </w:p>
    <w:p w14:paraId="30A0898C">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补充内容：</w:t>
      </w:r>
    </w:p>
    <w:p w14:paraId="099B9C29">
      <w:pPr>
        <w:autoSpaceDE w:val="0"/>
        <w:autoSpaceDN w:val="0"/>
        <w:adjustRightIn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合同价款中包括的风险范围：除非合同中另有规定，报价汇总中的价格已包括施工设备、临时用水、用电、进场道路、</w:t>
      </w:r>
      <w:r>
        <w:rPr>
          <w:rFonts w:hint="eastAsia" w:ascii="宋体" w:hAnsi="宋体" w:eastAsia="宋体" w:cs="宋体"/>
          <w:color w:val="auto"/>
          <w:sz w:val="24"/>
          <w:highlight w:val="none"/>
          <w:u w:val="single"/>
          <w:lang w:val="en-US" w:eastAsia="zh-CN"/>
        </w:rPr>
        <w:t>平整场地、</w:t>
      </w:r>
      <w:r>
        <w:rPr>
          <w:rFonts w:hint="eastAsia" w:ascii="宋体" w:hAnsi="宋体" w:eastAsia="宋体" w:cs="宋体"/>
          <w:color w:val="auto"/>
          <w:sz w:val="24"/>
          <w:highlight w:val="none"/>
          <w:u w:val="single"/>
        </w:rPr>
        <w:t>临时设施费、赶工措施费、交通安全维护设施费、技术措施费、材料和设备的检测（包括复验）费、试验费用、绿化养护费用、工程施工、劳务、管理、材料、安装、维护、保险、利润、税金和政策性文件规定及合同包含内的所有风险、责任等各项应有费用。并包括执行和完成本合同工程时所有附带工作及费用，不论它们是否在合同文件中有所说明。</w:t>
      </w:r>
    </w:p>
    <w:p w14:paraId="31721FBE">
      <w:pPr>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风险费用的计算方法：风险费用已包括在合同价中，甲方不再承担有关风险费用，风险包括但不限于：</w:t>
      </w:r>
    </w:p>
    <w:p w14:paraId="2CE48344">
      <w:pPr>
        <w:spacing w:line="360" w:lineRule="auto"/>
        <w:ind w:firstLine="482" w:firstLineChars="200"/>
        <w:rPr>
          <w:rFonts w:hint="eastAsia" w:ascii="宋体" w:hAnsi="宋体" w:eastAsia="宋体" w:cs="宋体"/>
          <w:color w:val="auto"/>
          <w:kern w:val="0"/>
          <w:sz w:val="24"/>
          <w:highlight w:val="none"/>
          <w:u w:val="single"/>
        </w:rPr>
      </w:pPr>
      <w:r>
        <w:rPr>
          <w:rFonts w:hint="eastAsia" w:ascii="宋体" w:hAnsi="宋体" w:eastAsia="宋体" w:cs="宋体"/>
          <w:b/>
          <w:color w:val="auto"/>
          <w:kern w:val="0"/>
          <w:sz w:val="24"/>
          <w:highlight w:val="none"/>
        </w:rPr>
        <w:t>①</w:t>
      </w:r>
      <w:r>
        <w:rPr>
          <w:rFonts w:hint="eastAsia" w:ascii="宋体" w:hAnsi="宋体" w:eastAsia="宋体" w:cs="宋体"/>
          <w:color w:val="auto"/>
          <w:kern w:val="0"/>
          <w:sz w:val="24"/>
          <w:highlight w:val="none"/>
          <w:u w:val="single"/>
        </w:rPr>
        <w:t>乙方的投标报价包含施工过程风险的报价，乙方在施工过程所需的施工风险处理费用及不可预见费用已包含在合同价款中。乙方在施工过程造成附近建筑物、构筑物及现场已完成的构件破坏，需要恢复的费用由乙方承担</w:t>
      </w:r>
      <w:r>
        <w:rPr>
          <w:rFonts w:hint="eastAsia" w:ascii="宋体" w:hAnsi="宋体" w:eastAsia="宋体" w:cs="宋体"/>
          <w:color w:val="auto"/>
          <w:kern w:val="0"/>
          <w:sz w:val="24"/>
          <w:highlight w:val="none"/>
        </w:rPr>
        <w:t>；</w:t>
      </w:r>
    </w:p>
    <w:p w14:paraId="73F23B24">
      <w:pPr>
        <w:spacing w:line="360" w:lineRule="auto"/>
        <w:ind w:firstLine="482" w:firstLineChars="200"/>
        <w:rPr>
          <w:rFonts w:hint="eastAsia" w:ascii="宋体" w:hAnsi="宋体" w:eastAsia="宋体" w:cs="宋体"/>
          <w:color w:val="auto"/>
          <w:kern w:val="0"/>
          <w:sz w:val="24"/>
          <w:highlight w:val="none"/>
          <w:u w:val="single"/>
        </w:rPr>
      </w:pPr>
      <w:r>
        <w:rPr>
          <w:rFonts w:hint="eastAsia" w:ascii="宋体" w:hAnsi="宋体" w:eastAsia="宋体" w:cs="宋体"/>
          <w:b/>
          <w:color w:val="auto"/>
          <w:kern w:val="0"/>
          <w:sz w:val="24"/>
          <w:highlight w:val="none"/>
        </w:rPr>
        <w:t>②</w:t>
      </w:r>
      <w:r>
        <w:rPr>
          <w:rFonts w:hint="eastAsia" w:ascii="宋体" w:hAnsi="宋体" w:eastAsia="宋体" w:cs="宋体"/>
          <w:color w:val="auto"/>
          <w:kern w:val="0"/>
          <w:sz w:val="24"/>
          <w:highlight w:val="none"/>
          <w:u w:val="single"/>
        </w:rPr>
        <w:t>凡施工图纸中未有详细注明的做法，则按国家及广东省有关设计规范及施工验收规范中要求较高者进行施工，乙方在投标报价时须将此因素考虑在内</w:t>
      </w:r>
      <w:r>
        <w:rPr>
          <w:rFonts w:hint="eastAsia" w:ascii="宋体" w:hAnsi="宋体" w:eastAsia="宋体" w:cs="宋体"/>
          <w:color w:val="auto"/>
          <w:kern w:val="0"/>
          <w:sz w:val="24"/>
          <w:highlight w:val="none"/>
        </w:rPr>
        <w:t>；</w:t>
      </w:r>
    </w:p>
    <w:p w14:paraId="27C3D3FF">
      <w:pPr>
        <w:spacing w:line="360" w:lineRule="auto"/>
        <w:ind w:firstLine="48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③基坑支护施工图纸应充分考虑施工措施费用，乙方不得以施工方案变更为借口，提出增加费用的要求。</w:t>
      </w:r>
    </w:p>
    <w:p w14:paraId="453301AF">
      <w:pPr>
        <w:spacing w:line="360" w:lineRule="auto"/>
        <w:ind w:firstLine="48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④政策性文件规定和计价标准等的变化所导致的风险均由乙方承担。</w:t>
      </w:r>
    </w:p>
    <w:p w14:paraId="2F15E991">
      <w:pPr>
        <w:pStyle w:val="116"/>
        <w:spacing w:line="360" w:lineRule="auto"/>
        <w:ind w:firstLine="480" w:firstLineChars="200"/>
        <w:jc w:val="both"/>
        <w:outlineLvl w:val="9"/>
        <w:rPr>
          <w:rFonts w:hint="eastAsia" w:ascii="宋体" w:hAnsi="宋体" w:eastAsia="宋体" w:cs="宋体"/>
          <w:color w:val="auto"/>
          <w:highlight w:val="none"/>
        </w:rPr>
      </w:pPr>
      <w:bookmarkStart w:id="243" w:name="_Toc287628046"/>
      <w:r>
        <w:rPr>
          <w:rFonts w:hint="eastAsia" w:ascii="宋体" w:hAnsi="宋体" w:eastAsia="宋体" w:cs="宋体"/>
          <w:color w:val="auto"/>
          <w:highlight w:val="none"/>
        </w:rPr>
        <w:t>31．不可抗力</w:t>
      </w:r>
      <w:bookmarkEnd w:id="243"/>
    </w:p>
    <w:p w14:paraId="67B94C64">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31.1 </w:t>
      </w:r>
      <w:r>
        <w:rPr>
          <w:rFonts w:hint="eastAsia" w:ascii="宋体" w:hAnsi="宋体" w:eastAsia="宋体" w:cs="宋体"/>
          <w:color w:val="auto"/>
          <w:kern w:val="0"/>
          <w:position w:val="-2"/>
          <w:sz w:val="24"/>
          <w:highlight w:val="none"/>
        </w:rPr>
        <w:t>不可抗力的其他情形：</w:t>
      </w:r>
    </w:p>
    <w:p w14:paraId="1F9765A0">
      <w:pPr>
        <w:autoSpaceDE w:val="0"/>
        <w:autoSpaceDN w:val="0"/>
        <w:adjustRightInd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不可抗力包括因战争、恐怖主义、动乱、空中飞行物坠落或其它非甲方、乙方责任或原因造成的罢工、停工、爆炸、火灾等，以及：</w:t>
      </w:r>
    </w:p>
    <w:p w14:paraId="2389ACA9">
      <w:pPr>
        <w:autoSpaceDE w:val="0"/>
        <w:autoSpaceDN w:val="0"/>
        <w:adjustRightInd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(1) 红色暴雨警告信号或红色台风警告信号的恶劣气候，直接影响本工程无法正常施工的情形；</w:t>
      </w:r>
    </w:p>
    <w:p w14:paraId="5A4AB3F6">
      <w:pPr>
        <w:autoSpaceDE w:val="0"/>
        <w:autoSpaceDN w:val="0"/>
        <w:adjustRightInd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(2) 当地地震部门规定可列入不可抗力的情形；</w:t>
      </w:r>
    </w:p>
    <w:p w14:paraId="43255580">
      <w:pPr>
        <w:autoSpaceDE w:val="0"/>
        <w:autoSpaceDN w:val="0"/>
        <w:adjustRightInd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(3) 当地卫生部门规定可列入不可抗力、并直接影响本工程无法正常施工的情形。</w:t>
      </w:r>
    </w:p>
    <w:p w14:paraId="6868E4FF">
      <w:pPr>
        <w:pStyle w:val="116"/>
        <w:spacing w:line="360" w:lineRule="auto"/>
        <w:ind w:firstLine="480" w:firstLineChars="20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32．保险</w:t>
      </w:r>
    </w:p>
    <w:p w14:paraId="72016203">
      <w:pPr>
        <w:pStyle w:val="116"/>
        <w:spacing w:line="360" w:lineRule="auto"/>
        <w:ind w:firstLine="480" w:firstLineChars="200"/>
        <w:rPr>
          <w:rFonts w:hint="eastAsia" w:ascii="宋体" w:hAnsi="宋体" w:eastAsia="宋体" w:cs="宋体"/>
          <w:bCs w:val="0"/>
          <w:color w:val="auto"/>
          <w:position w:val="0"/>
          <w:szCs w:val="24"/>
          <w:highlight w:val="none"/>
        </w:rPr>
      </w:pPr>
      <w:r>
        <w:rPr>
          <w:rFonts w:hint="eastAsia" w:ascii="宋体" w:hAnsi="宋体" w:eastAsia="宋体" w:cs="宋体"/>
          <w:bCs w:val="0"/>
          <w:color w:val="auto"/>
          <w:position w:val="0"/>
          <w:szCs w:val="24"/>
          <w:highlight w:val="none"/>
        </w:rPr>
        <w:t>32.1 甲方办理保险：</w:t>
      </w:r>
    </w:p>
    <w:p w14:paraId="56D3B90C">
      <w:pPr>
        <w:pStyle w:val="116"/>
        <w:spacing w:line="360" w:lineRule="auto"/>
        <w:ind w:firstLine="480" w:firstLineChars="200"/>
        <w:rPr>
          <w:rFonts w:hint="eastAsia" w:ascii="宋体" w:hAnsi="宋体" w:eastAsia="宋体" w:cs="宋体"/>
          <w:bCs w:val="0"/>
          <w:color w:val="auto"/>
          <w:position w:val="0"/>
          <w:szCs w:val="24"/>
          <w:highlight w:val="none"/>
        </w:rPr>
      </w:pPr>
      <w:r>
        <w:rPr>
          <w:rFonts w:hint="eastAsia" w:ascii="宋体" w:hAnsi="宋体" w:eastAsia="宋体" w:cs="宋体"/>
          <w:bCs w:val="0"/>
          <w:color w:val="auto"/>
          <w:position w:val="0"/>
          <w:szCs w:val="24"/>
          <w:highlight w:val="none"/>
        </w:rPr>
        <w:t xml:space="preserve"> 合同价款已经包含通用条款第32.1款的第(1)、(2)、(3)、(4)项内容，乙方负责办理上述四项保险业务，甲方提供协助，费用由乙方承担。保险期从办理保险之日起至工程竣工验收合格之日止。</w:t>
      </w:r>
    </w:p>
    <w:p w14:paraId="4DB99DB7">
      <w:pPr>
        <w:pStyle w:val="116"/>
        <w:spacing w:line="360" w:lineRule="auto"/>
        <w:ind w:firstLine="480" w:firstLineChars="200"/>
        <w:rPr>
          <w:rFonts w:hint="eastAsia" w:ascii="宋体" w:hAnsi="宋体" w:eastAsia="宋体" w:cs="宋体"/>
          <w:bCs w:val="0"/>
          <w:color w:val="auto"/>
          <w:position w:val="0"/>
          <w:szCs w:val="24"/>
          <w:highlight w:val="none"/>
        </w:rPr>
      </w:pPr>
      <w:r>
        <w:rPr>
          <w:rFonts w:hint="eastAsia" w:ascii="宋体" w:hAnsi="宋体" w:eastAsia="宋体" w:cs="宋体"/>
          <w:bCs w:val="0"/>
          <w:color w:val="auto"/>
          <w:position w:val="0"/>
          <w:szCs w:val="24"/>
          <w:highlight w:val="none"/>
        </w:rPr>
        <w:t>32.8 投保内容、保险金、保险期限和责任等事项的约定：</w:t>
      </w:r>
    </w:p>
    <w:p w14:paraId="7C0688AB">
      <w:pPr>
        <w:pStyle w:val="116"/>
        <w:spacing w:line="360" w:lineRule="auto"/>
        <w:ind w:firstLine="480" w:firstLineChars="200"/>
        <w:rPr>
          <w:rFonts w:hint="eastAsia" w:ascii="宋体" w:hAnsi="宋体" w:eastAsia="宋体" w:cs="宋体"/>
          <w:bCs w:val="0"/>
          <w:color w:val="auto"/>
          <w:position w:val="0"/>
          <w:szCs w:val="24"/>
          <w:highlight w:val="none"/>
        </w:rPr>
      </w:pPr>
      <w:r>
        <w:rPr>
          <w:rFonts w:hint="eastAsia" w:ascii="宋体" w:hAnsi="宋体" w:eastAsia="宋体" w:cs="宋体"/>
          <w:bCs w:val="0"/>
          <w:color w:val="auto"/>
          <w:position w:val="0"/>
          <w:szCs w:val="24"/>
          <w:highlight w:val="none"/>
        </w:rPr>
        <w:t>（1）甲方投保内容：已委托乙方投保。</w:t>
      </w:r>
    </w:p>
    <w:p w14:paraId="091E1359">
      <w:pPr>
        <w:pStyle w:val="116"/>
        <w:spacing w:line="360" w:lineRule="auto"/>
        <w:ind w:firstLine="480" w:firstLineChars="200"/>
        <w:rPr>
          <w:rFonts w:hint="eastAsia" w:ascii="宋体" w:hAnsi="宋体" w:eastAsia="宋体" w:cs="宋体"/>
          <w:bCs w:val="0"/>
          <w:color w:val="auto"/>
          <w:position w:val="0"/>
          <w:szCs w:val="24"/>
          <w:highlight w:val="none"/>
        </w:rPr>
      </w:pPr>
      <w:r>
        <w:rPr>
          <w:rFonts w:hint="eastAsia" w:ascii="宋体" w:hAnsi="宋体" w:eastAsia="宋体" w:cs="宋体"/>
          <w:bCs w:val="0"/>
          <w:color w:val="auto"/>
          <w:position w:val="0"/>
          <w:szCs w:val="24"/>
          <w:highlight w:val="none"/>
        </w:rPr>
        <w:t>甲方委托乙方办理保险事项：</w:t>
      </w:r>
      <w:r>
        <w:rPr>
          <w:rFonts w:hint="eastAsia" w:ascii="宋体" w:hAnsi="宋体" w:eastAsia="宋体" w:cs="宋体"/>
          <w:bCs w:val="0"/>
          <w:color w:val="auto"/>
          <w:position w:val="0"/>
          <w:szCs w:val="24"/>
          <w:highlight w:val="none"/>
          <w:u w:val="single"/>
        </w:rPr>
        <w:t>按通用条款所列投保内容</w:t>
      </w:r>
      <w:r>
        <w:rPr>
          <w:rFonts w:hint="eastAsia" w:ascii="宋体" w:hAnsi="宋体" w:eastAsia="宋体" w:cs="宋体"/>
          <w:bCs w:val="0"/>
          <w:color w:val="auto"/>
          <w:position w:val="0"/>
          <w:szCs w:val="24"/>
          <w:highlight w:val="none"/>
        </w:rPr>
        <w:t>。</w:t>
      </w:r>
    </w:p>
    <w:p w14:paraId="383E6744">
      <w:pPr>
        <w:pStyle w:val="116"/>
        <w:spacing w:line="360" w:lineRule="auto"/>
        <w:ind w:firstLine="480" w:firstLineChars="200"/>
        <w:jc w:val="both"/>
        <w:outlineLvl w:val="9"/>
        <w:rPr>
          <w:rFonts w:hint="eastAsia" w:ascii="宋体" w:hAnsi="宋体" w:eastAsia="宋体" w:cs="宋体"/>
          <w:bCs w:val="0"/>
          <w:color w:val="auto"/>
          <w:position w:val="0"/>
          <w:szCs w:val="24"/>
          <w:highlight w:val="none"/>
        </w:rPr>
      </w:pPr>
      <w:bookmarkStart w:id="244" w:name="_Hlk55205305"/>
      <w:bookmarkStart w:id="245" w:name="_Hlk52120651"/>
      <w:r>
        <w:rPr>
          <w:rFonts w:hint="eastAsia" w:ascii="宋体" w:hAnsi="宋体" w:eastAsia="宋体" w:cs="宋体"/>
          <w:bCs w:val="0"/>
          <w:color w:val="auto"/>
          <w:position w:val="0"/>
          <w:szCs w:val="24"/>
          <w:highlight w:val="none"/>
        </w:rPr>
        <w:t>（2）乙方投保内容：</w:t>
      </w:r>
      <w:r>
        <w:rPr>
          <w:rFonts w:hint="eastAsia" w:ascii="宋体" w:hAnsi="宋体" w:eastAsia="宋体" w:cs="宋体"/>
          <w:bCs w:val="0"/>
          <w:color w:val="auto"/>
          <w:position w:val="0"/>
          <w:szCs w:val="24"/>
          <w:highlight w:val="none"/>
          <w:u w:val="single"/>
        </w:rPr>
        <w:t>按通用条款所列投保内容投保；保险费用由乙方承担并包含在合同总价款内，其投保单应送甲方备案，否则不得开工</w:t>
      </w:r>
      <w:r>
        <w:rPr>
          <w:rFonts w:hint="eastAsia" w:ascii="宋体" w:hAnsi="宋体" w:eastAsia="宋体" w:cs="宋体"/>
          <w:bCs w:val="0"/>
          <w:color w:val="auto"/>
          <w:position w:val="0"/>
          <w:szCs w:val="24"/>
          <w:highlight w:val="none"/>
        </w:rPr>
        <w:t>。</w:t>
      </w:r>
    </w:p>
    <w:bookmarkEnd w:id="244"/>
    <w:bookmarkEnd w:id="245"/>
    <w:p w14:paraId="6644F04D">
      <w:pPr>
        <w:pStyle w:val="116"/>
        <w:spacing w:line="360" w:lineRule="auto"/>
        <w:ind w:firstLine="480" w:firstLineChars="200"/>
        <w:jc w:val="both"/>
        <w:outlineLvl w:val="9"/>
        <w:rPr>
          <w:rFonts w:hint="eastAsia" w:ascii="宋体" w:hAnsi="宋体" w:eastAsia="宋体" w:cs="宋体"/>
          <w:color w:val="auto"/>
          <w:highlight w:val="none"/>
        </w:rPr>
      </w:pPr>
      <w:bookmarkStart w:id="246" w:name="_Toc287628048"/>
      <w:r>
        <w:rPr>
          <w:rFonts w:hint="eastAsia" w:ascii="宋体" w:hAnsi="宋体" w:eastAsia="宋体" w:cs="宋体"/>
          <w:color w:val="auto"/>
          <w:highlight w:val="none"/>
        </w:rPr>
        <w:t>33．进度计划和报告</w:t>
      </w:r>
      <w:bookmarkEnd w:id="246"/>
    </w:p>
    <w:p w14:paraId="18D36264">
      <w:pPr>
        <w:pStyle w:val="116"/>
        <w:spacing w:line="360" w:lineRule="auto"/>
        <w:ind w:firstLine="480" w:firstLineChars="200"/>
        <w:jc w:val="both"/>
        <w:outlineLvl w:val="9"/>
        <w:rPr>
          <w:rFonts w:hint="eastAsia" w:ascii="宋体" w:hAnsi="宋体" w:eastAsia="宋体" w:cs="宋体"/>
          <w:color w:val="auto"/>
          <w:highlight w:val="none"/>
        </w:rPr>
      </w:pPr>
      <w:r>
        <w:rPr>
          <w:rFonts w:hint="eastAsia" w:ascii="仿宋" w:hAnsi="仿宋" w:eastAsia="仿宋" w:cs="仿宋"/>
          <w:color w:val="auto"/>
          <w:kern w:val="0"/>
          <w:sz w:val="24"/>
          <w:highlight w:val="none"/>
        </w:rPr>
        <w:t>▲</w:t>
      </w:r>
      <w:r>
        <w:rPr>
          <w:rFonts w:hint="eastAsia" w:ascii="宋体" w:hAnsi="宋体" w:eastAsia="宋体" w:cs="宋体"/>
          <w:color w:val="auto"/>
          <w:highlight w:val="none"/>
        </w:rPr>
        <w:t>33.1</w:t>
      </w:r>
      <w:r>
        <w:rPr>
          <w:rFonts w:hint="eastAsia" w:ascii="宋体" w:hAnsi="宋体" w:eastAsia="宋体" w:cs="宋体"/>
          <w:color w:val="auto"/>
          <w:kern w:val="2"/>
          <w:position w:val="0"/>
          <w:szCs w:val="24"/>
          <w:highlight w:val="none"/>
          <w:u w:val="single"/>
        </w:rPr>
        <w:t>承包人提供施工组织设计（施工方案）和进度计划的时间：</w:t>
      </w:r>
      <w:r>
        <w:rPr>
          <w:rFonts w:hint="eastAsia" w:ascii="宋体" w:hAnsi="宋体" w:eastAsia="宋体" w:cs="宋体"/>
          <w:color w:val="auto"/>
          <w:kern w:val="2"/>
          <w:position w:val="0"/>
          <w:szCs w:val="24"/>
          <w:highlight w:val="none"/>
          <w:u w:val="single"/>
          <w:lang w:val="en-US" w:eastAsia="zh-CN"/>
        </w:rPr>
        <w:t>合同签订</w:t>
      </w:r>
      <w:r>
        <w:rPr>
          <w:rFonts w:hint="eastAsia" w:ascii="宋体" w:hAnsi="宋体" w:eastAsia="宋体" w:cs="宋体"/>
          <w:color w:val="auto"/>
          <w:kern w:val="2"/>
          <w:position w:val="0"/>
          <w:szCs w:val="24"/>
          <w:highlight w:val="none"/>
          <w:u w:val="single"/>
        </w:rPr>
        <w:t>后</w:t>
      </w:r>
      <w:r>
        <w:rPr>
          <w:rFonts w:hint="eastAsia" w:ascii="宋体" w:hAnsi="宋体" w:eastAsia="宋体" w:cs="宋体"/>
          <w:color w:val="auto"/>
          <w:kern w:val="2"/>
          <w:position w:val="0"/>
          <w:szCs w:val="24"/>
          <w:highlight w:val="none"/>
          <w:u w:val="single"/>
          <w:lang w:val="en-US" w:eastAsia="zh-CN"/>
        </w:rPr>
        <w:t>十五日历天</w:t>
      </w:r>
      <w:r>
        <w:rPr>
          <w:rFonts w:hint="eastAsia" w:ascii="宋体" w:hAnsi="宋体" w:eastAsia="宋体" w:cs="宋体"/>
          <w:color w:val="auto"/>
          <w:kern w:val="2"/>
          <w:position w:val="0"/>
          <w:szCs w:val="24"/>
          <w:highlight w:val="none"/>
          <w:u w:val="single"/>
        </w:rPr>
        <w:t>内。工程师确认的时间：甲方收到乙方提供的施工方案后三个工作天内。如监理工程师对承包人提供的施工组织设计（施工方案）提出修改意见，承包人应在收到监理工程师的修改意见后两个工作日内完成修改，监理工程师收到承包人提供的经修改后的施工方案后一个工作天内确认，如该方案仍未能通过，修改所需时间计算在合同工期内。</w:t>
      </w:r>
    </w:p>
    <w:p w14:paraId="20103C5E">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33.3 乙方编制月施工进度报告和修订进度计划的约定：</w:t>
      </w:r>
      <w:r>
        <w:rPr>
          <w:rFonts w:hint="eastAsia" w:ascii="宋体" w:hAnsi="宋体" w:eastAsia="宋体" w:cs="宋体"/>
          <w:color w:val="auto"/>
          <w:sz w:val="24"/>
          <w:highlight w:val="none"/>
          <w:u w:val="single"/>
        </w:rPr>
        <w:t>按通用条款33.3款执行、</w:t>
      </w:r>
      <w:r>
        <w:rPr>
          <w:rFonts w:hint="eastAsia" w:ascii="宋体" w:hAnsi="宋体" w:eastAsia="宋体" w:cs="宋体"/>
          <w:color w:val="auto"/>
          <w:kern w:val="0"/>
          <w:sz w:val="24"/>
          <w:highlight w:val="none"/>
          <w:u w:val="single"/>
        </w:rPr>
        <w:t>并满足建设管理单位根据现场工程施工情况提出的要求。</w:t>
      </w:r>
    </w:p>
    <w:p w14:paraId="5B8E0550">
      <w:pPr>
        <w:pStyle w:val="116"/>
        <w:spacing w:line="360" w:lineRule="auto"/>
        <w:ind w:firstLine="480" w:firstLineChars="200"/>
        <w:jc w:val="both"/>
        <w:outlineLvl w:val="9"/>
        <w:rPr>
          <w:rFonts w:hint="eastAsia" w:ascii="宋体" w:hAnsi="宋体" w:eastAsia="宋体" w:cs="宋体"/>
          <w:color w:val="auto"/>
          <w:highlight w:val="none"/>
        </w:rPr>
      </w:pPr>
      <w:bookmarkStart w:id="247" w:name="_Toc287628049"/>
      <w:r>
        <w:rPr>
          <w:rFonts w:hint="eastAsia" w:ascii="宋体" w:hAnsi="宋体" w:eastAsia="宋体" w:cs="宋体"/>
          <w:color w:val="auto"/>
          <w:highlight w:val="none"/>
        </w:rPr>
        <w:t>34．开工</w:t>
      </w:r>
      <w:bookmarkEnd w:id="247"/>
    </w:p>
    <w:p w14:paraId="2B4753E3">
      <w:pPr>
        <w:tabs>
          <w:tab w:val="left" w:pos="5080"/>
        </w:tabs>
        <w:autoSpaceDE w:val="0"/>
        <w:autoSpaceDN w:val="0"/>
        <w:adjustRightInd w:val="0"/>
        <w:spacing w:line="360" w:lineRule="auto"/>
        <w:ind w:firstLine="480" w:firstLineChars="200"/>
        <w:rPr>
          <w:color w:val="auto"/>
          <w:highlight w:val="none"/>
        </w:rPr>
      </w:pPr>
      <w:r>
        <w:rPr>
          <w:rFonts w:hint="eastAsia" w:ascii="宋体" w:hAnsi="宋体" w:eastAsia="宋体" w:cs="宋体"/>
          <w:color w:val="auto"/>
          <w:kern w:val="0"/>
          <w:sz w:val="24"/>
          <w:highlight w:val="none"/>
        </w:rPr>
        <w:t xml:space="preserve">34.2 </w:t>
      </w:r>
    </w:p>
    <w:p w14:paraId="71881F74">
      <w:pPr>
        <w:tabs>
          <w:tab w:val="left" w:pos="5080"/>
        </w:tabs>
        <w:autoSpaceDE w:val="0"/>
        <w:autoSpaceDN w:val="0"/>
        <w:adjustRightInd w:val="0"/>
        <w:spacing w:line="360" w:lineRule="auto"/>
        <w:ind w:firstLine="480" w:firstLineChars="200"/>
        <w:rPr>
          <w:rFonts w:hint="default" w:ascii="宋体" w:hAnsi="宋体" w:eastAsia="等线" w:cs="宋体"/>
          <w:color w:val="auto"/>
          <w:kern w:val="0"/>
          <w:sz w:val="24"/>
          <w:highlight w:val="none"/>
          <w:lang w:val="en-US" w:eastAsia="zh-CN"/>
        </w:rPr>
      </w:pPr>
      <w:r>
        <w:rPr>
          <w:rFonts w:hint="eastAsia" w:ascii="宋体" w:hAnsi="宋体" w:eastAsia="宋体" w:cs="宋体"/>
          <w:color w:val="auto"/>
          <w:kern w:val="0"/>
          <w:sz w:val="24"/>
          <w:highlight w:val="none"/>
          <w:u w:val="single"/>
          <w:lang w:val="en-US" w:eastAsia="zh-CN"/>
        </w:rPr>
        <w:t>合同签订后，每期现场具备施工条件后由监理工程师签发该期开工令。</w:t>
      </w:r>
    </w:p>
    <w:p w14:paraId="0E270361">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按通用条款规定的</w:t>
      </w:r>
      <w:r>
        <w:rPr>
          <w:rFonts w:hint="eastAsia" w:ascii="宋体" w:hAnsi="宋体" w:eastAsia="宋体" w:cs="宋体"/>
          <w:color w:val="auto"/>
          <w:spacing w:val="-60"/>
          <w:kern w:val="0"/>
          <w:sz w:val="24"/>
          <w:highlight w:val="none"/>
        </w:rPr>
        <w:t xml:space="preserve"> </w:t>
      </w:r>
      <w:r>
        <w:rPr>
          <w:rFonts w:hint="eastAsia" w:ascii="宋体" w:hAnsi="宋体" w:eastAsia="宋体" w:cs="宋体"/>
          <w:color w:val="auto"/>
          <w:kern w:val="0"/>
          <w:sz w:val="24"/>
          <w:highlight w:val="none"/>
        </w:rPr>
        <w:t>42 天。</w:t>
      </w:r>
    </w:p>
    <w:p w14:paraId="1A895F30">
      <w:pPr>
        <w:spacing w:line="480" w:lineRule="atLeast"/>
        <w:ind w:firstLine="120" w:firstLineChars="50"/>
        <w:rPr>
          <w:rFonts w:hint="eastAsia" w:ascii="仿宋" w:hAnsi="仿宋" w:eastAsia="仿宋" w:cs="仿宋"/>
          <w:color w:val="auto"/>
          <w:kern w:val="0"/>
          <w:sz w:val="24"/>
          <w:highlight w:val="none"/>
          <w:u w:val="single"/>
        </w:rPr>
      </w:pPr>
      <w:r>
        <w:rPr>
          <w:rFonts w:hint="eastAsia" w:ascii="宋体" w:hAnsi="宋体" w:eastAsia="宋体" w:cs="宋体"/>
          <w:color w:val="auto"/>
          <w:kern w:val="0"/>
          <w:sz w:val="24"/>
          <w:highlight w:val="none"/>
        </w:rPr>
        <w:t>■ 另作约定：本项目是EPCO项目，勘察阶段乙方已进入施工场地。乙方应按经甲方确认的工程进度计划时间开工并一直保持合同工程连续均衡施工，直至其被改变为止。若在</w:t>
      </w:r>
      <w:r>
        <w:rPr>
          <w:rFonts w:hint="eastAsia" w:ascii="宋体" w:hAnsi="宋体" w:eastAsia="宋体" w:cs="宋体"/>
          <w:color w:val="auto"/>
          <w:kern w:val="0"/>
          <w:sz w:val="24"/>
          <w:highlight w:val="none"/>
          <w:lang w:val="en-US" w:eastAsia="zh-CN"/>
        </w:rPr>
        <w:t>具备开工条件</w:t>
      </w:r>
      <w:r>
        <w:rPr>
          <w:rFonts w:hint="eastAsia" w:ascii="宋体" w:hAnsi="宋体" w:eastAsia="宋体" w:cs="宋体"/>
          <w:color w:val="auto"/>
          <w:kern w:val="0"/>
          <w:sz w:val="24"/>
          <w:highlight w:val="none"/>
        </w:rPr>
        <w:t>后的第</w:t>
      </w:r>
      <w:r>
        <w:rPr>
          <w:rFonts w:hint="eastAsia" w:ascii="宋体" w:hAnsi="宋体" w:eastAsia="宋体" w:cs="宋体"/>
          <w:color w:val="auto"/>
          <w:kern w:val="0"/>
          <w:sz w:val="24"/>
          <w:highlight w:val="none"/>
          <w:lang w:val="en-US" w:eastAsia="zh-CN"/>
        </w:rPr>
        <w:t>15</w:t>
      </w:r>
      <w:r>
        <w:rPr>
          <w:rFonts w:hint="eastAsia" w:ascii="宋体" w:hAnsi="宋体" w:eastAsia="宋体" w:cs="宋体"/>
          <w:color w:val="auto"/>
          <w:kern w:val="0"/>
          <w:sz w:val="24"/>
          <w:highlight w:val="none"/>
        </w:rPr>
        <w:t>天乙方仍不开工的，每迟延开工一天，乙方</w:t>
      </w:r>
      <w:r>
        <w:rPr>
          <w:rFonts w:hint="eastAsia" w:ascii="宋体" w:hAnsi="宋体" w:eastAsia="宋体" w:cs="宋体"/>
          <w:color w:val="auto"/>
          <w:kern w:val="0"/>
          <w:sz w:val="24"/>
          <w:highlight w:val="none"/>
          <w:lang w:val="en-US" w:eastAsia="zh-CN"/>
        </w:rPr>
        <w:t>应向</w:t>
      </w:r>
      <w:r>
        <w:rPr>
          <w:rFonts w:hint="eastAsia" w:ascii="宋体" w:hAnsi="宋体" w:eastAsia="宋体" w:cs="宋体"/>
          <w:color w:val="auto"/>
          <w:kern w:val="0"/>
          <w:sz w:val="24"/>
          <w:highlight w:val="none"/>
        </w:rPr>
        <w:t>甲方支付3000元违约金；若</w:t>
      </w:r>
      <w:r>
        <w:rPr>
          <w:rFonts w:hint="eastAsia" w:ascii="宋体" w:hAnsi="宋体" w:eastAsia="宋体" w:cs="宋体"/>
          <w:color w:val="auto"/>
          <w:kern w:val="0"/>
          <w:sz w:val="24"/>
          <w:highlight w:val="none"/>
          <w:lang w:val="en-US" w:eastAsia="zh-CN"/>
        </w:rPr>
        <w:t>在具备开工条件</w:t>
      </w:r>
      <w:r>
        <w:rPr>
          <w:rFonts w:hint="eastAsia" w:ascii="宋体" w:hAnsi="宋体" w:eastAsia="宋体" w:cs="宋体"/>
          <w:color w:val="auto"/>
          <w:kern w:val="0"/>
          <w:sz w:val="24"/>
          <w:highlight w:val="none"/>
        </w:rPr>
        <w:t>后的第</w:t>
      </w:r>
      <w:r>
        <w:rPr>
          <w:rFonts w:hint="eastAsia" w:ascii="宋体" w:hAnsi="宋体" w:eastAsia="宋体" w:cs="宋体"/>
          <w:color w:val="auto"/>
          <w:kern w:val="0"/>
          <w:sz w:val="24"/>
          <w:highlight w:val="none"/>
          <w:lang w:val="en-US" w:eastAsia="zh-CN"/>
        </w:rPr>
        <w:t>60</w:t>
      </w:r>
      <w:r>
        <w:rPr>
          <w:rFonts w:hint="eastAsia" w:ascii="宋体" w:hAnsi="宋体" w:eastAsia="宋体" w:cs="宋体"/>
          <w:color w:val="auto"/>
          <w:kern w:val="0"/>
          <w:sz w:val="24"/>
          <w:highlight w:val="none"/>
        </w:rPr>
        <w:t>天乙方仍不开工的，甲方有权立即解除合同，没收乙方的履约保证金，并且乙方需向甲方赔偿因此而造成的一切损失。</w:t>
      </w:r>
    </w:p>
    <w:p w14:paraId="4F80D55B">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p>
    <w:p w14:paraId="35505FA9">
      <w:pPr>
        <w:pStyle w:val="116"/>
        <w:spacing w:line="360" w:lineRule="auto"/>
        <w:ind w:firstLine="480" w:firstLineChars="200"/>
        <w:jc w:val="both"/>
        <w:outlineLvl w:val="9"/>
        <w:rPr>
          <w:rFonts w:hint="eastAsia" w:ascii="宋体" w:hAnsi="宋体" w:eastAsia="宋体" w:cs="宋体"/>
          <w:color w:val="auto"/>
          <w:highlight w:val="none"/>
        </w:rPr>
      </w:pPr>
      <w:bookmarkStart w:id="248" w:name="_Toc287628050"/>
      <w:r>
        <w:rPr>
          <w:rFonts w:hint="eastAsia" w:ascii="宋体" w:hAnsi="宋体" w:eastAsia="宋体" w:cs="宋体"/>
          <w:color w:val="auto"/>
          <w:highlight w:val="none"/>
        </w:rPr>
        <w:t>35．暂停施工和复工</w:t>
      </w:r>
      <w:bookmarkEnd w:id="248"/>
    </w:p>
    <w:p w14:paraId="7BEE3426">
      <w:pPr>
        <w:autoSpaceDE w:val="0"/>
        <w:autoSpaceDN w:val="0"/>
        <w:adjustRightInd w:val="0"/>
        <w:spacing w:line="360" w:lineRule="auto"/>
        <w:ind w:firstLine="480" w:firstLineChars="20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35.4 乙方原因造成暂停施工的其他原因：包括但不限于因材料供应、施工劳力和机具设备不足、管理不善或发生安全质量事故等乙方原因导致的暂停施工 。</w:t>
      </w:r>
    </w:p>
    <w:p w14:paraId="2B098EDE">
      <w:pPr>
        <w:pStyle w:val="116"/>
        <w:spacing w:line="360" w:lineRule="auto"/>
        <w:ind w:firstLine="480" w:firstLineChars="200"/>
        <w:jc w:val="both"/>
        <w:outlineLvl w:val="9"/>
        <w:rPr>
          <w:rFonts w:hint="eastAsia" w:ascii="宋体" w:hAnsi="宋体" w:eastAsia="宋体" w:cs="宋体"/>
          <w:color w:val="auto"/>
          <w:highlight w:val="none"/>
        </w:rPr>
      </w:pPr>
      <w:bookmarkStart w:id="249" w:name="_Toc287628051"/>
      <w:r>
        <w:rPr>
          <w:rFonts w:hint="eastAsia" w:ascii="宋体" w:hAnsi="宋体" w:eastAsia="宋体" w:cs="宋体"/>
          <w:color w:val="auto"/>
          <w:highlight w:val="none"/>
        </w:rPr>
        <w:t>36．工期及工期延误</w:t>
      </w:r>
      <w:bookmarkEnd w:id="249"/>
    </w:p>
    <w:p w14:paraId="3995FA2A">
      <w:pPr>
        <w:tabs>
          <w:tab w:val="left" w:pos="5080"/>
        </w:tabs>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36.1 合同工程的总工期约定为（ ）日历天</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szCs w:val="24"/>
          <w:highlight w:val="none"/>
          <w:u w:val="none"/>
          <w:lang w:val="en-US" w:eastAsia="zh-CN" w:bidi="ar"/>
        </w:rPr>
        <w:t>甲方分期建设，按合同要求支付该期预付款、甲方发出开工令，两个条件成就时起算施工工期</w:t>
      </w:r>
      <w:r>
        <w:rPr>
          <w:rFonts w:hint="eastAsia" w:ascii="宋体" w:hAnsi="宋体" w:eastAsia="宋体" w:cs="宋体"/>
          <w:color w:val="auto"/>
          <w:kern w:val="0"/>
          <w:sz w:val="24"/>
          <w:szCs w:val="24"/>
          <w:highlight w:val="none"/>
          <w:lang w:val="en-US" w:eastAsia="zh-CN" w:bidi="ar"/>
        </w:rPr>
        <w:t>。</w:t>
      </w:r>
    </w:p>
    <w:p w14:paraId="13ABAB64">
      <w:pPr>
        <w:tabs>
          <w:tab w:val="left" w:pos="8780"/>
        </w:tabs>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36.2 工期延误</w:t>
      </w:r>
    </w:p>
    <w:p w14:paraId="1AC70337">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因增加工程量等原因影响工期的，由甲方酌情签认，工期顺延，但甲方不负担任何工程费以外补偿费用。</w:t>
      </w:r>
    </w:p>
    <w:p w14:paraId="7A23E964">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36.2.1 双方约定工期顺延的其他情况：</w:t>
      </w:r>
      <w:r>
        <w:rPr>
          <w:rFonts w:hint="eastAsia" w:ascii="宋体" w:hAnsi="宋体" w:eastAsia="宋体" w:cs="宋体"/>
          <w:color w:val="auto"/>
          <w:sz w:val="24"/>
          <w:highlight w:val="none"/>
          <w:u w:val="single"/>
        </w:rPr>
        <w:t>甲方书面认可的原因，可酌情顺延工期。乙方应在工期延误发生后7天内书面申请确认。</w:t>
      </w:r>
    </w:p>
    <w:p w14:paraId="0113EDFB">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36.2.2 </w:t>
      </w:r>
      <w:r>
        <w:rPr>
          <w:rFonts w:hint="eastAsia" w:ascii="宋体" w:hAnsi="宋体" w:eastAsia="宋体" w:cs="宋体"/>
          <w:color w:val="auto"/>
          <w:sz w:val="24"/>
          <w:highlight w:val="none"/>
          <w:u w:val="single"/>
        </w:rPr>
        <w:t>乙方因材料供应、施工劳力和机具设备不足、管理不善或发生安全质量事故或其他乙方原因影响工期的，应承担工期违约责任。</w:t>
      </w:r>
    </w:p>
    <w:p w14:paraId="4D13F762">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36.2.3 </w:t>
      </w:r>
      <w:r>
        <w:rPr>
          <w:rFonts w:hint="eastAsia" w:ascii="宋体" w:hAnsi="宋体" w:eastAsia="宋体" w:cs="宋体"/>
          <w:color w:val="auto"/>
          <w:sz w:val="24"/>
          <w:highlight w:val="none"/>
          <w:u w:val="single"/>
        </w:rPr>
        <w:t>下列原因影响施工进度，且受影响的工程处在关键线路上，乙方提出书面申请，经确认后生效，但不补偿任何费用。</w:t>
      </w:r>
    </w:p>
    <w:p w14:paraId="21B5A4D3">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天灾或人力不可抗拒的原因，被迫停工的；</w:t>
      </w:r>
    </w:p>
    <w:p w14:paraId="2A78BAA6">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甲方批准的工程变更资料未及时提供而影响关键线路的施工；</w:t>
      </w:r>
    </w:p>
    <w:p w14:paraId="1868304E">
      <w:pPr>
        <w:tabs>
          <w:tab w:val="left" w:pos="8780"/>
        </w:tabs>
        <w:autoSpaceDE w:val="0"/>
        <w:autoSpaceDN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u w:val="single"/>
        </w:rPr>
        <w:t>征地拆迁未及时解决而影响关键线路的施工；</w:t>
      </w:r>
    </w:p>
    <w:p w14:paraId="70E6E24D">
      <w:pPr>
        <w:pStyle w:val="116"/>
        <w:spacing w:line="360" w:lineRule="auto"/>
        <w:ind w:firstLine="480" w:firstLineChars="200"/>
        <w:jc w:val="both"/>
        <w:outlineLvl w:val="9"/>
        <w:rPr>
          <w:rFonts w:hint="eastAsia" w:ascii="宋体" w:hAnsi="宋体" w:eastAsia="宋体" w:cs="宋体"/>
          <w:color w:val="auto"/>
          <w:highlight w:val="none"/>
        </w:rPr>
      </w:pPr>
      <w:bookmarkStart w:id="250" w:name="_Toc287628052"/>
      <w:r>
        <w:rPr>
          <w:rFonts w:hint="eastAsia" w:ascii="宋体" w:hAnsi="宋体" w:eastAsia="宋体" w:cs="宋体"/>
          <w:color w:val="auto"/>
          <w:highlight w:val="none"/>
        </w:rPr>
        <w:t>38．竣工日期</w:t>
      </w:r>
      <w:bookmarkEnd w:id="250"/>
    </w:p>
    <w:p w14:paraId="06846F46">
      <w:pPr>
        <w:autoSpaceDE w:val="0"/>
        <w:autoSpaceDN w:val="0"/>
        <w:adjustRightInd w:val="0"/>
        <w:spacing w:line="360" w:lineRule="auto"/>
        <w:ind w:firstLine="48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highlight w:val="none"/>
        </w:rPr>
        <w:t>38.1 计划竣工日期：</w:t>
      </w:r>
      <w:r>
        <w:rPr>
          <w:rFonts w:hint="eastAsia" w:ascii="宋体" w:hAnsi="宋体" w:eastAsia="宋体" w:cs="宋体"/>
          <w:color w:val="auto"/>
          <w:kern w:val="0"/>
          <w:sz w:val="24"/>
          <w:highlight w:val="none"/>
          <w:u w:val="single"/>
        </w:rPr>
        <w:t xml:space="preserve">   年   月    日</w:t>
      </w:r>
      <w:r>
        <w:rPr>
          <w:rFonts w:hint="eastAsia" w:ascii="宋体" w:hAnsi="宋体" w:eastAsia="宋体" w:cs="宋体"/>
          <w:color w:val="auto"/>
          <w:kern w:val="0"/>
          <w:sz w:val="24"/>
          <w:highlight w:val="none"/>
        </w:rPr>
        <w:t xml:space="preserve">。  </w:t>
      </w:r>
    </w:p>
    <w:p w14:paraId="39237ABB">
      <w:pPr>
        <w:spacing w:line="360" w:lineRule="auto"/>
        <w:ind w:firstLine="240" w:firstLineChars="100"/>
        <w:rPr>
          <w:rFonts w:hint="eastAsia" w:ascii="宋体" w:hAnsi="宋体" w:eastAsia="宋体" w:cs="宋体"/>
          <w:color w:val="auto"/>
          <w:sz w:val="24"/>
          <w:highlight w:val="none"/>
        </w:rPr>
      </w:pPr>
      <w:bookmarkStart w:id="251" w:name="_Toc469384105"/>
      <w:bookmarkStart w:id="252" w:name="_Toc46860933"/>
      <w:r>
        <w:rPr>
          <w:rFonts w:hint="eastAsia" w:ascii="宋体" w:hAnsi="宋体" w:eastAsia="宋体" w:cs="宋体"/>
          <w:color w:val="auto"/>
          <w:sz w:val="24"/>
          <w:highlight w:val="none"/>
        </w:rPr>
        <w:t>★42. 质量标准、目标</w:t>
      </w:r>
      <w:bookmarkEnd w:id="251"/>
      <w:bookmarkEnd w:id="252"/>
    </w:p>
    <w:p w14:paraId="5761FDA4">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★42.1 约定的工程质量标准</w:t>
      </w:r>
    </w:p>
    <w:p w14:paraId="41FF9826">
      <w:pPr>
        <w:tabs>
          <w:tab w:val="left" w:pos="8780"/>
        </w:tabs>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 合同工程质量标准：</w:t>
      </w:r>
      <w:r>
        <w:rPr>
          <w:rFonts w:hint="eastAsia" w:ascii="宋体" w:hAnsi="宋体" w:eastAsia="宋体" w:cs="宋体"/>
          <w:color w:val="auto"/>
          <w:kern w:val="0"/>
          <w:sz w:val="24"/>
          <w:highlight w:val="none"/>
          <w:u w:val="single"/>
        </w:rPr>
        <w:t xml:space="preserve"> 合格。</w:t>
      </w:r>
    </w:p>
    <w:p w14:paraId="22598F07">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 工程质量验收标准：</w:t>
      </w:r>
      <w:r>
        <w:rPr>
          <w:rFonts w:hint="eastAsia" w:ascii="宋体" w:hAnsi="宋体" w:eastAsia="宋体" w:cs="宋体"/>
          <w:color w:val="auto"/>
          <w:kern w:val="0"/>
          <w:sz w:val="24"/>
          <w:highlight w:val="none"/>
          <w:u w:val="single"/>
        </w:rPr>
        <w:t>合格。</w:t>
      </w:r>
    </w:p>
    <w:p w14:paraId="1F26A3B4">
      <w:pPr>
        <w:spacing w:line="360" w:lineRule="auto"/>
        <w:ind w:firstLine="210" w:firstLineChars="100"/>
        <w:rPr>
          <w:rFonts w:hint="eastAsia" w:ascii="宋体" w:hAnsi="宋体" w:eastAsia="宋体" w:cs="宋体"/>
          <w:color w:val="auto"/>
          <w:sz w:val="24"/>
          <w:highlight w:val="none"/>
        </w:rPr>
      </w:pPr>
      <w:bookmarkStart w:id="253" w:name="_Toc469384106"/>
      <w:bookmarkStart w:id="254" w:name="_Toc46860934"/>
      <w:bookmarkStart w:id="255" w:name="_Toc287628054"/>
      <w:r>
        <w:rPr>
          <w:rFonts w:hint="eastAsia" w:ascii="宋体" w:hAnsi="宋体" w:eastAsia="宋体" w:cs="宋体"/>
          <w:color w:val="auto"/>
          <w:highlight w:val="none"/>
        </w:rPr>
        <w:t>★</w:t>
      </w:r>
      <w:r>
        <w:rPr>
          <w:rFonts w:hint="eastAsia" w:ascii="宋体" w:hAnsi="宋体" w:eastAsia="宋体" w:cs="宋体"/>
          <w:color w:val="auto"/>
          <w:sz w:val="24"/>
          <w:highlight w:val="none"/>
        </w:rPr>
        <w:t xml:space="preserve">45. </w:t>
      </w:r>
      <w:bookmarkEnd w:id="253"/>
      <w:r>
        <w:rPr>
          <w:rFonts w:hint="eastAsia" w:ascii="宋体" w:hAnsi="宋体" w:eastAsia="宋体" w:cs="宋体"/>
          <w:color w:val="auto"/>
          <w:sz w:val="24"/>
          <w:highlight w:val="none"/>
        </w:rPr>
        <w:t>绿色施工安全防护</w:t>
      </w:r>
      <w:bookmarkEnd w:id="254"/>
    </w:p>
    <w:p w14:paraId="4835754D">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45.1绿色施工安全防护的要求：</w:t>
      </w:r>
    </w:p>
    <w:p w14:paraId="043C1EC6">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按通用条款的规定。</w:t>
      </w:r>
    </w:p>
    <w:p w14:paraId="351F39AF">
      <w:pPr>
        <w:spacing w:line="360" w:lineRule="auto"/>
        <w:ind w:firstLine="120" w:firstLineChars="5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   □ 另作约定：</w:t>
      </w:r>
      <w:r>
        <w:rPr>
          <w:rFonts w:hint="eastAsia" w:ascii="宋体" w:hAnsi="宋体" w:eastAsia="宋体" w:cs="宋体"/>
          <w:color w:val="auto"/>
          <w:kern w:val="0"/>
          <w:sz w:val="24"/>
          <w:highlight w:val="none"/>
          <w:u w:val="single"/>
        </w:rPr>
        <w:t xml:space="preserve">                                </w:t>
      </w:r>
    </w:p>
    <w:p w14:paraId="7A06E1E9">
      <w:pPr>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其中：</w:t>
      </w:r>
      <w:r>
        <w:rPr>
          <w:rFonts w:hint="eastAsia" w:ascii="宋体" w:hAnsi="宋体" w:eastAsia="宋体" w:cs="宋体"/>
          <w:color w:val="auto"/>
          <w:sz w:val="24"/>
          <w:highlight w:val="none"/>
        </w:rPr>
        <w:t>施工扬尘污染防治措施：</w:t>
      </w:r>
      <w:r>
        <w:rPr>
          <w:rFonts w:hint="eastAsia" w:ascii="宋体" w:hAnsi="宋体" w:eastAsia="宋体" w:cs="宋体"/>
          <w:color w:val="auto"/>
          <w:kern w:val="0"/>
          <w:sz w:val="24"/>
          <w:highlight w:val="none"/>
          <w:u w:val="single"/>
        </w:rPr>
        <w:t xml:space="preserve">   /   </w:t>
      </w:r>
    </w:p>
    <w:p w14:paraId="04BBBFFF">
      <w:pPr>
        <w:spacing w:line="360" w:lineRule="auto"/>
        <w:ind w:firstLine="1680" w:firstLineChars="700"/>
        <w:rPr>
          <w:rFonts w:hint="eastAsia" w:ascii="宋体" w:hAnsi="宋体" w:eastAsia="宋体" w:cs="宋体"/>
          <w:color w:val="auto"/>
          <w:kern w:val="0"/>
          <w:sz w:val="24"/>
          <w:highlight w:val="none"/>
          <w:u w:val="single"/>
        </w:rPr>
      </w:pPr>
      <w:r>
        <w:rPr>
          <w:rFonts w:hint="eastAsia" w:ascii="宋体" w:hAnsi="宋体" w:eastAsia="宋体" w:cs="宋体"/>
          <w:color w:val="auto"/>
          <w:sz w:val="24"/>
          <w:highlight w:val="none"/>
        </w:rPr>
        <w:t>用工实名管理：</w:t>
      </w:r>
      <w:r>
        <w:rPr>
          <w:rFonts w:hint="eastAsia" w:ascii="宋体" w:hAnsi="宋体" w:eastAsia="宋体" w:cs="宋体"/>
          <w:color w:val="auto"/>
          <w:kern w:val="0"/>
          <w:sz w:val="24"/>
          <w:highlight w:val="none"/>
          <w:u w:val="single"/>
        </w:rPr>
        <w:t xml:space="preserve">   /    </w:t>
      </w:r>
    </w:p>
    <w:p w14:paraId="7434A663">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45.2</w:t>
      </w:r>
      <w:r>
        <w:rPr>
          <w:rFonts w:hint="eastAsia" w:ascii="宋体" w:hAnsi="宋体" w:eastAsia="宋体" w:cs="宋体"/>
          <w:color w:val="auto"/>
          <w:kern w:val="0"/>
          <w:sz w:val="24"/>
          <w:highlight w:val="none"/>
        </w:rPr>
        <w:t>用工实名制、工人工资支付分账管理</w:t>
      </w:r>
    </w:p>
    <w:p w14:paraId="4D0653C8">
      <w:pPr>
        <w:spacing w:line="360" w:lineRule="auto"/>
        <w:ind w:firstLine="360" w:firstLineChars="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 按通用条款的规定以及以下文件规定：</w:t>
      </w:r>
    </w:p>
    <w:p w14:paraId="3581F9D2">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1、《广州市住房和城乡建设局关于印发&lt;广州市建筑施工实名制管理办法&gt;的通知》（穗建规字〔2020〕18号）</w:t>
      </w:r>
    </w:p>
    <w:p w14:paraId="03CD84BD">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《广州市住房和城乡建设局关于在我市房建市政工程贯彻执行省用工实名及工人工资支付专用账户管理办法有关要求的通知》（穗建筑〔2019〕352号）</w:t>
      </w:r>
    </w:p>
    <w:p w14:paraId="014FB45E">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《广东省住房和城乡建设厅关于印发房屋建筑和市政基础设施工程用工实名管理暂行办法的通知》（粤建规范〔2018〕1号）</w:t>
      </w:r>
    </w:p>
    <w:p w14:paraId="54391AAE">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&lt;广州市住房和城乡建设委员会关于转发《广东省住房和城乡建设厅关于房屋建筑和市政基础设施工程用工实名管理暂行办法》的通知&gt;（穗建筑〔2018〕981号）</w:t>
      </w:r>
    </w:p>
    <w:p w14:paraId="57482078">
      <w:pPr>
        <w:pStyle w:val="40"/>
        <w:spacing w:before="0" w:beforeAutospacing="0" w:after="0" w:afterAutospacing="0" w:line="360" w:lineRule="auto"/>
        <w:ind w:firstLine="480" w:firstLineChars="200"/>
        <w:rPr>
          <w:rFonts w:hint="eastAsia" w:eastAsia="宋体" w:cs="宋体"/>
          <w:color w:val="auto"/>
          <w:highlight w:val="none"/>
        </w:rPr>
      </w:pPr>
      <w:r>
        <w:rPr>
          <w:rFonts w:hint="eastAsia" w:eastAsia="宋体" w:cs="宋体"/>
          <w:color w:val="auto"/>
          <w:highlight w:val="none"/>
        </w:rPr>
        <w:t>&lt;广州市住房和城乡建设委员会关于实施《 广州市建设领域工人工资支付分账管理实施细则 》的通知&gt;（穗建筑〔2017〕1344号）</w:t>
      </w:r>
    </w:p>
    <w:p w14:paraId="59A9D799">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《关于印发广州市建设领域工人工资支付分账管理实施细则的通知》（穗建规字〔2017〕10号）</w:t>
      </w:r>
    </w:p>
    <w:p w14:paraId="22FA2F02">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2、□其他文件：</w:t>
      </w:r>
      <w:r>
        <w:rPr>
          <w:rFonts w:hint="eastAsia" w:ascii="宋体" w:hAnsi="宋体" w:eastAsia="宋体" w:cs="宋体"/>
          <w:color w:val="auto"/>
          <w:kern w:val="0"/>
          <w:sz w:val="24"/>
          <w:highlight w:val="none"/>
          <w:u w:val="single"/>
        </w:rPr>
        <w:t xml:space="preserve">     /    </w:t>
      </w:r>
    </w:p>
    <w:p w14:paraId="202A40D9">
      <w:pPr>
        <w:spacing w:line="360" w:lineRule="auto"/>
        <w:ind w:firstLine="840" w:firstLineChars="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□另作约定：</w:t>
      </w:r>
      <w:r>
        <w:rPr>
          <w:rFonts w:hint="eastAsia" w:ascii="宋体" w:hAnsi="宋体" w:eastAsia="宋体" w:cs="宋体"/>
          <w:color w:val="auto"/>
          <w:kern w:val="0"/>
          <w:sz w:val="24"/>
          <w:highlight w:val="none"/>
          <w:u w:val="single"/>
        </w:rPr>
        <w:t xml:space="preserve">            </w:t>
      </w:r>
    </w:p>
    <w:p w14:paraId="5CA1E0D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45.6 治安管理：</w:t>
      </w:r>
    </w:p>
    <w:p w14:paraId="763F9D6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按通用条款的规定。</w:t>
      </w:r>
    </w:p>
    <w:p w14:paraId="768FB85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另作约定：</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 xml:space="preserve">  </w:t>
      </w:r>
    </w:p>
    <w:bookmarkEnd w:id="255"/>
    <w:p w14:paraId="7BE5E118">
      <w:pPr>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补充内容： 文明施工要求</w:t>
      </w:r>
    </w:p>
    <w:p w14:paraId="149E621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（1）为规范建设项目安全文明措施费管理，乙方应知晓《安全文明措施费使用管理办法》（详见附件十四）。并愿意就安全文明措施费遵守此办法。</w:t>
      </w:r>
    </w:p>
    <w:p w14:paraId="3072B82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在本工程施工中发生1人（含）以上，3人（不含）以下人员死亡安全生产责任事故的，甲方除有权扣减乙方相当于合同总价5％的违约金外，乙方依法承担由此产生的全部经济和法律责任。并自事故发生之日起两年内不得再参与甲方及甲方其它工程项目的投标。</w:t>
      </w:r>
    </w:p>
    <w:p w14:paraId="1CC9083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在本工程施工中发生较大以上（3人（含）以上10人（不含）以下死亡，或者10人(含)以上50人（不含）以下重伤；10人（含）以上30人(不含)以下死亡，或者50人（含）以上100人（不含）以下重伤；30人（含）以上死亡，或者100人（不含）以上重伤）安全或质量事故的，甲方除有权扣减乙方相当于合同总价10％的违约金外，乙方依承担由此产生的全部经济和法律责任。并自事故发生之日起两年内不得再参与甲方及甲方其它工程项目的投标。</w:t>
      </w:r>
    </w:p>
    <w:p w14:paraId="5BF3A36F">
      <w:pPr>
        <w:spacing w:line="360" w:lineRule="auto"/>
        <w:ind w:right="86" w:rightChars="41"/>
        <w:rPr>
          <w:rFonts w:hint="eastAsia" w:ascii="宋体" w:hAnsi="宋体" w:eastAsia="宋体" w:cs="宋体"/>
          <w:color w:val="auto"/>
          <w:sz w:val="24"/>
          <w:highlight w:val="none"/>
        </w:rPr>
      </w:pPr>
      <w:r>
        <w:rPr>
          <w:rFonts w:hint="eastAsia" w:ascii="宋体" w:hAnsi="宋体" w:eastAsia="宋体" w:cs="宋体"/>
          <w:color w:val="auto"/>
          <w:sz w:val="24"/>
          <w:highlight w:val="none"/>
        </w:rPr>
        <w:t>（3）余泥外运运距</w:t>
      </w:r>
      <w:r>
        <w:rPr>
          <w:rFonts w:ascii="宋体" w:hAnsi="宋体" w:eastAsia="宋体" w:cs="宋体"/>
          <w:color w:val="auto"/>
          <w:sz w:val="24"/>
          <w:highlight w:val="none"/>
        </w:rPr>
        <w:t>取费按20公里以内考虑，超出20公里部分不再调整</w:t>
      </w:r>
      <w:r>
        <w:rPr>
          <w:rFonts w:hint="eastAsia" w:ascii="宋体" w:hAnsi="宋体" w:eastAsia="宋体" w:cs="宋体"/>
          <w:color w:val="auto"/>
          <w:sz w:val="24"/>
          <w:highlight w:val="none"/>
        </w:rPr>
        <w:t>。乙方应按照相关法律法规及政策要求，及时办理余泥排放证、消纳证等相关证件。未办理余泥排放证、消纳证及开具相关发票，结算不予计量余泥外运及消纳费用。若因垃圾余泥处置问题被执法部门处罚，则按照处罚金额的2倍在当期工程进度款中扣除；若被投诉或举报乱排乱放余泥渣土或建筑垃圾并有相应事实依据的（如相片等），经监理单位核实确实存在该情形的，每次处罚2万元工程款，在当期工程进度款中直接扣除。出现此情况后，有理由怀疑其余土方也存在乱排乱放的情况，乙方应对其他土方是否存在乱排乱放自行举证（包括但不限于土方运输车次，余泥渣土场的进场出场记录，排放记录，施工日记，运输相片视频等系列依据），举证依据不充分的，相应余泥渣土建筑垃圾的工程费全部暂扣，直至举证依据充分为止。</w:t>
      </w:r>
    </w:p>
    <w:p w14:paraId="73700375">
      <w:pPr>
        <w:pStyle w:val="116"/>
        <w:spacing w:line="360" w:lineRule="auto"/>
        <w:ind w:firstLine="480" w:firstLineChars="200"/>
        <w:jc w:val="both"/>
        <w:outlineLvl w:val="9"/>
        <w:rPr>
          <w:rFonts w:hint="eastAsia" w:ascii="宋体" w:hAnsi="宋体" w:eastAsia="宋体" w:cs="宋体"/>
          <w:color w:val="auto"/>
          <w:highlight w:val="none"/>
        </w:rPr>
      </w:pPr>
      <w:bookmarkStart w:id="256" w:name="_Toc287628055"/>
      <w:r>
        <w:rPr>
          <w:rFonts w:hint="eastAsia" w:ascii="宋体" w:hAnsi="宋体" w:eastAsia="宋体" w:cs="宋体"/>
          <w:color w:val="auto"/>
          <w:highlight w:val="none"/>
        </w:rPr>
        <w:t>46．测量放线</w:t>
      </w:r>
      <w:bookmarkEnd w:id="256"/>
    </w:p>
    <w:p w14:paraId="7FD1A970">
      <w:pPr>
        <w:tabs>
          <w:tab w:val="left" w:pos="1240"/>
        </w:tabs>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46.1施工控制网资料的时间：本项目采用EPC模式实施，施工控制网资料</w:t>
      </w:r>
      <w:r>
        <w:rPr>
          <w:rFonts w:hint="eastAsia" w:ascii="宋体" w:hAnsi="宋体" w:eastAsia="宋体" w:cs="宋体"/>
          <w:color w:val="auto"/>
          <w:kern w:val="0"/>
          <w:sz w:val="24"/>
          <w:highlight w:val="none"/>
          <w:u w:val="single"/>
        </w:rPr>
        <w:t>甲方不提供，在</w:t>
      </w:r>
      <w:r>
        <w:rPr>
          <w:rFonts w:hint="eastAsia" w:ascii="宋体" w:hAnsi="宋体" w:eastAsia="宋体" w:cs="宋体"/>
          <w:color w:val="auto"/>
          <w:sz w:val="24"/>
          <w:highlight w:val="none"/>
          <w:u w:val="single"/>
        </w:rPr>
        <w:t>开工前7天由乙方自行负责联系其联合本成员方设计单位向乙方联合体施工单位作技术交底，提供道路测量控制桩、水准点和标高。</w:t>
      </w:r>
    </w:p>
    <w:p w14:paraId="204177F4">
      <w:pPr>
        <w:tabs>
          <w:tab w:val="left" w:pos="1240"/>
        </w:tabs>
        <w:autoSpaceDE w:val="0"/>
        <w:autoSpaceDN w:val="0"/>
        <w:adjustRightInd w:val="0"/>
        <w:spacing w:line="360" w:lineRule="auto"/>
        <w:ind w:firstLine="48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highlight w:val="none"/>
        </w:rPr>
        <w:t>46.4 测量放线误差的约定：</w:t>
      </w:r>
      <w:r>
        <w:rPr>
          <w:rFonts w:hint="eastAsia" w:ascii="宋体" w:hAnsi="宋体" w:eastAsia="宋体" w:cs="宋体"/>
          <w:color w:val="auto"/>
          <w:kern w:val="0"/>
          <w:sz w:val="24"/>
          <w:highlight w:val="none"/>
          <w:u w:val="single"/>
        </w:rPr>
        <w:t>按工程质量验收有关规范执行。出现误差引起的所有损失都由乙方承担。</w:t>
      </w:r>
    </w:p>
    <w:p w14:paraId="41CEFBCE">
      <w:pPr>
        <w:pStyle w:val="116"/>
        <w:spacing w:line="360" w:lineRule="auto"/>
        <w:ind w:firstLine="480" w:firstLineChars="200"/>
        <w:jc w:val="both"/>
        <w:outlineLvl w:val="9"/>
        <w:rPr>
          <w:rFonts w:hint="eastAsia" w:ascii="宋体" w:hAnsi="宋体" w:eastAsia="宋体" w:cs="宋体"/>
          <w:color w:val="auto"/>
          <w:highlight w:val="none"/>
        </w:rPr>
      </w:pPr>
      <w:bookmarkStart w:id="257" w:name="_Toc287628056"/>
      <w:r>
        <w:rPr>
          <w:rFonts w:hint="eastAsia" w:ascii="宋体" w:hAnsi="宋体" w:eastAsia="宋体" w:cs="宋体"/>
          <w:color w:val="auto"/>
          <w:highlight w:val="none"/>
        </w:rPr>
        <w:t>48．甲方供应材料和工程设备</w:t>
      </w:r>
      <w:bookmarkEnd w:id="257"/>
    </w:p>
    <w:p w14:paraId="3CFA9C80">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48.1 约定供应的材料和工程设备</w:t>
      </w:r>
    </w:p>
    <w:p w14:paraId="0A014E0A">
      <w:pPr>
        <w:autoSpaceDE w:val="0"/>
        <w:autoSpaceDN w:val="0"/>
        <w:adjustRightInd w:val="0"/>
        <w:spacing w:line="360" w:lineRule="auto"/>
        <w:ind w:firstLine="480" w:firstLineChars="200"/>
        <w:rPr>
          <w:rFonts w:hint="eastAsia"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 甲方不供应材料和工程设备，本条不适用。</w:t>
      </w:r>
    </w:p>
    <w:p w14:paraId="52D7FE0B">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spacing w:val="1"/>
          <w:kern w:val="0"/>
          <w:sz w:val="24"/>
          <w:highlight w:val="none"/>
        </w:rPr>
        <w:t>甲方供应材料和工程设备</w:t>
      </w:r>
      <w:r>
        <w:rPr>
          <w:rFonts w:hint="eastAsia" w:ascii="宋体" w:hAnsi="宋体" w:eastAsia="宋体" w:cs="宋体"/>
          <w:color w:val="auto"/>
          <w:kern w:val="0"/>
          <w:sz w:val="24"/>
          <w:highlight w:val="none"/>
        </w:rPr>
        <w:t>的（简称“甲供”）</w:t>
      </w:r>
      <w:r>
        <w:rPr>
          <w:rFonts w:hint="eastAsia" w:ascii="宋体" w:hAnsi="宋体" w:eastAsia="宋体" w:cs="宋体"/>
          <w:color w:val="auto"/>
          <w:spacing w:val="1"/>
          <w:kern w:val="0"/>
          <w:sz w:val="24"/>
          <w:highlight w:val="none"/>
        </w:rPr>
        <w:t>，应与乙方约定“甲方供应材料和工程设备一览表</w:t>
      </w:r>
      <w:r>
        <w:rPr>
          <w:rFonts w:hint="eastAsia" w:ascii="宋体" w:hAnsi="宋体" w:eastAsia="宋体" w:cs="宋体"/>
          <w:color w:val="auto"/>
          <w:spacing w:val="-119"/>
          <w:kern w:val="0"/>
          <w:sz w:val="24"/>
          <w:highlight w:val="none"/>
        </w:rPr>
        <w:t>”</w:t>
      </w:r>
      <w:r>
        <w:rPr>
          <w:rFonts w:hint="eastAsia" w:ascii="宋体" w:hAnsi="宋体" w:eastAsia="宋体" w:cs="宋体"/>
          <w:color w:val="auto"/>
          <w:kern w:val="0"/>
          <w:sz w:val="24"/>
          <w:highlight w:val="none"/>
        </w:rPr>
        <w:t>，作为本合同的附件。甲供材料设备所需的检验或试验费用（如有）及其管理费、保管费等其它一切与之有关的费用均已包含在投标报价中。</w:t>
      </w:r>
    </w:p>
    <w:p w14:paraId="176F5328">
      <w:pPr>
        <w:autoSpaceDE w:val="0"/>
        <w:autoSpaceDN w:val="0"/>
        <w:adjustRightInd w:val="0"/>
        <w:spacing w:line="360" w:lineRule="auto"/>
        <w:ind w:firstLine="480" w:firstLineChars="200"/>
        <w:rPr>
          <w:rFonts w:hint="eastAsia" w:ascii="宋体" w:hAnsi="宋体" w:eastAsia="宋体" w:cs="宋体"/>
          <w:color w:val="auto"/>
          <w:kern w:val="0"/>
          <w:sz w:val="24"/>
          <w:highlight w:val="none"/>
          <w:u w:val="single"/>
        </w:rPr>
      </w:pPr>
      <w:bookmarkStart w:id="258" w:name="_Hlk52201565"/>
      <w:r>
        <w:rPr>
          <w:rFonts w:hint="eastAsia" w:ascii="宋体" w:hAnsi="宋体" w:eastAsia="宋体" w:cs="宋体"/>
          <w:color w:val="auto"/>
          <w:kern w:val="0"/>
          <w:sz w:val="24"/>
          <w:highlight w:val="none"/>
        </w:rPr>
        <w:t xml:space="preserve">48.3 </w:t>
      </w:r>
      <w:r>
        <w:rPr>
          <w:rFonts w:hint="eastAsia" w:ascii="宋体" w:hAnsi="宋体" w:eastAsia="宋体" w:cs="宋体"/>
          <w:color w:val="auto"/>
          <w:kern w:val="0"/>
          <w:sz w:val="24"/>
          <w:highlight w:val="none"/>
          <w:u w:val="single"/>
        </w:rPr>
        <w:t>补充：材料和工程设备的卸货、堆放由乙方负责。</w:t>
      </w:r>
    </w:p>
    <w:p w14:paraId="6F9F63AD">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48.5 </w:t>
      </w:r>
      <w:r>
        <w:rPr>
          <w:rFonts w:hint="eastAsia" w:ascii="宋体" w:hAnsi="宋体" w:eastAsia="宋体" w:cs="宋体"/>
          <w:color w:val="auto"/>
          <w:kern w:val="0"/>
          <w:sz w:val="24"/>
          <w:highlight w:val="none"/>
          <w:u w:val="single"/>
        </w:rPr>
        <w:t>由甲方供应的材料设备，乙方派人参加清点后由乙方妥善保管，保管费由乙方承担，因乙方保管不善或乙方原因导致的丢失或损害由乙方负责赔偿。</w:t>
      </w:r>
    </w:p>
    <w:bookmarkEnd w:id="258"/>
    <w:p w14:paraId="4ECAB4F9">
      <w:pPr>
        <w:autoSpaceDE w:val="0"/>
        <w:autoSpaceDN w:val="0"/>
        <w:adjustRightInd w:val="0"/>
        <w:spacing w:line="360" w:lineRule="auto"/>
        <w:ind w:firstLine="48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highlight w:val="none"/>
        </w:rPr>
        <w:t>48.8 甲方供应材料和工程设备的结算方式：</w:t>
      </w:r>
      <w:r>
        <w:rPr>
          <w:rFonts w:hint="eastAsia" w:ascii="宋体" w:hAnsi="宋体" w:eastAsia="宋体" w:cs="宋体"/>
          <w:color w:val="auto"/>
          <w:kern w:val="0"/>
          <w:sz w:val="24"/>
          <w:highlight w:val="none"/>
          <w:u w:val="single"/>
        </w:rPr>
        <w:t>本款不适用。</w:t>
      </w:r>
    </w:p>
    <w:p w14:paraId="5C78A11A">
      <w:pPr>
        <w:pStyle w:val="116"/>
        <w:spacing w:line="360" w:lineRule="auto"/>
        <w:ind w:firstLine="480" w:firstLineChars="200"/>
        <w:jc w:val="both"/>
        <w:outlineLvl w:val="9"/>
        <w:rPr>
          <w:rFonts w:hint="eastAsia" w:ascii="宋体" w:hAnsi="宋体" w:eastAsia="宋体" w:cs="宋体"/>
          <w:color w:val="auto"/>
          <w:highlight w:val="none"/>
        </w:rPr>
      </w:pPr>
      <w:bookmarkStart w:id="259" w:name="_Toc287628057"/>
      <w:r>
        <w:rPr>
          <w:rFonts w:hint="eastAsia" w:ascii="宋体" w:hAnsi="宋体" w:eastAsia="宋体" w:cs="宋体"/>
          <w:color w:val="auto"/>
          <w:highlight w:val="none"/>
        </w:rPr>
        <w:t>49．乙方采购材料和工程设备</w:t>
      </w:r>
      <w:bookmarkEnd w:id="259"/>
    </w:p>
    <w:p w14:paraId="63B97D7C">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49.1 乙方采购的材料和工程设备：</w:t>
      </w:r>
    </w:p>
    <w:p w14:paraId="36ED16A0">
      <w:pPr>
        <w:autoSpaceDE w:val="0"/>
        <w:autoSpaceDN w:val="0"/>
        <w:adjustRightInd w:val="0"/>
        <w:spacing w:line="360" w:lineRule="auto"/>
        <w:ind w:firstLine="480" w:firstLineChars="200"/>
        <w:rPr>
          <w:rFonts w:hint="eastAsia"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 按通用条款规定，由乙方负责运输和保管。</w:t>
      </w:r>
    </w:p>
    <w:p w14:paraId="153F0FBB">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spacing w:val="1"/>
          <w:kern w:val="0"/>
          <w:sz w:val="24"/>
          <w:highlight w:val="none"/>
        </w:rPr>
        <w:t xml:space="preserve"> 另作约定：</w:t>
      </w:r>
    </w:p>
    <w:p w14:paraId="0ACE83C8">
      <w:pPr>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position w:val="-2"/>
          <w:sz w:val="24"/>
          <w:highlight w:val="none"/>
        </w:rPr>
        <w:t>49.2 乙方供货要求：</w:t>
      </w:r>
      <w:r>
        <w:rPr>
          <w:rFonts w:hint="eastAsia" w:ascii="宋体" w:hAnsi="宋体" w:eastAsia="宋体" w:cs="宋体"/>
          <w:color w:val="auto"/>
          <w:kern w:val="0"/>
          <w:sz w:val="24"/>
          <w:highlight w:val="none"/>
          <w:u w:val="single"/>
        </w:rPr>
        <w:t>按通用条款。</w:t>
      </w:r>
    </w:p>
    <w:p w14:paraId="4405C825">
      <w:pPr>
        <w:autoSpaceDE w:val="0"/>
        <w:autoSpaceDN w:val="0"/>
        <w:adjustRightInd w:val="0"/>
        <w:spacing w:line="360" w:lineRule="auto"/>
        <w:ind w:firstLine="480" w:firstLineChars="20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49.8 甲方依法指定的生产厂家或供应商：</w:t>
      </w:r>
      <w:r>
        <w:rPr>
          <w:rFonts w:hint="eastAsia" w:ascii="宋体" w:hAnsi="宋体" w:eastAsia="宋体" w:cs="宋体"/>
          <w:color w:val="auto"/>
          <w:kern w:val="0"/>
          <w:sz w:val="24"/>
          <w:highlight w:val="none"/>
          <w:u w:val="single"/>
        </w:rPr>
        <w:t xml:space="preserve">按通用条款 </w:t>
      </w:r>
    </w:p>
    <w:p w14:paraId="24A8171A">
      <w:pPr>
        <w:pStyle w:val="116"/>
        <w:spacing w:line="360" w:lineRule="auto"/>
        <w:ind w:firstLine="480" w:firstLineChars="200"/>
        <w:jc w:val="both"/>
        <w:outlineLvl w:val="9"/>
        <w:rPr>
          <w:rFonts w:hint="eastAsia" w:ascii="宋体" w:hAnsi="宋体" w:eastAsia="宋体" w:cs="宋体"/>
          <w:color w:val="auto"/>
          <w:highlight w:val="none"/>
        </w:rPr>
      </w:pPr>
      <w:bookmarkStart w:id="260" w:name="_Toc287628058"/>
      <w:r>
        <w:rPr>
          <w:rFonts w:hint="eastAsia" w:ascii="宋体" w:hAnsi="宋体" w:eastAsia="宋体" w:cs="宋体"/>
          <w:color w:val="auto"/>
          <w:highlight w:val="none"/>
        </w:rPr>
        <w:t>50．材料和工程设备的检验试验</w:t>
      </w:r>
      <w:bookmarkEnd w:id="260"/>
    </w:p>
    <w:p w14:paraId="4753AAAC">
      <w:pPr>
        <w:spacing w:line="480" w:lineRule="atLeast"/>
        <w:ind w:firstLine="120" w:firstLineChars="50"/>
        <w:rPr>
          <w:rFonts w:hint="default" w:ascii="仿宋" w:hAnsi="仿宋" w:eastAsia="宋体" w:cs="仿宋"/>
          <w:color w:val="auto"/>
          <w:kern w:val="0"/>
          <w:sz w:val="24"/>
          <w:highlight w:val="none"/>
          <w:lang w:val="en-US" w:eastAsia="zh-CN"/>
        </w:rPr>
      </w:pPr>
      <w:r>
        <w:rPr>
          <w:rFonts w:hint="eastAsia" w:ascii="宋体" w:hAnsi="宋体" w:eastAsia="宋体" w:cs="宋体"/>
          <w:color w:val="auto"/>
          <w:kern w:val="0"/>
          <w:sz w:val="24"/>
          <w:highlight w:val="none"/>
        </w:rPr>
        <w:t>5</w:t>
      </w:r>
      <w:r>
        <w:rPr>
          <w:rFonts w:hint="eastAsia" w:ascii="宋体" w:hAnsi="宋体" w:eastAsia="宋体" w:cs="宋体"/>
          <w:color w:val="auto"/>
          <w:spacing w:val="1"/>
          <w:kern w:val="0"/>
          <w:sz w:val="24"/>
          <w:highlight w:val="none"/>
          <w:u w:val="single"/>
        </w:rPr>
        <w:t>0.2  材料和工程设备的检验试验的种类和地点</w:t>
      </w:r>
    </w:p>
    <w:p w14:paraId="18604726">
      <w:pPr>
        <w:spacing w:line="480" w:lineRule="atLeast"/>
        <w:ind w:firstLine="121" w:firstLineChars="50"/>
        <w:rPr>
          <w:rFonts w:hint="eastAsia" w:ascii="宋体" w:hAnsi="宋体" w:eastAsia="宋体" w:cs="宋体"/>
          <w:color w:val="auto"/>
          <w:spacing w:val="1"/>
          <w:kern w:val="0"/>
          <w:sz w:val="24"/>
          <w:highlight w:val="none"/>
          <w:u w:val="single"/>
        </w:rPr>
      </w:pPr>
      <w:r>
        <w:rPr>
          <w:rFonts w:hint="eastAsia" w:ascii="宋体" w:hAnsi="宋体" w:eastAsia="宋体" w:cs="宋体"/>
          <w:color w:val="auto"/>
          <w:spacing w:val="1"/>
          <w:kern w:val="0"/>
          <w:sz w:val="24"/>
          <w:highlight w:val="none"/>
          <w:u w:val="single"/>
        </w:rPr>
        <w:t>（1） 种类：所使用原材料、成品、半成品必须附有材料合格证和材质鉴定单据，所有使用原材料，成品、半成品及现场制作成品、半成品</w:t>
      </w:r>
    </w:p>
    <w:p w14:paraId="3B303876">
      <w:pPr>
        <w:spacing w:line="480" w:lineRule="atLeast"/>
        <w:ind w:firstLine="121" w:firstLineChars="50"/>
        <w:rPr>
          <w:rFonts w:hint="eastAsia" w:ascii="宋体" w:hAnsi="宋体" w:eastAsia="宋体" w:cs="宋体"/>
          <w:color w:val="auto"/>
          <w:spacing w:val="1"/>
          <w:kern w:val="0"/>
          <w:sz w:val="24"/>
          <w:highlight w:val="none"/>
          <w:u w:val="single"/>
        </w:rPr>
      </w:pPr>
      <w:r>
        <w:rPr>
          <w:rFonts w:hint="eastAsia" w:ascii="宋体" w:hAnsi="宋体" w:eastAsia="宋体" w:cs="宋体"/>
          <w:color w:val="auto"/>
          <w:spacing w:val="1"/>
          <w:kern w:val="0"/>
          <w:sz w:val="24"/>
          <w:highlight w:val="none"/>
          <w:u w:val="single"/>
        </w:rPr>
        <w:t>（2） 检测机构：全部按见证采样要求由现场监理人员见证取样送</w:t>
      </w:r>
      <w:r>
        <w:rPr>
          <w:rFonts w:hint="eastAsia" w:ascii="宋体" w:hAnsi="宋体" w:eastAsia="宋体" w:cs="宋体"/>
          <w:color w:val="auto"/>
          <w:spacing w:val="1"/>
          <w:kern w:val="0"/>
          <w:sz w:val="24"/>
          <w:highlight w:val="none"/>
          <w:u w:val="single"/>
          <w:lang w:val="en-US" w:eastAsia="zh-CN"/>
        </w:rPr>
        <w:t>甲方委托的检验监测单位</w:t>
      </w:r>
      <w:r>
        <w:rPr>
          <w:rFonts w:hint="eastAsia" w:ascii="宋体" w:hAnsi="宋体" w:eastAsia="宋体" w:cs="宋体"/>
          <w:color w:val="auto"/>
          <w:spacing w:val="1"/>
          <w:kern w:val="0"/>
          <w:sz w:val="24"/>
          <w:highlight w:val="none"/>
          <w:u w:val="single"/>
        </w:rPr>
        <w:t>，检验结果经监理工程师和甲方认可后才可以使用，检验费用由乙方承担。</w:t>
      </w:r>
    </w:p>
    <w:p w14:paraId="2340E46E">
      <w:pPr>
        <w:spacing w:line="480" w:lineRule="atLeast"/>
        <w:ind w:firstLine="121" w:firstLineChars="50"/>
        <w:rPr>
          <w:rFonts w:hint="eastAsia" w:ascii="宋体" w:hAnsi="宋体" w:eastAsia="宋体" w:cs="宋体"/>
          <w:color w:val="auto"/>
          <w:spacing w:val="1"/>
          <w:kern w:val="0"/>
          <w:sz w:val="24"/>
          <w:highlight w:val="none"/>
          <w:u w:val="single"/>
        </w:rPr>
      </w:pPr>
      <w:r>
        <w:rPr>
          <w:rFonts w:hint="eastAsia" w:ascii="宋体" w:hAnsi="宋体" w:eastAsia="宋体" w:cs="宋体"/>
          <w:color w:val="auto"/>
          <w:spacing w:val="1"/>
          <w:kern w:val="0"/>
          <w:sz w:val="24"/>
          <w:highlight w:val="none"/>
          <w:u w:val="single"/>
        </w:rPr>
        <w:t>（3）乙方需配合由甲方委托的桩基、结构实体及其他材料（如有）检测等检测项目的检测工作，负责按检测单位要求提供道路、水源、电源、脚手架、场地、钻芯孔回灌封闭所需的材料、大型检测设备的土建配合费以及相关预埋件的埋设、结构实体检测后的恢复工作等准备、配合工作，所发生相关费用由乙方包干负责，有关费用已包含在本合同总价款内。</w:t>
      </w:r>
    </w:p>
    <w:p w14:paraId="25E6F0F7">
      <w:pPr>
        <w:spacing w:line="480" w:lineRule="atLeast"/>
        <w:ind w:firstLine="121" w:firstLineChars="50"/>
        <w:rPr>
          <w:rFonts w:hint="eastAsia" w:ascii="宋体" w:hAnsi="宋体" w:eastAsia="宋体" w:cs="宋体"/>
          <w:color w:val="auto"/>
          <w:spacing w:val="1"/>
          <w:kern w:val="0"/>
          <w:sz w:val="24"/>
          <w:highlight w:val="none"/>
          <w:u w:val="single"/>
        </w:rPr>
      </w:pPr>
      <w:r>
        <w:rPr>
          <w:rFonts w:hint="eastAsia" w:ascii="宋体" w:hAnsi="宋体" w:eastAsia="宋体" w:cs="宋体"/>
          <w:color w:val="auto"/>
          <w:spacing w:val="1"/>
          <w:kern w:val="0"/>
          <w:sz w:val="24"/>
          <w:highlight w:val="none"/>
          <w:u w:val="single"/>
        </w:rPr>
        <w:t>（4）乙方提供有关该工程检测所需的相关工程技术资料；现场保障足够的安全措施，符合安全施工要求，保障检测人员及设备的安全；协助检测单位的检测设备进退场，包括但不限于提供场内小型机械设备吊运，安排专人协助检测单位主要检测设备场内搬运等，安排必须的人员配合检测单位工作；负责协调相关方的关系，及时解决现场检测作业时与相关方产生的矛盾。对由于未能协调好相关方关系而影响检测工作的顺利进行，造成相应的经济损失承担责任。乙方在收到进场检测通知后，根据检测单位要求做好配合工作，包括且不限于：提供场地、水、电、检测用梯子、门式架，修筑满足检测要求的临时施工便道、检测用反力板、桩帽，做好挖土方、换填、凿（磨）桩头处理、排水等工作；检测过程中可能造成桩头钢筋、砖胎模、垫层、承台钢筋等损坏，乙方负责修复。乙方对有关该工程检测所需的相关工程技术资料及配合所发生相关费用由乙方负责，所产生的费用已包含在本合同总价款内。</w:t>
      </w:r>
    </w:p>
    <w:p w14:paraId="6B90376F">
      <w:pPr>
        <w:spacing w:line="480" w:lineRule="atLeast"/>
        <w:ind w:firstLine="121" w:firstLineChars="50"/>
        <w:rPr>
          <w:rFonts w:hint="eastAsia" w:ascii="宋体" w:hAnsi="宋体" w:eastAsia="宋体" w:cs="宋体"/>
          <w:color w:val="auto"/>
          <w:spacing w:val="1"/>
          <w:kern w:val="0"/>
          <w:sz w:val="24"/>
          <w:highlight w:val="none"/>
          <w:u w:val="single"/>
        </w:rPr>
      </w:pPr>
      <w:r>
        <w:rPr>
          <w:rFonts w:hint="eastAsia" w:ascii="宋体" w:hAnsi="宋体" w:eastAsia="宋体" w:cs="宋体"/>
          <w:color w:val="auto"/>
          <w:spacing w:val="1"/>
          <w:kern w:val="0"/>
          <w:sz w:val="24"/>
          <w:highlight w:val="none"/>
          <w:u w:val="single"/>
        </w:rPr>
        <w:t>（5）检测单位开展的检测工作不免除乙方平行检测的义务，造成质量安全事故或致使事故损失扩大的，由乙方承担相应的法律责任，甲方保留索赔及解除合同的权利，所发生的相关费用由乙方包干负责，且相关费用已包含在合同总价款内。</w:t>
      </w:r>
    </w:p>
    <w:p w14:paraId="19B4DD97">
      <w:pPr>
        <w:adjustRightInd w:val="0"/>
        <w:spacing w:line="360" w:lineRule="auto"/>
        <w:ind w:firstLine="484" w:firstLineChars="200"/>
        <w:rPr>
          <w:rFonts w:hint="eastAsia" w:ascii="宋体" w:hAnsi="宋体" w:eastAsia="宋体" w:cs="宋体"/>
          <w:color w:val="auto"/>
          <w:spacing w:val="1"/>
          <w:kern w:val="0"/>
          <w:sz w:val="24"/>
          <w:highlight w:val="none"/>
          <w:u w:val="single"/>
        </w:rPr>
      </w:pPr>
      <w:bookmarkStart w:id="261" w:name="OLE_LINK4"/>
      <w:r>
        <w:rPr>
          <w:rFonts w:hint="eastAsia" w:ascii="宋体" w:hAnsi="宋体" w:eastAsia="宋体" w:cs="宋体"/>
          <w:color w:val="auto"/>
          <w:spacing w:val="1"/>
          <w:kern w:val="0"/>
          <w:sz w:val="24"/>
          <w:highlight w:val="none"/>
          <w:u w:val="single"/>
        </w:rPr>
        <w:t>50.4  材料和工程设备的检验试验费用：</w:t>
      </w:r>
    </w:p>
    <w:p w14:paraId="3DF4011B">
      <w:pPr>
        <w:spacing w:line="360" w:lineRule="auto"/>
        <w:ind w:firstLine="484" w:firstLineChars="200"/>
        <w:rPr>
          <w:rFonts w:hint="eastAsia" w:ascii="宋体" w:hAnsi="宋体" w:eastAsia="宋体" w:cs="宋体"/>
          <w:color w:val="auto"/>
          <w:spacing w:val="1"/>
          <w:kern w:val="0"/>
          <w:sz w:val="24"/>
          <w:highlight w:val="none"/>
          <w:u w:val="single"/>
        </w:rPr>
      </w:pPr>
      <w:r>
        <w:rPr>
          <w:rFonts w:hint="eastAsia" w:ascii="宋体" w:hAnsi="宋体" w:eastAsia="宋体" w:cs="宋体"/>
          <w:color w:val="auto"/>
          <w:spacing w:val="1"/>
          <w:kern w:val="0"/>
          <w:sz w:val="24"/>
          <w:highlight w:val="none"/>
          <w:u w:val="single"/>
        </w:rPr>
        <w:t>■ 按通用条款规定。</w:t>
      </w:r>
    </w:p>
    <w:p w14:paraId="2104B308">
      <w:pPr>
        <w:adjustRightInd w:val="0"/>
        <w:spacing w:line="360" w:lineRule="auto"/>
        <w:ind w:firstLine="484" w:firstLineChars="200"/>
        <w:rPr>
          <w:rFonts w:hint="eastAsia" w:ascii="宋体" w:hAnsi="宋体" w:eastAsia="宋体" w:cs="宋体"/>
          <w:color w:val="auto"/>
          <w:spacing w:val="1"/>
          <w:kern w:val="0"/>
          <w:sz w:val="24"/>
          <w:highlight w:val="none"/>
          <w:u w:val="single"/>
        </w:rPr>
      </w:pPr>
      <w:r>
        <w:rPr>
          <w:rFonts w:hint="eastAsia" w:ascii="宋体" w:hAnsi="宋体" w:eastAsia="宋体" w:cs="宋体"/>
          <w:color w:val="auto"/>
          <w:spacing w:val="1"/>
          <w:kern w:val="0"/>
          <w:sz w:val="24"/>
          <w:highlight w:val="none"/>
          <w:u w:val="single"/>
        </w:rPr>
        <w:t>■ 补充约定：</w:t>
      </w:r>
    </w:p>
    <w:p w14:paraId="4220FC09">
      <w:pPr>
        <w:pStyle w:val="116"/>
        <w:spacing w:line="360" w:lineRule="auto"/>
        <w:ind w:firstLine="484" w:firstLineChars="200"/>
        <w:jc w:val="both"/>
        <w:outlineLvl w:val="9"/>
        <w:rPr>
          <w:rFonts w:hint="eastAsia" w:ascii="宋体" w:hAnsi="宋体" w:eastAsia="宋体" w:cs="宋体"/>
          <w:color w:val="auto"/>
          <w:highlight w:val="none"/>
        </w:rPr>
      </w:pPr>
      <w:r>
        <w:rPr>
          <w:rFonts w:hint="eastAsia" w:ascii="宋体" w:hAnsi="宋体" w:eastAsia="宋体" w:cs="宋体"/>
          <w:bCs w:val="0"/>
          <w:color w:val="auto"/>
          <w:spacing w:val="1"/>
          <w:position w:val="0"/>
          <w:szCs w:val="24"/>
          <w:highlight w:val="none"/>
          <w:u w:val="single"/>
        </w:rPr>
        <w:t>（1）当上级主管部门或质量安全监督部门提出对工程检测复检要求时，乙方应予以配合，检测结果合格的费用由甲方承担，检测结果不合格的，检测费用由乙方承担。</w:t>
      </w:r>
      <w:bookmarkEnd w:id="261"/>
    </w:p>
    <w:p w14:paraId="10D9302B">
      <w:pPr>
        <w:pStyle w:val="116"/>
        <w:spacing w:line="360" w:lineRule="auto"/>
        <w:ind w:firstLine="480" w:firstLineChars="200"/>
        <w:jc w:val="both"/>
        <w:outlineLvl w:val="9"/>
        <w:rPr>
          <w:rFonts w:hint="eastAsia" w:ascii="宋体" w:hAnsi="宋体" w:eastAsia="宋体" w:cs="宋体"/>
          <w:color w:val="auto"/>
          <w:highlight w:val="none"/>
        </w:rPr>
      </w:pPr>
      <w:bookmarkStart w:id="262" w:name="_Toc287628059"/>
      <w:r>
        <w:rPr>
          <w:rFonts w:hint="eastAsia" w:ascii="宋体" w:hAnsi="宋体" w:eastAsia="宋体" w:cs="宋体"/>
          <w:color w:val="auto"/>
          <w:highlight w:val="none"/>
        </w:rPr>
        <w:t>51．施工设备和临时设施</w:t>
      </w:r>
      <w:bookmarkEnd w:id="262"/>
    </w:p>
    <w:p w14:paraId="6124C21B">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51.1 乙方配置施工设备和临时设施</w:t>
      </w:r>
    </w:p>
    <w:p w14:paraId="33CE98CF">
      <w:pPr>
        <w:autoSpaceDE w:val="0"/>
        <w:autoSpaceDN w:val="0"/>
        <w:adjustRightInd w:val="0"/>
        <w:spacing w:line="360" w:lineRule="auto"/>
        <w:ind w:firstLine="480" w:firstLineChars="200"/>
        <w:rPr>
          <w:rFonts w:hint="eastAsia"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 按通用条款规定，乙方承担修建临时设施的费用。</w:t>
      </w:r>
    </w:p>
    <w:p w14:paraId="7AC60584">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spacing w:val="1"/>
          <w:kern w:val="0"/>
          <w:sz w:val="24"/>
          <w:highlight w:val="none"/>
        </w:rPr>
        <w:t xml:space="preserve"> 另作约定：</w:t>
      </w:r>
      <w:r>
        <w:rPr>
          <w:rFonts w:hint="eastAsia" w:ascii="仿宋" w:hAnsi="仿宋" w:eastAsia="仿宋" w:cs="仿宋"/>
          <w:color w:val="auto"/>
          <w:kern w:val="0"/>
          <w:sz w:val="24"/>
          <w:highlight w:val="none"/>
        </w:rPr>
        <w:t>▲</w:t>
      </w:r>
      <w:r>
        <w:rPr>
          <w:rFonts w:hint="eastAsia" w:ascii="宋体" w:hAnsi="宋体" w:eastAsia="宋体" w:cs="宋体"/>
          <w:color w:val="auto"/>
          <w:spacing w:val="1"/>
          <w:kern w:val="0"/>
          <w:sz w:val="24"/>
          <w:highlight w:val="none"/>
          <w:u w:val="single"/>
        </w:rPr>
        <w:t>乙方自行承担修建临时设施的费用，</w:t>
      </w:r>
      <w:r>
        <w:rPr>
          <w:rFonts w:hint="eastAsia" w:ascii="宋体" w:hAnsi="宋体" w:eastAsia="宋体" w:cs="宋体"/>
          <w:color w:val="auto"/>
          <w:spacing w:val="1"/>
          <w:kern w:val="0"/>
          <w:sz w:val="24"/>
          <w:highlight w:val="none"/>
          <w:u w:val="single"/>
          <w:lang w:val="en-US" w:eastAsia="zh-CN"/>
        </w:rPr>
        <w:t>提供满足项目整体施工完成所需的临水临电污水设施、大型机械（如塔吊、人货梯、外脚手架等）、安全防护，</w:t>
      </w:r>
      <w:r>
        <w:rPr>
          <w:rFonts w:hint="eastAsia" w:ascii="宋体" w:hAnsi="宋体" w:eastAsia="宋体" w:cs="宋体"/>
          <w:color w:val="auto"/>
          <w:spacing w:val="1"/>
          <w:kern w:val="0"/>
          <w:sz w:val="24"/>
          <w:highlight w:val="none"/>
          <w:u w:val="single"/>
        </w:rPr>
        <w:t>需要临时占地的，由乙方办理申请手续并承担相应费用，甲方予以协助。工程施工过程中，因项目建设需要发生临时设施临迁的，由乙方承担全部费用，甲方不承担任何费用。</w:t>
      </w:r>
    </w:p>
    <w:p w14:paraId="21E2A20F">
      <w:pPr>
        <w:autoSpaceDE w:val="0"/>
        <w:autoSpaceDN w:val="0"/>
        <w:adjustRightInd w:val="0"/>
        <w:spacing w:line="360" w:lineRule="auto"/>
        <w:ind w:firstLine="48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highlight w:val="none"/>
        </w:rPr>
        <w:t>51.2 甲方提供的施工设备和临时设施：</w:t>
      </w:r>
      <w:r>
        <w:rPr>
          <w:rFonts w:hint="eastAsia" w:ascii="宋体" w:hAnsi="宋体" w:eastAsia="宋体" w:cs="宋体"/>
          <w:color w:val="auto"/>
          <w:kern w:val="0"/>
          <w:sz w:val="24"/>
          <w:highlight w:val="none"/>
          <w:u w:val="single"/>
        </w:rPr>
        <w:t>无</w:t>
      </w:r>
    </w:p>
    <w:p w14:paraId="1C697E59">
      <w:pPr>
        <w:pStyle w:val="116"/>
        <w:spacing w:line="360" w:lineRule="auto"/>
        <w:ind w:firstLine="480" w:firstLineChars="200"/>
        <w:jc w:val="both"/>
        <w:outlineLvl w:val="9"/>
        <w:rPr>
          <w:rFonts w:hint="eastAsia" w:ascii="宋体" w:hAnsi="宋体" w:eastAsia="宋体" w:cs="宋体"/>
          <w:color w:val="auto"/>
          <w:highlight w:val="none"/>
        </w:rPr>
      </w:pPr>
      <w:bookmarkStart w:id="263" w:name="_Toc287628060"/>
      <w:r>
        <w:rPr>
          <w:rFonts w:hint="eastAsia" w:ascii="宋体" w:hAnsi="宋体" w:eastAsia="宋体" w:cs="宋体"/>
          <w:color w:val="auto"/>
          <w:highlight w:val="none"/>
        </w:rPr>
        <w:t>52 工程质量检查</w:t>
      </w:r>
      <w:bookmarkEnd w:id="263"/>
    </w:p>
    <w:p w14:paraId="0E75657F">
      <w:pPr>
        <w:autoSpaceDE w:val="0"/>
        <w:autoSpaceDN w:val="0"/>
        <w:adjustRightInd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52.2 本条增加以下内容：乙方在施工过程中，应及时对关键工序和隐蔽部位在施工前、施工中、施工后的典型阶段进行拍照留存。在工程竣工验收时，应向甲方完整提供每一个施工对象的同一角度、同一位置的施工前、施工中、施工后的彩色对比照片（同时提供电子文件）。</w:t>
      </w:r>
    </w:p>
    <w:p w14:paraId="2D1A69A5">
      <w:pPr>
        <w:autoSpaceDE w:val="0"/>
        <w:autoSpaceDN w:val="0"/>
        <w:adjustRightInd w:val="0"/>
        <w:spacing w:line="360" w:lineRule="auto"/>
        <w:ind w:firstLine="480" w:firstLineChars="200"/>
        <w:rPr>
          <w:rFonts w:hint="eastAsia" w:ascii="宋体" w:hAnsi="宋体" w:eastAsia="宋体" w:cs="宋体"/>
          <w:color w:val="auto"/>
          <w:kern w:val="0"/>
          <w:sz w:val="24"/>
          <w:highlight w:val="none"/>
          <w:u w:val="single"/>
        </w:rPr>
      </w:pPr>
      <w:bookmarkStart w:id="264" w:name="_Hlk52203080"/>
      <w:r>
        <w:rPr>
          <w:rFonts w:hint="eastAsia" w:ascii="宋体" w:hAnsi="宋体" w:eastAsia="宋体" w:cs="宋体"/>
          <w:color w:val="auto"/>
          <w:kern w:val="0"/>
          <w:sz w:val="24"/>
          <w:highlight w:val="none"/>
          <w:u w:val="single"/>
        </w:rPr>
        <w:t>52.6</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双方有质量争议时，由番禺区建设工程质量监督机构调解。</w:t>
      </w:r>
    </w:p>
    <w:p w14:paraId="61EC5BE2">
      <w:pPr>
        <w:autoSpaceDE w:val="0"/>
        <w:autoSpaceDN w:val="0"/>
        <w:adjustRightInd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因承包人责任过失造成的工程质量问题，由承包人负责无偿进行返工、加固或补强至合格，工期不予顺延；同时，承包人还须按</w:t>
      </w:r>
      <w:r>
        <w:rPr>
          <w:rFonts w:hint="eastAsia" w:ascii="宋体" w:hAnsi="宋体" w:eastAsia="宋体" w:cs="宋体"/>
          <w:color w:val="auto"/>
          <w:kern w:val="0"/>
          <w:sz w:val="24"/>
          <w:highlight w:val="none"/>
          <w:u w:val="single"/>
          <w:lang w:val="en-US" w:eastAsia="zh-CN"/>
        </w:rPr>
        <w:t>每期</w:t>
      </w:r>
      <w:r>
        <w:rPr>
          <w:rFonts w:hint="eastAsia" w:ascii="宋体" w:hAnsi="宋体" w:eastAsia="宋体" w:cs="宋体"/>
          <w:color w:val="auto"/>
          <w:kern w:val="0"/>
          <w:sz w:val="24"/>
          <w:highlight w:val="none"/>
          <w:u w:val="single"/>
        </w:rPr>
        <w:t>合同价款的</w:t>
      </w:r>
      <w:r>
        <w:rPr>
          <w:rFonts w:hint="eastAsia" w:ascii="宋体" w:hAnsi="宋体" w:eastAsia="宋体" w:cs="宋体"/>
          <w:color w:val="auto"/>
          <w:kern w:val="0"/>
          <w:sz w:val="24"/>
          <w:highlight w:val="none"/>
          <w:u w:val="single"/>
          <w:lang w:val="en-US" w:eastAsia="zh-CN"/>
        </w:rPr>
        <w:t>5</w:t>
      </w:r>
      <w:r>
        <w:rPr>
          <w:rFonts w:hint="eastAsia" w:ascii="宋体" w:hAnsi="宋体" w:eastAsia="宋体" w:cs="宋体"/>
          <w:color w:val="auto"/>
          <w:kern w:val="0"/>
          <w:sz w:val="24"/>
          <w:highlight w:val="none"/>
          <w:u w:val="single"/>
        </w:rPr>
        <w:t>%向发包人缴纳违约金，该违约金不足以弥补发包人的实际损失的，承包人还须承担赔偿责任。</w:t>
      </w:r>
    </w:p>
    <w:bookmarkEnd w:id="264"/>
    <w:p w14:paraId="67AAACDB">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bookmarkStart w:id="265" w:name="_Toc287628061"/>
      <w:r>
        <w:rPr>
          <w:rFonts w:hint="eastAsia" w:ascii="宋体" w:hAnsi="宋体" w:eastAsia="宋体" w:cs="宋体"/>
          <w:color w:val="auto"/>
          <w:kern w:val="0"/>
          <w:sz w:val="24"/>
          <w:highlight w:val="none"/>
        </w:rPr>
        <w:t>53．隐蔽工程和中间验收</w:t>
      </w:r>
      <w:bookmarkEnd w:id="265"/>
    </w:p>
    <w:p w14:paraId="1ED07844">
      <w:pPr>
        <w:autoSpaceDE w:val="0"/>
        <w:autoSpaceDN w:val="0"/>
        <w:adjustRightInd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53.1 中间验收的部位有：</w:t>
      </w:r>
      <w:r>
        <w:rPr>
          <w:rFonts w:hint="eastAsia" w:ascii="宋体" w:hAnsi="宋体" w:eastAsia="宋体" w:cs="宋体"/>
          <w:color w:val="auto"/>
          <w:kern w:val="0"/>
          <w:sz w:val="24"/>
          <w:highlight w:val="none"/>
          <w:u w:val="single"/>
        </w:rPr>
        <w:t>按工程验收规定，属隐蔽工程的由双方验收签证。</w:t>
      </w:r>
    </w:p>
    <w:p w14:paraId="48F173ED">
      <w:pPr>
        <w:pStyle w:val="116"/>
        <w:spacing w:line="360" w:lineRule="auto"/>
        <w:ind w:firstLine="480" w:firstLineChars="200"/>
        <w:jc w:val="both"/>
        <w:outlineLvl w:val="9"/>
        <w:rPr>
          <w:rFonts w:hint="eastAsia" w:ascii="宋体" w:hAnsi="宋体" w:eastAsia="宋体" w:cs="宋体"/>
          <w:color w:val="auto"/>
          <w:highlight w:val="none"/>
        </w:rPr>
      </w:pPr>
      <w:bookmarkStart w:id="266" w:name="_Toc287628062"/>
      <w:r>
        <w:rPr>
          <w:rFonts w:hint="eastAsia" w:ascii="宋体" w:hAnsi="宋体" w:eastAsia="宋体" w:cs="宋体"/>
          <w:color w:val="auto"/>
          <w:highlight w:val="none"/>
        </w:rPr>
        <w:t>55．工程试车</w:t>
      </w:r>
      <w:bookmarkEnd w:id="266"/>
    </w:p>
    <w:p w14:paraId="3CBCB650">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55.1 试车内容</w:t>
      </w:r>
    </w:p>
    <w:p w14:paraId="12B8DCCE">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不需要试车的，本条不适用。</w:t>
      </w:r>
    </w:p>
    <w:p w14:paraId="398C41EC">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需要试车的，试车的内容和要求：</w:t>
      </w:r>
    </w:p>
    <w:p w14:paraId="0144FE5D">
      <w:pPr>
        <w:pStyle w:val="116"/>
        <w:spacing w:line="360" w:lineRule="auto"/>
        <w:ind w:firstLine="480" w:firstLineChars="200"/>
        <w:jc w:val="both"/>
        <w:outlineLvl w:val="9"/>
        <w:rPr>
          <w:rFonts w:hint="eastAsia" w:ascii="宋体" w:hAnsi="宋体" w:eastAsia="宋体" w:cs="宋体"/>
          <w:color w:val="auto"/>
          <w:highlight w:val="none"/>
        </w:rPr>
      </w:pPr>
      <w:bookmarkStart w:id="267" w:name="_Toc287628063"/>
      <w:r>
        <w:rPr>
          <w:rFonts w:hint="eastAsia" w:ascii="宋体" w:hAnsi="宋体" w:eastAsia="宋体" w:cs="宋体"/>
          <w:color w:val="auto"/>
          <w:highlight w:val="none"/>
        </w:rPr>
        <w:t>56．工程变更</w:t>
      </w:r>
      <w:bookmarkEnd w:id="267"/>
    </w:p>
    <w:p w14:paraId="17668CC1">
      <w:pPr>
        <w:tabs>
          <w:tab w:val="left" w:pos="1360"/>
        </w:tabs>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56.4 承包人提出工程变更建议</w:t>
      </w:r>
    </w:p>
    <w:p w14:paraId="0E4AC3DE">
      <w:pPr>
        <w:autoSpaceDE w:val="0"/>
        <w:autoSpaceDN w:val="0"/>
        <w:adjustRightInd w:val="0"/>
        <w:spacing w:line="360" w:lineRule="auto"/>
        <w:ind w:firstLine="480" w:firstLineChars="20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 xml:space="preserve">   发包人采纳承包人建议带来利益的计奖方法： /</w:t>
      </w:r>
    </w:p>
    <w:p w14:paraId="4B24F2C4">
      <w:pPr>
        <w:pStyle w:val="116"/>
        <w:spacing w:line="360" w:lineRule="auto"/>
        <w:ind w:firstLine="480" w:firstLineChars="200"/>
        <w:jc w:val="both"/>
        <w:outlineLvl w:val="9"/>
        <w:rPr>
          <w:rFonts w:hint="eastAsia" w:ascii="宋体" w:hAnsi="宋体" w:eastAsia="宋体" w:cs="宋体"/>
          <w:color w:val="auto"/>
          <w:highlight w:val="none"/>
        </w:rPr>
      </w:pPr>
      <w:bookmarkStart w:id="268" w:name="_Toc287628064"/>
      <w:r>
        <w:rPr>
          <w:rFonts w:hint="eastAsia" w:ascii="宋体" w:hAnsi="宋体" w:eastAsia="宋体" w:cs="宋体"/>
          <w:color w:val="auto"/>
          <w:highlight w:val="none"/>
        </w:rPr>
        <w:t>57、竣工验收条件</w:t>
      </w:r>
      <w:bookmarkEnd w:id="268"/>
    </w:p>
    <w:p w14:paraId="6A02861D">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57.1补充：</w:t>
      </w:r>
    </w:p>
    <w:p w14:paraId="24E8E54B">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（6）竣工资料</w:t>
      </w:r>
    </w:p>
    <w:p w14:paraId="48915EA2">
      <w:pPr>
        <w:autoSpaceDE w:val="0"/>
        <w:autoSpaceDN w:val="0"/>
        <w:adjustRightInd w:val="0"/>
        <w:spacing w:line="360" w:lineRule="auto"/>
        <w:ind w:firstLine="480" w:firstLineChars="200"/>
        <w:rPr>
          <w:rFonts w:hint="eastAsia" w:ascii="宋体" w:hAnsi="宋体" w:eastAsia="宋体" w:cs="宋体"/>
          <w:color w:val="auto"/>
          <w:kern w:val="0"/>
          <w:sz w:val="24"/>
          <w:highlight w:val="none"/>
          <w:u w:val="single"/>
        </w:rPr>
      </w:pPr>
      <w:r>
        <w:rPr>
          <w:rFonts w:hint="eastAsia" w:ascii="仿宋" w:hAnsi="仿宋" w:eastAsia="仿宋" w:cs="仿宋"/>
          <w:color w:val="auto"/>
          <w:kern w:val="0"/>
          <w:sz w:val="24"/>
          <w:highlight w:val="none"/>
        </w:rPr>
        <w:t>▲</w:t>
      </w:r>
      <w:r>
        <w:rPr>
          <w:rFonts w:hint="eastAsia" w:ascii="宋体" w:hAnsi="宋体" w:eastAsia="宋体" w:cs="宋体"/>
          <w:color w:val="auto"/>
          <w:kern w:val="0"/>
          <w:sz w:val="24"/>
          <w:highlight w:val="none"/>
          <w:u w:val="single"/>
        </w:rPr>
        <w:t>按《城市建设档案管理规定》、《广州市城市建设档案管理办法》、《广州市建筑工程文件整理及档案移交规定》、《广州市建设工程档案编制指南》等国家、省、市档案管理规定及甲方对档案资料的具体要求，乙方负责对竣工资料进行收集、整理、组卷、编制目录、汇总和管理。</w:t>
      </w:r>
    </w:p>
    <w:p w14:paraId="3220511C">
      <w:pPr>
        <w:adjustRightInd w:val="0"/>
        <w:spacing w:line="360" w:lineRule="auto"/>
        <w:ind w:firstLine="420" w:firstLineChars="200"/>
        <w:rPr>
          <w:rFonts w:hint="eastAsia" w:ascii="宋体" w:hAnsi="宋体" w:eastAsia="宋体" w:cs="宋体"/>
          <w:color w:val="auto"/>
          <w:highlight w:val="none"/>
        </w:rPr>
      </w:pPr>
      <w:bookmarkStart w:id="269" w:name="_Toc287628065"/>
    </w:p>
    <w:p w14:paraId="26FD36FC">
      <w:pPr>
        <w:pStyle w:val="116"/>
        <w:spacing w:line="360" w:lineRule="auto"/>
        <w:jc w:val="both"/>
        <w:outlineLvl w:val="9"/>
        <w:rPr>
          <w:rFonts w:hint="eastAsia" w:ascii="宋体" w:hAnsi="宋体" w:eastAsia="宋体" w:cs="宋体"/>
          <w:color w:val="auto"/>
          <w:highlight w:val="none"/>
        </w:rPr>
      </w:pPr>
      <w:r>
        <w:rPr>
          <w:rFonts w:hint="eastAsia" w:ascii="宋体" w:hAnsi="宋体" w:eastAsia="宋体" w:cs="宋体"/>
          <w:b/>
          <w:bCs w:val="0"/>
          <w:color w:val="auto"/>
          <w:szCs w:val="24"/>
          <w:highlight w:val="none"/>
        </w:rPr>
        <w:t>★</w:t>
      </w:r>
      <w:r>
        <w:rPr>
          <w:rFonts w:hint="eastAsia" w:ascii="宋体" w:hAnsi="宋体" w:eastAsia="宋体" w:cs="宋体"/>
          <w:color w:val="auto"/>
          <w:highlight w:val="none"/>
        </w:rPr>
        <w:t>58．竣工验收</w:t>
      </w:r>
      <w:bookmarkEnd w:id="269"/>
    </w:p>
    <w:p w14:paraId="7CB8C382">
      <w:pPr>
        <w:tabs>
          <w:tab w:val="left" w:pos="1360"/>
        </w:tabs>
        <w:autoSpaceDE w:val="0"/>
        <w:autoSpaceDN w:val="0"/>
        <w:adjustRightInd w:val="0"/>
        <w:spacing w:line="360" w:lineRule="auto"/>
        <w:ind w:firstLine="482" w:firstLineChars="200"/>
        <w:rPr>
          <w:rFonts w:hint="eastAsia" w:ascii="宋体" w:hAnsi="宋体" w:eastAsia="宋体" w:cs="宋体"/>
          <w:color w:val="auto"/>
          <w:kern w:val="0"/>
          <w:sz w:val="24"/>
          <w:highlight w:val="none"/>
        </w:rPr>
      </w:pPr>
      <w:r>
        <w:rPr>
          <w:rFonts w:hint="eastAsia" w:ascii="宋体" w:hAnsi="宋体" w:eastAsia="宋体" w:cs="宋体"/>
          <w:b/>
          <w:bCs/>
          <w:color w:val="auto"/>
          <w:sz w:val="24"/>
          <w:highlight w:val="none"/>
        </w:rPr>
        <w:t>★</w:t>
      </w:r>
      <w:r>
        <w:rPr>
          <w:rFonts w:hint="eastAsia" w:ascii="宋体" w:hAnsi="宋体" w:eastAsia="宋体" w:cs="宋体"/>
          <w:color w:val="auto"/>
          <w:kern w:val="0"/>
          <w:sz w:val="24"/>
          <w:highlight w:val="none"/>
        </w:rPr>
        <w:t>58.1 竣工验收标准</w:t>
      </w:r>
    </w:p>
    <w:p w14:paraId="0E890CC2">
      <w:pPr>
        <w:autoSpaceDE w:val="0"/>
        <w:autoSpaceDN w:val="0"/>
        <w:adjustRightInd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合同工程竣工验收标准：</w:t>
      </w:r>
      <w:r>
        <w:rPr>
          <w:rFonts w:hint="eastAsia" w:ascii="宋体" w:hAnsi="宋体" w:eastAsia="宋体" w:cs="宋体"/>
          <w:color w:val="auto"/>
          <w:kern w:val="0"/>
          <w:sz w:val="24"/>
          <w:highlight w:val="none"/>
          <w:u w:val="single"/>
        </w:rPr>
        <w:t>符合现行国家或行业、省、市竣工验收有关规定。</w:t>
      </w:r>
    </w:p>
    <w:p w14:paraId="1155BC1B">
      <w:pPr>
        <w:tabs>
          <w:tab w:val="left" w:pos="0"/>
        </w:tabs>
        <w:spacing w:line="48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58.2（1）按我国现有关验收规范、评定标准全面检验所承建工程的质量会同监理单位按照《广东省房屋建筑工程和市政基础设施工程竣工验收及备案管理实施细则（试行）》的要求，填写《分部工程质量评定表》、《质量保证资料检查表》、《单位工程观感质量评定表》、《单位工程质量综合评定表》；由乙方自评工程质量等级、填写《工程竣工验收申请表》，经该项目负责人、乙方法人代表和技术负责人签字并加盖单位公章后，连同专用条款内约定的份数的竣工图，一并提交给工程监理单位核查。经监理单位对工程质量进行评估，提出《工程质量评估报告》，经总监理工程师签署意见和监理单位法人代表审核签名并加盖公章后，在计划竣工验收25个工作日前报送甲方。</w:t>
      </w:r>
    </w:p>
    <w:p w14:paraId="0CFFE35F">
      <w:pPr>
        <w:tabs>
          <w:tab w:val="left" w:pos="0"/>
        </w:tabs>
        <w:spacing w:line="48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甲方在收到《工程竣工验收申请表》及上述其他资料后，可给予认可或提出修改意见，乙方应按要求修改；甲方对不符合竣工验收要求的工程内容可提出整改要求，乙方应按要求及时修改；甲方有权根据修改或整改造成的时间延误重新确定计划验收日期；乙方必须承担由自身原因造成的上述费用。</w:t>
      </w:r>
    </w:p>
    <w:p w14:paraId="1965367D">
      <w:pPr>
        <w:tabs>
          <w:tab w:val="left" w:pos="0"/>
        </w:tabs>
        <w:spacing w:line="48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58.3发包人对符合竣工验收要求的工程，组织、勘察、设计、施工、监理等单位和其他有关方面的专家组成验收组，制定验收方案。并在计划竣工验收15个工作日前将验收组成员名单、验收方案连同工程技术资料和《工程竣工验收条件审核表》提交质监机构检查，并按原计划如期进行验收。对不符合验收条件的，发出整改通知书，待整改完毕后，再行验收。</w:t>
      </w:r>
    </w:p>
    <w:p w14:paraId="08931C4B">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p>
    <w:p w14:paraId="3B827469">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58.6承包人在竣工验收后10个工作日内向发包人提供完整竣工验收档案2套、安全文明施工管理竣工档案2套（按《广东省建筑施工安全管理资料统一用表》要求编制），竣工验收报告4份、竣工图纸4套、竣工图电子文件光盘2套。资料员必须参加广州市城建档案工作培训取得合格证并在竣工资料编制人处签名确认，如所签名的资料员没有持有广州市城建档案馆发的合格证，资料视为不符合要求，发包人将予以拒收。竣工验收档案须按工程档案管理的有关要求编制成册，竣工图纸制作费用已包含在合同总价款内。</w:t>
      </w:r>
    </w:p>
    <w:p w14:paraId="1B6EE9D4">
      <w:pPr>
        <w:autoSpaceDE w:val="0"/>
        <w:autoSpaceDN w:val="0"/>
        <w:adjustRightInd w:val="0"/>
        <w:spacing w:line="360" w:lineRule="auto"/>
        <w:ind w:firstLine="480" w:firstLineChars="200"/>
        <w:rPr>
          <w:rFonts w:hint="eastAsia" w:ascii="宋体" w:hAnsi="宋体" w:eastAsia="宋体" w:cs="宋体"/>
          <w:b/>
          <w:bCs/>
          <w:color w:val="auto"/>
          <w:kern w:val="0"/>
          <w:sz w:val="24"/>
          <w:highlight w:val="none"/>
        </w:rPr>
      </w:pPr>
      <w:r>
        <w:rPr>
          <w:rFonts w:hint="eastAsia" w:ascii="宋体" w:hAnsi="宋体" w:eastAsia="宋体" w:cs="宋体"/>
          <w:color w:val="auto"/>
          <w:kern w:val="0"/>
          <w:sz w:val="24"/>
          <w:highlight w:val="none"/>
        </w:rPr>
        <w:t>如承包人不能在项目竣工验收后10个工作日内按规定收集、整理、装订并向发包人移交上述档案、报告、图纸和电子文件光盘，承包人须按合同价款的千分之五向发包人支付违约金。</w:t>
      </w:r>
    </w:p>
    <w:p w14:paraId="04FCD5B8">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58.9 施工期运行</w:t>
      </w:r>
    </w:p>
    <w:p w14:paraId="068F336C">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■合同工程无单位工程、无工程部位在施工期运行的，本款不适用。</w:t>
      </w:r>
    </w:p>
    <w:p w14:paraId="0A9344D9">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□合同工程单位工程或工程部位需在施工期运行的，各单位工程或工程部位名称、运行时间如下：</w:t>
      </w:r>
    </w:p>
    <w:p w14:paraId="6E5A936C">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名称）工程或部位，运行时间为</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w:t>
      </w:r>
    </w:p>
    <w:p w14:paraId="40C29BDA">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（名称）工程或部位，运行时间为</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w:t>
      </w:r>
    </w:p>
    <w:p w14:paraId="256BFC0E">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58.10 竣工清场</w:t>
      </w:r>
    </w:p>
    <w:p w14:paraId="08AC464C">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按通用条款的规定。</w:t>
      </w:r>
    </w:p>
    <w:p w14:paraId="6E69F02B">
      <w:pPr>
        <w:autoSpaceDE w:val="0"/>
        <w:autoSpaceDN w:val="0"/>
        <w:adjustRightInd w:val="0"/>
        <w:spacing w:line="360" w:lineRule="auto"/>
        <w:ind w:firstLine="480" w:firstLineChars="20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 另作约定：</w:t>
      </w:r>
    </w:p>
    <w:p w14:paraId="372C712D">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58.11 施工队伍的撤离</w:t>
      </w:r>
    </w:p>
    <w:p w14:paraId="36F6EAD1">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按通用条款的规定，乙方的人员和施工设备全部撤离施工场地。</w:t>
      </w:r>
    </w:p>
    <w:p w14:paraId="4389E857">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另作约定：</w:t>
      </w:r>
    </w:p>
    <w:p w14:paraId="2F403251">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58.14 竣工资料的数量：</w:t>
      </w:r>
      <w:r>
        <w:rPr>
          <w:rFonts w:hint="eastAsia" w:ascii="宋体" w:hAnsi="宋体" w:eastAsia="宋体" w:cs="宋体"/>
          <w:color w:val="auto"/>
          <w:kern w:val="0"/>
          <w:sz w:val="24"/>
          <w:highlight w:val="none"/>
          <w:u w:val="single"/>
        </w:rPr>
        <w:t>一式六份</w:t>
      </w:r>
      <w:bookmarkStart w:id="270" w:name="_Hlk52205977"/>
      <w:r>
        <w:rPr>
          <w:rFonts w:hint="eastAsia" w:ascii="宋体" w:hAnsi="宋体" w:eastAsia="宋体" w:cs="宋体"/>
          <w:color w:val="auto"/>
          <w:kern w:val="0"/>
          <w:sz w:val="24"/>
          <w:highlight w:val="none"/>
          <w:u w:val="single"/>
        </w:rPr>
        <w:t>（完成竣工图的编制）</w:t>
      </w:r>
      <w:bookmarkEnd w:id="270"/>
    </w:p>
    <w:p w14:paraId="6837E8DB">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58.15 竣工备案：</w:t>
      </w:r>
    </w:p>
    <w:p w14:paraId="73AD197E">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乙方协助办理竣工备案手续，具体如下：</w:t>
      </w:r>
    </w:p>
    <w:p w14:paraId="35E43E19">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（1）在规定时间内负责收集齐所有竣工备案资料，对于不属于乙方提供的资料，乙方配合跟踪和协调，及时向甲方反馈收集进度和协调情况。</w:t>
      </w:r>
    </w:p>
    <w:p w14:paraId="113F1944">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（2）收集齐所有竣工备案资料后，乙方协助按规定要求向有关部门提交竣工备案资料，并向甲方反馈备案办理进度。</w:t>
      </w:r>
    </w:p>
    <w:p w14:paraId="5BD851F3">
      <w:pPr>
        <w:spacing w:line="360" w:lineRule="auto"/>
        <w:ind w:firstLine="480" w:firstLineChars="200"/>
        <w:rPr>
          <w:rFonts w:hint="eastAsia" w:ascii="宋体" w:hAnsi="宋体" w:eastAsia="宋体" w:cs="宋体"/>
          <w:color w:val="auto"/>
          <w:kern w:val="0"/>
          <w:sz w:val="24"/>
          <w:highlight w:val="none"/>
        </w:rPr>
      </w:pPr>
    </w:p>
    <w:p w14:paraId="6796F905">
      <w:pPr>
        <w:pStyle w:val="116"/>
        <w:spacing w:line="360" w:lineRule="auto"/>
        <w:ind w:firstLine="480" w:firstLineChars="200"/>
        <w:jc w:val="both"/>
        <w:outlineLvl w:val="9"/>
        <w:rPr>
          <w:rFonts w:hint="eastAsia" w:ascii="宋体" w:hAnsi="宋体" w:eastAsia="宋体" w:cs="宋体"/>
          <w:color w:val="auto"/>
          <w:highlight w:val="none"/>
        </w:rPr>
      </w:pPr>
      <w:bookmarkStart w:id="271" w:name="_Toc287628066"/>
      <w:r>
        <w:rPr>
          <w:rFonts w:hint="eastAsia" w:ascii="宋体" w:hAnsi="宋体" w:eastAsia="宋体" w:cs="宋体"/>
          <w:color w:val="auto"/>
          <w:highlight w:val="none"/>
        </w:rPr>
        <w:t>59．缺陷责任与质量保修</w:t>
      </w:r>
      <w:bookmarkEnd w:id="271"/>
    </w:p>
    <w:p w14:paraId="0EE62A1A">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59.1 缺陷责任期计算</w:t>
      </w:r>
    </w:p>
    <w:p w14:paraId="77E5793E">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缺陷责任期：</w:t>
      </w:r>
      <w:r>
        <w:rPr>
          <w:rFonts w:hint="eastAsia" w:ascii="宋体" w:hAnsi="宋体" w:eastAsia="宋体" w:cs="宋体"/>
          <w:color w:val="auto"/>
          <w:kern w:val="0"/>
          <w:sz w:val="24"/>
          <w:highlight w:val="none"/>
          <w:u w:val="single"/>
        </w:rPr>
        <w:t>两年。</w:t>
      </w:r>
    </w:p>
    <w:p w14:paraId="174B00AE">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59.8 工程质量保修期计算</w:t>
      </w:r>
    </w:p>
    <w:p w14:paraId="116CC6D7">
      <w:pPr>
        <w:autoSpaceDE w:val="0"/>
        <w:autoSpaceDN w:val="0"/>
        <w:adjustRightInd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质量保修期：</w:t>
      </w:r>
      <w:r>
        <w:rPr>
          <w:rFonts w:hint="eastAsia" w:ascii="宋体" w:hAnsi="宋体" w:eastAsia="宋体" w:cs="宋体"/>
          <w:color w:val="auto"/>
          <w:kern w:val="0"/>
          <w:sz w:val="24"/>
          <w:highlight w:val="none"/>
          <w:u w:val="single"/>
        </w:rPr>
        <w:t>按《建设工程质量管理条例》的规定。</w:t>
      </w:r>
    </w:p>
    <w:p w14:paraId="3B3F1649">
      <w:pPr>
        <w:tabs>
          <w:tab w:val="left" w:pos="1240"/>
        </w:tabs>
        <w:autoSpaceDE w:val="0"/>
        <w:autoSpaceDN w:val="0"/>
        <w:adjustRightInd w:val="0"/>
        <w:spacing w:line="360" w:lineRule="auto"/>
        <w:ind w:firstLine="480" w:firstLineChars="200"/>
        <w:rPr>
          <w:rFonts w:hint="eastAsia" w:ascii="宋体" w:hAnsi="宋体" w:eastAsia="宋体" w:cs="宋体"/>
          <w:color w:val="auto"/>
          <w:kern w:val="0"/>
          <w:sz w:val="20"/>
          <w:szCs w:val="20"/>
          <w:highlight w:val="none"/>
        </w:rPr>
      </w:pPr>
      <w:bookmarkStart w:id="272" w:name="_Hlk52206703"/>
      <w:r>
        <w:rPr>
          <w:rFonts w:hint="eastAsia" w:ascii="宋体" w:hAnsi="宋体" w:eastAsia="宋体" w:cs="宋体"/>
          <w:color w:val="auto"/>
          <w:kern w:val="0"/>
          <w:sz w:val="24"/>
          <w:highlight w:val="none"/>
        </w:rPr>
        <w:t>工程质量保修的约定：</w:t>
      </w:r>
    </w:p>
    <w:p w14:paraId="5533F0A1">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vanish/>
          <w:color w:val="auto"/>
          <w:sz w:val="24"/>
          <w:highlight w:val="none"/>
          <w:u w:val="single"/>
        </w:rPr>
        <w:t>度</w:t>
      </w:r>
      <w:r>
        <w:rPr>
          <w:rFonts w:hint="eastAsia" w:ascii="宋体" w:hAnsi="宋体" w:eastAsia="宋体" w:cs="宋体"/>
          <w:color w:val="auto"/>
          <w:sz w:val="24"/>
          <w:highlight w:val="none"/>
          <w:u w:val="single"/>
        </w:rPr>
        <w:t>在质量保修期内，甲方发现质量缺陷的，应及时通知乙方修正，乙方应在收到通知后的7天内派人修正；发生紧急抢修事故的，乙方应在接到通知后立即到达事故抢修现场。如乙方不能按时到场处理，甲方可另行组织工人进行修理，所发生的费用</w:t>
      </w:r>
      <w:r>
        <w:rPr>
          <w:rFonts w:hint="eastAsia" w:ascii="宋体" w:hAnsi="宋体" w:eastAsia="宋体" w:cs="宋体"/>
          <w:color w:val="auto"/>
          <w:kern w:val="0"/>
          <w:sz w:val="24"/>
          <w:highlight w:val="none"/>
        </w:rPr>
        <w:t>从乙方质保金中扣除</w:t>
      </w:r>
      <w:r>
        <w:rPr>
          <w:rFonts w:hint="eastAsia" w:ascii="宋体" w:hAnsi="宋体" w:eastAsia="宋体" w:cs="宋体"/>
          <w:color w:val="auto"/>
          <w:sz w:val="24"/>
          <w:highlight w:val="none"/>
          <w:u w:val="single"/>
        </w:rPr>
        <w:t>，质量保证金不足以抵扣的，甲方保留进一步追究乙方违约责任的权利。</w:t>
      </w:r>
      <w:bookmarkEnd w:id="272"/>
    </w:p>
    <w:p w14:paraId="71561F44">
      <w:pPr>
        <w:pStyle w:val="116"/>
        <w:spacing w:line="360" w:lineRule="auto"/>
        <w:ind w:firstLine="480" w:firstLineChars="200"/>
        <w:jc w:val="both"/>
        <w:outlineLvl w:val="9"/>
        <w:rPr>
          <w:rFonts w:hint="eastAsia" w:ascii="宋体" w:hAnsi="宋体" w:eastAsia="宋体" w:cs="宋体"/>
          <w:color w:val="auto"/>
          <w:highlight w:val="none"/>
        </w:rPr>
      </w:pPr>
      <w:bookmarkStart w:id="273" w:name="_Toc287628067"/>
      <w:r>
        <w:rPr>
          <w:rFonts w:hint="eastAsia" w:ascii="宋体" w:hAnsi="宋体" w:eastAsia="宋体" w:cs="宋体"/>
          <w:color w:val="auto"/>
          <w:highlight w:val="none"/>
        </w:rPr>
        <w:t>61．工程量</w:t>
      </w:r>
      <w:bookmarkEnd w:id="273"/>
    </w:p>
    <w:p w14:paraId="41B0D802">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61.1 清单工程量包括的工作内容</w:t>
      </w:r>
    </w:p>
    <w:p w14:paraId="13F4E62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按通用条款的规定。</w:t>
      </w:r>
    </w:p>
    <w:p w14:paraId="7E39C62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■另作约定：</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rPr>
        <w:t>应在投标时仔细核对工程量清单，在招标答疑期间提出异议，否则视为承包人已将其造价算入投标报价。承包人如果在投标报价中出现未按清单计价规范和</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文件要求所包含的内容进行报价，包括漏报、错报或少报，都视为已包含在其它单价中，其造价不予调整。</w:t>
      </w:r>
    </w:p>
    <w:p w14:paraId="47D4327F">
      <w:pPr>
        <w:pStyle w:val="116"/>
        <w:spacing w:line="360" w:lineRule="auto"/>
        <w:ind w:firstLine="480" w:firstLineChars="20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62．工程计量和计价</w:t>
      </w:r>
    </w:p>
    <w:p w14:paraId="3811BFFD">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按通用条款的规定。</w:t>
      </w:r>
    </w:p>
    <w:p w14:paraId="5756154F">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补充内容：项目工程费用根据推进进展情况选择以下对应方式进行计量：（1）按经甲方确认的预算综合单价和完成的工程量计算；（2）若预算未经甲方确认，以经甲方确认的概算综合单价为依据和完成的工程量计算；（3）若概算未经甲方确认，按本合同约定概、预算编制原则暂定工程量清单综合单价，乘以工程量计算。</w:t>
      </w:r>
    </w:p>
    <w:p w14:paraId="7CEB4CA4">
      <w:pPr>
        <w:pStyle w:val="116"/>
        <w:spacing w:line="360" w:lineRule="auto"/>
        <w:ind w:firstLine="241" w:firstLineChars="100"/>
        <w:jc w:val="both"/>
        <w:outlineLvl w:val="9"/>
        <w:rPr>
          <w:rFonts w:hint="eastAsia" w:ascii="宋体" w:hAnsi="宋体" w:eastAsia="宋体" w:cs="宋体"/>
          <w:color w:val="auto"/>
          <w:highlight w:val="none"/>
        </w:rPr>
      </w:pPr>
      <w:bookmarkStart w:id="274" w:name="_Toc287628068"/>
      <w:r>
        <w:rPr>
          <w:rFonts w:hint="eastAsia" w:ascii="宋体" w:hAnsi="宋体" w:eastAsia="宋体" w:cs="宋体"/>
          <w:b/>
          <w:bCs w:val="0"/>
          <w:color w:val="auto"/>
          <w:szCs w:val="24"/>
          <w:highlight w:val="none"/>
        </w:rPr>
        <w:t>★</w:t>
      </w:r>
      <w:r>
        <w:rPr>
          <w:rFonts w:hint="eastAsia" w:ascii="宋体" w:hAnsi="宋体" w:eastAsia="宋体" w:cs="宋体"/>
          <w:color w:val="auto"/>
          <w:highlight w:val="none"/>
        </w:rPr>
        <w:t>63．暂列金额</w:t>
      </w:r>
      <w:bookmarkEnd w:id="274"/>
    </w:p>
    <w:p w14:paraId="5E21D1D5">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63.1 合同工程的暂列金额为</w:t>
      </w:r>
      <w:r>
        <w:rPr>
          <w:rFonts w:hint="default" w:ascii="宋体" w:hAnsi="宋体" w:eastAsia="宋体" w:cs="宋体"/>
          <w:color w:val="auto"/>
          <w:kern w:val="0"/>
          <w:sz w:val="24"/>
          <w:highlight w:val="none"/>
          <w:u w:val="single"/>
          <w:lang w:val="en-US"/>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元。</w:t>
      </w:r>
    </w:p>
    <w:p w14:paraId="65079090">
      <w:pPr>
        <w:pStyle w:val="116"/>
        <w:spacing w:line="360" w:lineRule="auto"/>
        <w:ind w:firstLine="482" w:firstLineChars="200"/>
        <w:jc w:val="both"/>
        <w:outlineLvl w:val="9"/>
        <w:rPr>
          <w:rFonts w:hint="eastAsia" w:ascii="宋体" w:hAnsi="宋体" w:eastAsia="宋体" w:cs="宋体"/>
          <w:color w:val="auto"/>
          <w:highlight w:val="none"/>
        </w:rPr>
      </w:pPr>
      <w:bookmarkStart w:id="275" w:name="_Toc287628069"/>
      <w:r>
        <w:rPr>
          <w:rFonts w:hint="eastAsia" w:ascii="宋体" w:hAnsi="宋体" w:eastAsia="宋体" w:cs="宋体"/>
          <w:b/>
          <w:bCs w:val="0"/>
          <w:color w:val="auto"/>
          <w:szCs w:val="24"/>
          <w:highlight w:val="none"/>
        </w:rPr>
        <w:t>★</w:t>
      </w:r>
      <w:r>
        <w:rPr>
          <w:rFonts w:hint="eastAsia" w:ascii="宋体" w:hAnsi="宋体" w:eastAsia="宋体" w:cs="宋体"/>
          <w:color w:val="auto"/>
          <w:highlight w:val="none"/>
        </w:rPr>
        <w:t>65．暂估价</w:t>
      </w:r>
      <w:bookmarkEnd w:id="275"/>
    </w:p>
    <w:p w14:paraId="1F1DC223">
      <w:pPr>
        <w:autoSpaceDE w:val="0"/>
        <w:autoSpaceDN w:val="0"/>
        <w:adjustRightInd w:val="0"/>
        <w:spacing w:line="360" w:lineRule="auto"/>
        <w:ind w:firstLine="482" w:firstLineChars="200"/>
        <w:rPr>
          <w:rFonts w:hint="eastAsia" w:ascii="宋体" w:hAnsi="宋体" w:eastAsia="宋体" w:cs="宋体"/>
          <w:color w:val="auto"/>
          <w:kern w:val="0"/>
          <w:sz w:val="24"/>
          <w:highlight w:val="none"/>
        </w:rPr>
      </w:pPr>
      <w:r>
        <w:rPr>
          <w:rFonts w:hint="eastAsia" w:ascii="宋体" w:hAnsi="宋体" w:eastAsia="宋体" w:cs="宋体"/>
          <w:b/>
          <w:bCs/>
          <w:color w:val="auto"/>
          <w:sz w:val="24"/>
          <w:highlight w:val="none"/>
        </w:rPr>
        <w:t>★</w:t>
      </w:r>
      <w:r>
        <w:rPr>
          <w:rFonts w:hint="eastAsia" w:ascii="宋体" w:hAnsi="宋体" w:eastAsia="宋体" w:cs="宋体"/>
          <w:color w:val="auto"/>
          <w:kern w:val="0"/>
          <w:sz w:val="24"/>
          <w:highlight w:val="none"/>
        </w:rPr>
        <w:t>65.1 招标暂估价项目</w:t>
      </w:r>
    </w:p>
    <w:p w14:paraId="0D554E42">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必须招标暂估价项目合同双方当事人的权利、义务</w:t>
      </w:r>
    </w:p>
    <w:p w14:paraId="0095E5D6">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材料、工程设备：</w:t>
      </w:r>
      <w:r>
        <w:rPr>
          <w:rFonts w:hint="eastAsia" w:ascii="宋体" w:hAnsi="宋体" w:eastAsia="宋体" w:cs="宋体"/>
          <w:color w:val="auto"/>
          <w:kern w:val="0"/>
          <w:sz w:val="24"/>
          <w:highlight w:val="none"/>
          <w:u w:val="single"/>
        </w:rPr>
        <w:t xml:space="preserve">  /  </w:t>
      </w:r>
    </w:p>
    <w:p w14:paraId="40D7526B">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专业工程：</w:t>
      </w:r>
      <w:r>
        <w:rPr>
          <w:rFonts w:hint="eastAsia" w:hAnsi="宋体" w:eastAsia="宋体" w:cs="宋体"/>
          <w:color w:val="auto"/>
          <w:sz w:val="24"/>
          <w:highlight w:val="none"/>
          <w:u w:val="single"/>
        </w:rPr>
        <w:t>/</w:t>
      </w:r>
      <w:r>
        <w:rPr>
          <w:rFonts w:hint="eastAsia" w:ascii="宋体" w:hAnsi="宋体" w:eastAsia="宋体" w:cs="宋体"/>
          <w:color w:val="auto"/>
          <w:kern w:val="0"/>
          <w:sz w:val="24"/>
          <w:highlight w:val="none"/>
        </w:rPr>
        <w:t>。</w:t>
      </w:r>
    </w:p>
    <w:p w14:paraId="39E77B6D">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65.3 非招标专业工程款的确定</w:t>
      </w:r>
    </w:p>
    <w:p w14:paraId="006A4DC2">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按通用条款的规定，由造价工程师与分包人确定。</w:t>
      </w:r>
    </w:p>
    <w:p w14:paraId="63D070FF">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另作约定：</w:t>
      </w:r>
      <w:r>
        <w:rPr>
          <w:rFonts w:hint="eastAsia" w:ascii="宋体" w:hAnsi="宋体" w:eastAsia="宋体" w:cs="宋体"/>
          <w:color w:val="auto"/>
          <w:kern w:val="0"/>
          <w:sz w:val="24"/>
          <w:highlight w:val="none"/>
          <w:u w:val="single"/>
        </w:rPr>
        <w:t xml:space="preserve">  /  </w:t>
      </w:r>
    </w:p>
    <w:p w14:paraId="5A239E38">
      <w:pPr>
        <w:pStyle w:val="116"/>
        <w:spacing w:line="360" w:lineRule="auto"/>
        <w:jc w:val="both"/>
        <w:outlineLvl w:val="9"/>
        <w:rPr>
          <w:rFonts w:hint="eastAsia" w:ascii="宋体" w:hAnsi="宋体" w:eastAsia="宋体" w:cs="宋体"/>
          <w:color w:val="auto"/>
          <w:highlight w:val="none"/>
        </w:rPr>
      </w:pPr>
      <w:r>
        <w:rPr>
          <w:rFonts w:hint="eastAsia" w:ascii="宋体" w:hAnsi="宋体" w:eastAsia="宋体" w:cs="宋体"/>
          <w:color w:val="auto"/>
          <w:sz w:val="20"/>
          <w:szCs w:val="20"/>
          <w:highlight w:val="none"/>
        </w:rPr>
        <w:t xml:space="preserve">   </w:t>
      </w:r>
      <w:bookmarkStart w:id="276" w:name="_Toc287628070"/>
      <w:r>
        <w:rPr>
          <w:rFonts w:hint="eastAsia" w:ascii="宋体" w:hAnsi="宋体" w:eastAsia="宋体" w:cs="宋体"/>
          <w:b/>
          <w:bCs w:val="0"/>
          <w:color w:val="auto"/>
          <w:szCs w:val="24"/>
          <w:highlight w:val="none"/>
        </w:rPr>
        <w:t>★</w:t>
      </w:r>
      <w:r>
        <w:rPr>
          <w:rFonts w:hint="eastAsia" w:ascii="宋体" w:hAnsi="宋体" w:eastAsia="宋体" w:cs="宋体"/>
          <w:color w:val="auto"/>
          <w:highlight w:val="none"/>
        </w:rPr>
        <w:t>66．提前竣工奖与误期赔偿费</w:t>
      </w:r>
      <w:bookmarkEnd w:id="276"/>
    </w:p>
    <w:p w14:paraId="746BB304">
      <w:pPr>
        <w:tabs>
          <w:tab w:val="left" w:pos="1240"/>
        </w:tabs>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66.1</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提前竣工奖</w:t>
      </w:r>
    </w:p>
    <w:p w14:paraId="37BAA5B8">
      <w:pPr>
        <w:tabs>
          <w:tab w:val="left" w:pos="1240"/>
        </w:tabs>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（1）提前竣工奖额度</w:t>
      </w:r>
    </w:p>
    <w:p w14:paraId="049A1392">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没约定提前竣工奖的，本款不适用。</w:t>
      </w:r>
    </w:p>
    <w:p w14:paraId="5EDAF88F">
      <w:pPr>
        <w:autoSpaceDE w:val="0"/>
        <w:autoSpaceDN w:val="0"/>
        <w:adjustRightInd w:val="0"/>
        <w:spacing w:line="360" w:lineRule="auto"/>
        <w:ind w:firstLine="220" w:firstLineChars="200"/>
        <w:rPr>
          <w:rFonts w:hint="eastAsia" w:ascii="宋体" w:hAnsi="宋体" w:eastAsia="宋体" w:cs="宋体"/>
          <w:color w:val="auto"/>
          <w:kern w:val="0"/>
          <w:sz w:val="11"/>
          <w:szCs w:val="11"/>
          <w:highlight w:val="none"/>
        </w:rPr>
      </w:pPr>
    </w:p>
    <w:p w14:paraId="3FD5036E">
      <w:pPr>
        <w:tabs>
          <w:tab w:val="left" w:pos="6880"/>
        </w:tabs>
        <w:autoSpaceDE w:val="0"/>
        <w:autoSpaceDN w:val="0"/>
        <w:adjustRightInd w:val="0"/>
        <w:spacing w:line="360" w:lineRule="auto"/>
        <w:ind w:firstLine="480" w:firstLineChars="200"/>
        <w:rPr>
          <w:rFonts w:hint="eastAsia" w:ascii="宋体" w:hAnsi="宋体" w:eastAsia="宋体" w:cs="宋体"/>
          <w:color w:val="auto"/>
          <w:spacing w:val="-48"/>
          <w:kern w:val="0"/>
          <w:sz w:val="24"/>
          <w:highlight w:val="none"/>
        </w:rPr>
      </w:pPr>
      <w:r>
        <w:rPr>
          <w:rFonts w:hint="eastAsia" w:ascii="宋体" w:hAnsi="宋体" w:eastAsia="宋体" w:cs="宋体"/>
          <w:color w:val="auto"/>
          <w:kern w:val="0"/>
          <w:sz w:val="24"/>
          <w:highlight w:val="none"/>
        </w:rPr>
        <w:t>□ 约定提前竣工奖的</w:t>
      </w:r>
      <w:r>
        <w:rPr>
          <w:rFonts w:hint="eastAsia" w:ascii="宋体" w:hAnsi="宋体" w:eastAsia="宋体" w:cs="宋体"/>
          <w:color w:val="auto"/>
          <w:spacing w:val="-48"/>
          <w:kern w:val="0"/>
          <w:sz w:val="24"/>
          <w:highlight w:val="none"/>
        </w:rPr>
        <w:t>，</w:t>
      </w:r>
      <w:r>
        <w:rPr>
          <w:rFonts w:hint="eastAsia" w:ascii="宋体" w:hAnsi="宋体" w:eastAsia="宋体" w:cs="宋体"/>
          <w:color w:val="auto"/>
          <w:kern w:val="0"/>
          <w:sz w:val="24"/>
          <w:highlight w:val="none"/>
        </w:rPr>
        <w:t>每日历天应奖额度为</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元</w:t>
      </w:r>
      <w:r>
        <w:rPr>
          <w:rFonts w:hint="eastAsia" w:ascii="宋体" w:hAnsi="宋体" w:eastAsia="宋体" w:cs="宋体"/>
          <w:color w:val="auto"/>
          <w:spacing w:val="-48"/>
          <w:kern w:val="0"/>
          <w:sz w:val="24"/>
          <w:highlight w:val="none"/>
        </w:rPr>
        <w:t>。</w:t>
      </w:r>
    </w:p>
    <w:p w14:paraId="03663FE8">
      <w:pPr>
        <w:tabs>
          <w:tab w:val="left" w:pos="1240"/>
        </w:tabs>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（2）提前竣工奖的最高限额</w:t>
      </w:r>
    </w:p>
    <w:p w14:paraId="6743C52C">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按通用条款规定为合同价款的5%，即</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元。</w:t>
      </w:r>
    </w:p>
    <w:p w14:paraId="7A380667">
      <w:pPr>
        <w:tabs>
          <w:tab w:val="left" w:pos="6880"/>
        </w:tabs>
        <w:autoSpaceDE w:val="0"/>
        <w:autoSpaceDN w:val="0"/>
        <w:adjustRightInd w:val="0"/>
        <w:spacing w:line="360" w:lineRule="auto"/>
        <w:ind w:firstLine="480" w:firstLineChars="20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 xml:space="preserve"> 另作约定：</w:t>
      </w:r>
      <w:r>
        <w:rPr>
          <w:rFonts w:hint="eastAsia" w:ascii="宋体" w:hAnsi="宋体" w:eastAsia="宋体" w:cs="宋体"/>
          <w:color w:val="auto"/>
          <w:kern w:val="0"/>
          <w:sz w:val="24"/>
          <w:highlight w:val="none"/>
          <w:u w:val="single"/>
        </w:rPr>
        <w:t xml:space="preserve">  /  </w:t>
      </w:r>
    </w:p>
    <w:p w14:paraId="7E23C07E">
      <w:pPr>
        <w:tabs>
          <w:tab w:val="left" w:pos="1240"/>
        </w:tabs>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66.2</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误期赔偿费</w:t>
      </w:r>
    </w:p>
    <w:p w14:paraId="03BACC39">
      <w:pPr>
        <w:autoSpaceDE w:val="0"/>
        <w:autoSpaceDN w:val="0"/>
        <w:adjustRightIn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(1) </w:t>
      </w:r>
      <w:r>
        <w:rPr>
          <w:rFonts w:hint="eastAsia" w:ascii="宋体" w:hAnsi="宋体" w:eastAsia="宋体" w:cs="宋体"/>
          <w:color w:val="auto"/>
          <w:kern w:val="0"/>
          <w:sz w:val="24"/>
          <w:highlight w:val="none"/>
          <w:lang w:val="en-US" w:eastAsia="zh-CN"/>
        </w:rPr>
        <w:t>因乙方原因造成延期超过30日历天，从第31日历天起，延期</w:t>
      </w:r>
      <w:r>
        <w:rPr>
          <w:rFonts w:hint="eastAsia" w:ascii="宋体" w:hAnsi="宋体" w:eastAsia="宋体" w:cs="宋体"/>
          <w:color w:val="auto"/>
          <w:kern w:val="0"/>
          <w:sz w:val="24"/>
          <w:highlight w:val="none"/>
        </w:rPr>
        <w:t>每日历天应赔额度为</w:t>
      </w:r>
      <w:r>
        <w:rPr>
          <w:rFonts w:hint="eastAsia" w:ascii="宋体" w:hAnsi="宋体" w:eastAsia="宋体" w:cs="宋体"/>
          <w:color w:val="auto"/>
          <w:kern w:val="0"/>
          <w:sz w:val="24"/>
          <w:highlight w:val="none"/>
          <w:lang w:val="en-US" w:eastAsia="zh-CN"/>
        </w:rPr>
        <w:t>每期</w:t>
      </w:r>
      <w:r>
        <w:rPr>
          <w:rFonts w:hint="eastAsia" w:ascii="宋体" w:hAnsi="宋体" w:eastAsia="宋体" w:cs="宋体"/>
          <w:color w:val="auto"/>
          <w:kern w:val="0"/>
          <w:sz w:val="24"/>
          <w:highlight w:val="none"/>
          <w:u w:val="single"/>
          <w:lang w:val="en-US" w:eastAsia="zh-CN"/>
        </w:rPr>
        <w:t>建安费</w:t>
      </w:r>
      <w:r>
        <w:rPr>
          <w:rFonts w:hint="eastAsia" w:ascii="宋体" w:hAnsi="宋体" w:eastAsia="宋体" w:cs="宋体"/>
          <w:color w:val="auto"/>
          <w:kern w:val="0"/>
          <w:sz w:val="24"/>
          <w:highlight w:val="none"/>
          <w:u w:val="single"/>
        </w:rPr>
        <w:t>的万分之</w:t>
      </w:r>
      <w:r>
        <w:rPr>
          <w:rFonts w:hint="eastAsia" w:ascii="宋体" w:hAnsi="宋体" w:eastAsia="宋体" w:cs="宋体"/>
          <w:color w:val="auto"/>
          <w:kern w:val="0"/>
          <w:sz w:val="24"/>
          <w:highlight w:val="none"/>
          <w:u w:val="single"/>
          <w:lang w:val="en-US" w:eastAsia="zh-CN"/>
        </w:rPr>
        <w:t>1.5</w:t>
      </w:r>
      <w:r>
        <w:rPr>
          <w:rFonts w:hint="eastAsia" w:ascii="宋体" w:hAnsi="宋体" w:eastAsia="宋体" w:cs="宋体"/>
          <w:color w:val="auto"/>
          <w:kern w:val="0"/>
          <w:sz w:val="24"/>
          <w:highlight w:val="none"/>
          <w:u w:val="single"/>
        </w:rPr>
        <w:t>，所扣违约金在工程进度款</w:t>
      </w:r>
      <w:r>
        <w:rPr>
          <w:rFonts w:hint="eastAsia" w:ascii="宋体" w:hAnsi="宋体" w:eastAsia="宋体" w:cs="宋体"/>
          <w:color w:val="auto"/>
          <w:kern w:val="0"/>
          <w:sz w:val="24"/>
          <w:highlight w:val="none"/>
          <w:u w:val="single"/>
          <w:lang w:eastAsia="zh-CN"/>
        </w:rPr>
        <w:t>、质保金</w:t>
      </w:r>
      <w:r>
        <w:rPr>
          <w:rFonts w:hint="eastAsia" w:ascii="宋体" w:hAnsi="宋体" w:eastAsia="宋体" w:cs="宋体"/>
          <w:color w:val="auto"/>
          <w:kern w:val="0"/>
          <w:sz w:val="24"/>
          <w:highlight w:val="none"/>
          <w:u w:val="single"/>
        </w:rPr>
        <w:t>中扣除。</w:t>
      </w:r>
    </w:p>
    <w:p w14:paraId="1E51AC85">
      <w:pPr>
        <w:tabs>
          <w:tab w:val="left" w:pos="6260"/>
        </w:tabs>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 误期赔偿费最高限额</w:t>
      </w:r>
    </w:p>
    <w:p w14:paraId="07FBD5E8">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□按通用条款规定为合同价款的5%，即</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元。</w:t>
      </w:r>
    </w:p>
    <w:p w14:paraId="218C640A">
      <w:pPr>
        <w:spacing w:line="360" w:lineRule="auto"/>
        <w:ind w:firstLine="480" w:firstLineChars="200"/>
        <w:rPr>
          <w:rFonts w:hint="eastAsia" w:ascii="宋体" w:hAnsi="宋体" w:eastAsia="宋体" w:cs="宋体"/>
          <w:color w:val="auto"/>
          <w:kern w:val="0"/>
          <w:sz w:val="22"/>
          <w:szCs w:val="22"/>
          <w:highlight w:val="none"/>
        </w:rPr>
      </w:pPr>
      <w:bookmarkStart w:id="277" w:name="_Toc287628071"/>
      <w:r>
        <w:rPr>
          <w:rFonts w:hint="eastAsia" w:ascii="宋体" w:hAnsi="宋体" w:eastAsia="宋体" w:cs="宋体"/>
          <w:color w:val="auto"/>
          <w:kern w:val="0"/>
          <w:sz w:val="24"/>
          <w:highlight w:val="none"/>
        </w:rPr>
        <w:t>■ 补充约定：</w:t>
      </w:r>
      <w:r>
        <w:rPr>
          <w:rFonts w:hint="eastAsia" w:ascii="宋体" w:hAnsi="宋体" w:eastAsia="宋体" w:cs="宋体"/>
          <w:color w:val="auto"/>
          <w:kern w:val="0"/>
          <w:sz w:val="24"/>
          <w:highlight w:val="none"/>
          <w:lang w:val="en-US" w:eastAsia="zh-CN"/>
        </w:rPr>
        <w:t>本项目不设置最高限额</w:t>
      </w:r>
      <w:r>
        <w:rPr>
          <w:rFonts w:hint="eastAsia" w:ascii="宋体" w:hAnsi="宋体" w:eastAsia="宋体" w:cs="宋体"/>
          <w:color w:val="auto"/>
          <w:kern w:val="0"/>
          <w:sz w:val="24"/>
          <w:highlight w:val="none"/>
          <w:u w:val="single"/>
        </w:rPr>
        <w:t>。</w:t>
      </w:r>
    </w:p>
    <w:p w14:paraId="19DDF58F">
      <w:pPr>
        <w:pStyle w:val="116"/>
        <w:spacing w:line="360" w:lineRule="auto"/>
        <w:ind w:firstLine="241" w:firstLineChars="100"/>
        <w:jc w:val="both"/>
        <w:outlineLvl w:val="9"/>
        <w:rPr>
          <w:rFonts w:hint="eastAsia" w:ascii="宋体" w:hAnsi="宋体" w:eastAsia="宋体" w:cs="宋体"/>
          <w:color w:val="auto"/>
          <w:highlight w:val="none"/>
        </w:rPr>
      </w:pPr>
      <w:r>
        <w:rPr>
          <w:rFonts w:hint="eastAsia" w:ascii="宋体" w:hAnsi="宋体" w:eastAsia="宋体" w:cs="宋体"/>
          <w:b/>
          <w:bCs w:val="0"/>
          <w:color w:val="auto"/>
          <w:szCs w:val="24"/>
          <w:highlight w:val="none"/>
        </w:rPr>
        <w:t>★</w:t>
      </w:r>
      <w:r>
        <w:rPr>
          <w:rFonts w:hint="eastAsia" w:ascii="宋体" w:hAnsi="宋体" w:eastAsia="宋体" w:cs="宋体"/>
          <w:color w:val="auto"/>
          <w:highlight w:val="none"/>
        </w:rPr>
        <w:t>67．工程优质费、工程建设标准费用</w:t>
      </w:r>
      <w:bookmarkEnd w:id="277"/>
    </w:p>
    <w:p w14:paraId="1BAC107E">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position w:val="-2"/>
          <w:sz w:val="24"/>
          <w:highlight w:val="none"/>
        </w:rPr>
        <w:t>67.1 工程优质费的计算方法</w:t>
      </w:r>
    </w:p>
    <w:p w14:paraId="0AF007BA">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没约定工程优质费，本款不适用；</w:t>
      </w:r>
    </w:p>
    <w:p w14:paraId="4F921546">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约定工程优质费的，其计算方法：</w:t>
      </w:r>
    </w:p>
    <w:p w14:paraId="340B9351">
      <w:pPr>
        <w:autoSpaceDE w:val="0"/>
        <w:autoSpaceDN w:val="0"/>
        <w:adjustRightInd w:val="0"/>
        <w:spacing w:line="360" w:lineRule="auto"/>
        <w:ind w:firstLine="211" w:firstLineChars="100"/>
        <w:rPr>
          <w:rFonts w:hint="eastAsia" w:ascii="宋体" w:hAnsi="宋体" w:eastAsia="宋体" w:cs="宋体"/>
          <w:color w:val="auto"/>
          <w:kern w:val="0"/>
          <w:sz w:val="24"/>
          <w:highlight w:val="none"/>
        </w:rPr>
      </w:pPr>
      <w:r>
        <w:rPr>
          <w:rFonts w:hint="eastAsia" w:ascii="宋体" w:hAnsi="宋体" w:eastAsia="宋体" w:cs="宋体"/>
          <w:b/>
          <w:bCs/>
          <w:color w:val="auto"/>
          <w:highlight w:val="none"/>
        </w:rPr>
        <w:t>★</w:t>
      </w:r>
      <w:r>
        <w:rPr>
          <w:rFonts w:hint="eastAsia" w:ascii="宋体" w:hAnsi="宋体" w:eastAsia="宋体" w:cs="宋体"/>
          <w:color w:val="auto"/>
          <w:kern w:val="0"/>
          <w:sz w:val="24"/>
          <w:highlight w:val="none"/>
        </w:rPr>
        <w:t>67.2 工程优质费的计算额度：</w:t>
      </w:r>
    </w:p>
    <w:p w14:paraId="399750C1">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□按通用条款规定计算。</w:t>
      </w:r>
    </w:p>
    <w:p w14:paraId="1949B087">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□另作约定（合同工程同时获得下列多个奖项的，只按最高奖项的额度计算）：</w:t>
      </w:r>
    </w:p>
    <w:p w14:paraId="6F36AD86">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国家级质量奖，合同价款的</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%，即</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元；</w:t>
      </w:r>
    </w:p>
    <w:p w14:paraId="4213A15D">
      <w:pPr>
        <w:tabs>
          <w:tab w:val="left" w:pos="6280"/>
        </w:tabs>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省级质量奖，合同价款的</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%；即</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元；</w:t>
      </w:r>
    </w:p>
    <w:p w14:paraId="08696C3B">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市级质量奖，合同价款的</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%；即</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元。</w:t>
      </w:r>
    </w:p>
    <w:p w14:paraId="304F5B83">
      <w:pPr>
        <w:pStyle w:val="116"/>
        <w:spacing w:line="360" w:lineRule="auto"/>
        <w:ind w:firstLine="241" w:firstLineChars="100"/>
        <w:jc w:val="both"/>
        <w:outlineLvl w:val="9"/>
        <w:rPr>
          <w:rFonts w:hint="eastAsia" w:ascii="宋体" w:hAnsi="宋体" w:eastAsia="宋体" w:cs="宋体"/>
          <w:color w:val="auto"/>
          <w:highlight w:val="none"/>
        </w:rPr>
      </w:pPr>
      <w:bookmarkStart w:id="278" w:name="_Toc287628072"/>
      <w:r>
        <w:rPr>
          <w:rFonts w:hint="eastAsia" w:ascii="宋体" w:hAnsi="宋体" w:eastAsia="宋体" w:cs="宋体"/>
          <w:b/>
          <w:bCs w:val="0"/>
          <w:color w:val="auto"/>
          <w:szCs w:val="24"/>
          <w:highlight w:val="none"/>
        </w:rPr>
        <w:t>★</w:t>
      </w:r>
      <w:r>
        <w:rPr>
          <w:rFonts w:hint="eastAsia" w:ascii="宋体" w:hAnsi="宋体" w:eastAsia="宋体" w:cs="宋体"/>
          <w:color w:val="auto"/>
          <w:highlight w:val="none"/>
        </w:rPr>
        <w:t>68．合同价款的约定与调整</w:t>
      </w:r>
      <w:bookmarkEnd w:id="278"/>
    </w:p>
    <w:p w14:paraId="6F06B5AE">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68.3 合同价款的调整事件</w:t>
      </w:r>
    </w:p>
    <w:p w14:paraId="4CFED2BE">
      <w:pPr>
        <w:autoSpaceDE w:val="0"/>
        <w:autoSpaceDN w:val="0"/>
        <w:adjustRightInd w:val="0"/>
        <w:spacing w:line="360" w:lineRule="auto"/>
        <w:ind w:firstLine="480" w:firstLineChars="200"/>
        <w:rPr>
          <w:rFonts w:hint="eastAsia"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 按通用条款规定的调整事件。</w:t>
      </w:r>
    </w:p>
    <w:p w14:paraId="504B80BE">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另作约定：</w:t>
      </w:r>
    </w:p>
    <w:p w14:paraId="30DD0014">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 xml:space="preserve"> 工程量的偏差；</w:t>
      </w:r>
    </w:p>
    <w:p w14:paraId="201407CF">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 xml:space="preserve"> 工程变更；</w:t>
      </w:r>
    </w:p>
    <w:p w14:paraId="55B324D0">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sz w:val="24"/>
          <w:highlight w:val="none"/>
        </w:rPr>
        <w:t>合同执行期间发现报价中有严重不平衡报价的项目；</w:t>
      </w:r>
    </w:p>
    <w:p w14:paraId="0CAF2ADD">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物价及后继法律法规的变化（按专用条款第76条执行）；</w:t>
      </w:r>
    </w:p>
    <w:p w14:paraId="5129A630">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sz w:val="24"/>
          <w:highlight w:val="none"/>
        </w:rPr>
        <w:t>费用索赔事件或甲、乙方负责的其他情况；</w:t>
      </w:r>
    </w:p>
    <w:p w14:paraId="111DB067">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工程造价管理机构发布的造价调整（按专用条款第76条优先执行，本合同如已明确约定，则工程造价管理机构发布的造价调整文件不适用）；</w:t>
      </w:r>
    </w:p>
    <w:p w14:paraId="2E4EFEE7">
      <w:pPr>
        <w:pStyle w:val="6"/>
        <w:spacing w:line="360" w:lineRule="auto"/>
        <w:ind w:firstLine="480"/>
        <w:rPr>
          <w:rFonts w:hint="eastAsia" w:ascii="宋体" w:hAnsi="宋体" w:eastAsia="宋体" w:cs="宋体"/>
          <w:color w:val="auto"/>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工程签证</w:t>
      </w:r>
    </w:p>
    <w:p w14:paraId="45BD454A">
      <w:pPr>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其他调整因素：</w:t>
      </w:r>
    </w:p>
    <w:p w14:paraId="46032996">
      <w:pPr>
        <w:tabs>
          <w:tab w:val="left" w:pos="1240"/>
        </w:tabs>
        <w:autoSpaceDE w:val="0"/>
        <w:autoSpaceDN w:val="0"/>
        <w:adjustRightInd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68.3（9） 调整合同价款的其他事件：</w:t>
      </w:r>
      <w:r>
        <w:rPr>
          <w:rFonts w:hint="eastAsia" w:ascii="宋体" w:hAnsi="宋体" w:eastAsia="宋体" w:cs="宋体"/>
          <w:color w:val="auto"/>
          <w:kern w:val="0"/>
          <w:sz w:val="24"/>
          <w:highlight w:val="none"/>
          <w:u w:val="single"/>
        </w:rPr>
        <w:t xml:space="preserve">  /  </w:t>
      </w:r>
    </w:p>
    <w:p w14:paraId="4E4F984C">
      <w:pPr>
        <w:pStyle w:val="116"/>
        <w:spacing w:line="360" w:lineRule="auto"/>
        <w:ind w:firstLine="480" w:firstLineChars="200"/>
        <w:jc w:val="both"/>
        <w:outlineLvl w:val="9"/>
        <w:rPr>
          <w:rFonts w:hint="eastAsia" w:ascii="宋体" w:hAnsi="宋体" w:eastAsia="宋体" w:cs="宋体"/>
          <w:color w:val="auto"/>
          <w:highlight w:val="none"/>
        </w:rPr>
      </w:pPr>
      <w:bookmarkStart w:id="279" w:name="_Toc287628073"/>
      <w:r>
        <w:rPr>
          <w:rFonts w:hint="eastAsia" w:ascii="宋体" w:hAnsi="宋体" w:eastAsia="宋体" w:cs="宋体"/>
          <w:color w:val="auto"/>
          <w:highlight w:val="none"/>
        </w:rPr>
        <w:t>72．工程变更事件</w:t>
      </w:r>
      <w:bookmarkEnd w:id="279"/>
    </w:p>
    <w:p w14:paraId="70E51D0C">
      <w:pPr>
        <w:autoSpaceDE w:val="0"/>
        <w:autoSpaceDN w:val="0"/>
        <w:adjustRightInd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72.2</w:t>
      </w:r>
      <w:r>
        <w:rPr>
          <w:rFonts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rPr>
        <w:t>调整分部分项工程费的方法：</w:t>
      </w:r>
      <w:r>
        <w:rPr>
          <w:rFonts w:hint="eastAsia" w:ascii="宋体" w:hAnsi="宋体" w:eastAsia="宋体" w:cs="宋体"/>
          <w:color w:val="auto"/>
          <w:kern w:val="0"/>
          <w:sz w:val="24"/>
          <w:highlight w:val="none"/>
          <w:lang w:val="en-US" w:eastAsia="zh-CN"/>
        </w:rPr>
        <w:t>乙方</w:t>
      </w:r>
      <w:r>
        <w:rPr>
          <w:rFonts w:hint="eastAsia" w:ascii="宋体" w:hAnsi="宋体" w:eastAsia="宋体" w:cs="宋体"/>
          <w:color w:val="auto"/>
          <w:kern w:val="0"/>
          <w:sz w:val="24"/>
          <w:highlight w:val="none"/>
        </w:rPr>
        <w:t>须以该工程量清单为基础编制设计方案和施工方案，最终施工图以发包人审批通过并确认的图纸为准。结算时分部分项工程工程量根据竣工图按实计算。</w:t>
      </w:r>
    </w:p>
    <w:p w14:paraId="7B84E193">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72.5 此条款内容不适用于本合同。</w:t>
      </w:r>
    </w:p>
    <w:p w14:paraId="64C751A8">
      <w:pPr>
        <w:pStyle w:val="116"/>
        <w:spacing w:line="360" w:lineRule="auto"/>
        <w:ind w:firstLine="480" w:firstLineChars="200"/>
        <w:jc w:val="both"/>
        <w:outlineLvl w:val="9"/>
        <w:rPr>
          <w:rFonts w:hint="eastAsia" w:ascii="宋体" w:hAnsi="宋体" w:eastAsia="宋体" w:cs="宋体"/>
          <w:color w:val="auto"/>
          <w:highlight w:val="none"/>
        </w:rPr>
      </w:pPr>
      <w:bookmarkStart w:id="280" w:name="_Toc287628074"/>
      <w:r>
        <w:rPr>
          <w:rFonts w:hint="eastAsia" w:ascii="宋体" w:hAnsi="宋体" w:eastAsia="宋体" w:cs="宋体"/>
          <w:color w:val="auto"/>
          <w:highlight w:val="none"/>
        </w:rPr>
        <w:t>73．工程量偏差事件</w:t>
      </w:r>
      <w:bookmarkEnd w:id="280"/>
    </w:p>
    <w:p w14:paraId="3C28BD35">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73.2 调整分部分项工程费的方法</w:t>
      </w:r>
    </w:p>
    <w:p w14:paraId="436175F8">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调整结算分部分项工程费：</w:t>
      </w:r>
    </w:p>
    <w:p w14:paraId="29CB3035">
      <w:pPr>
        <w:autoSpaceDE w:val="0"/>
        <w:autoSpaceDN w:val="0"/>
        <w:adjustRightInd w:val="0"/>
        <w:spacing w:line="360" w:lineRule="auto"/>
        <w:ind w:firstLine="480" w:firstLineChars="200"/>
        <w:rPr>
          <w:rFonts w:hint="eastAsia" w:ascii="宋体" w:hAnsi="宋体" w:eastAsia="宋体" w:cs="宋体"/>
          <w:color w:val="auto"/>
          <w:kern w:val="0"/>
          <w:sz w:val="24"/>
          <w:szCs w:val="16"/>
          <w:highlight w:val="none"/>
        </w:rPr>
      </w:pPr>
      <w:r>
        <w:rPr>
          <w:rFonts w:hint="eastAsia" w:ascii="宋体" w:hAnsi="宋体" w:eastAsia="宋体" w:cs="宋体"/>
          <w:color w:val="auto"/>
          <w:kern w:val="0"/>
          <w:sz w:val="24"/>
          <w:highlight w:val="none"/>
        </w:rPr>
        <w:t>□按通用条款的规定调整；</w:t>
      </w:r>
      <w:r>
        <w:rPr>
          <w:rFonts w:hint="eastAsia" w:ascii="宋体" w:hAnsi="宋体" w:eastAsia="宋体" w:cs="宋体"/>
          <w:color w:val="auto"/>
          <w:kern w:val="0"/>
          <w:sz w:val="24"/>
          <w:szCs w:val="16"/>
          <w:highlight w:val="none"/>
        </w:rPr>
        <w:t xml:space="preserve"> </w:t>
      </w:r>
    </w:p>
    <w:p w14:paraId="7A73F217">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■按照下列方法调整：</w:t>
      </w:r>
    </w:p>
    <w:p w14:paraId="5585BBBD">
      <w:pPr>
        <w:pStyle w:val="6"/>
        <w:spacing w:line="360" w:lineRule="auto"/>
        <w:ind w:firstLine="480"/>
        <w:rPr>
          <w:rFonts w:hint="eastAsia" w:ascii="宋体" w:hAnsi="宋体" w:eastAsia="宋体" w:cs="宋体"/>
          <w:color w:val="auto"/>
          <w:highlight w:val="none"/>
        </w:rPr>
      </w:pPr>
      <w:r>
        <w:rPr>
          <w:rFonts w:hint="eastAsia" w:ascii="宋体" w:hAnsi="宋体" w:eastAsia="宋体" w:cs="宋体"/>
          <w:color w:val="auto"/>
          <w:kern w:val="0"/>
          <w:sz w:val="24"/>
          <w:highlight w:val="none"/>
        </w:rPr>
        <w:t>本项目按EPC模式实施，通用条款不适用。结算时分部分项工程工程量根据竣工图按实计算。</w:t>
      </w:r>
    </w:p>
    <w:p w14:paraId="6A3F882B">
      <w:pPr>
        <w:autoSpaceDE w:val="0"/>
        <w:autoSpaceDN w:val="0"/>
        <w:adjustRightInd w:val="0"/>
        <w:spacing w:line="360" w:lineRule="auto"/>
        <w:ind w:firstLine="480" w:firstLineChars="200"/>
        <w:rPr>
          <w:rFonts w:hint="eastAsia" w:ascii="宋体" w:hAnsi="宋体" w:eastAsia="宋体" w:cs="宋体"/>
          <w:color w:val="auto"/>
          <w:kern w:val="0"/>
          <w:position w:val="-1"/>
          <w:sz w:val="24"/>
          <w:highlight w:val="none"/>
        </w:rPr>
      </w:pPr>
      <w:r>
        <w:rPr>
          <w:rFonts w:hint="eastAsia" w:ascii="宋体" w:hAnsi="宋体" w:eastAsia="宋体" w:cs="宋体"/>
          <w:color w:val="auto"/>
          <w:kern w:val="0"/>
          <w:position w:val="-1"/>
          <w:sz w:val="24"/>
          <w:highlight w:val="none"/>
        </w:rPr>
        <w:t>73.3 调整措施项目费的方法</w:t>
      </w:r>
    </w:p>
    <w:p w14:paraId="2EFC25BF">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position w:val="-1"/>
          <w:sz w:val="24"/>
          <w:highlight w:val="none"/>
        </w:rPr>
        <w:t>调整结算措施项目费：</w:t>
      </w:r>
    </w:p>
    <w:p w14:paraId="6FD85BEB">
      <w:pPr>
        <w:autoSpaceDE w:val="0"/>
        <w:autoSpaceDN w:val="0"/>
        <w:adjustRightInd w:val="0"/>
        <w:spacing w:line="360" w:lineRule="auto"/>
        <w:ind w:firstLine="480" w:firstLineChars="200"/>
        <w:rPr>
          <w:rFonts w:hint="eastAsia" w:ascii="宋体" w:hAnsi="宋体" w:eastAsia="宋体" w:cs="宋体"/>
          <w:color w:val="auto"/>
          <w:kern w:val="0"/>
          <w:sz w:val="11"/>
          <w:szCs w:val="11"/>
          <w:highlight w:val="none"/>
        </w:rPr>
      </w:pPr>
      <w:bookmarkStart w:id="281" w:name="OLE_LINK1"/>
      <w:r>
        <w:rPr>
          <w:rFonts w:hint="eastAsia" w:ascii="宋体" w:hAnsi="宋体" w:eastAsia="宋体" w:cs="宋体"/>
          <w:color w:val="auto"/>
          <w:kern w:val="0"/>
          <w:sz w:val="24"/>
          <w:highlight w:val="none"/>
        </w:rPr>
        <w:t>□ 按通用条款的规定调整；</w:t>
      </w:r>
    </w:p>
    <w:p w14:paraId="403662EF">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按照下列方法调整：</w:t>
      </w:r>
      <w:bookmarkEnd w:id="281"/>
    </w:p>
    <w:p w14:paraId="388797A2">
      <w:pPr>
        <w:autoSpaceDE w:val="0"/>
        <w:autoSpaceDN w:val="0"/>
        <w:adjustRightInd w:val="0"/>
        <w:spacing w:line="360" w:lineRule="auto"/>
        <w:ind w:firstLine="480" w:firstLineChars="200"/>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本项目按EPC模式实施，通用条款不适用。本项目依据预算签订的补充协议对应的措施项目费包干，不调整。</w:t>
      </w:r>
      <w:r>
        <w:rPr>
          <w:rFonts w:hint="eastAsia" w:ascii="宋体" w:hAnsi="宋体" w:eastAsia="宋体" w:cs="宋体"/>
          <w:bCs/>
          <w:snapToGrid w:val="0"/>
          <w:color w:val="auto"/>
          <w:kern w:val="0"/>
          <w:sz w:val="24"/>
          <w:highlight w:val="none"/>
          <w:u w:val="single"/>
        </w:rPr>
        <w:t>项目措施费调减的特殊情况：</w:t>
      </w:r>
      <w:r>
        <w:rPr>
          <w:rFonts w:hint="eastAsia" w:ascii="宋体" w:hAnsi="宋体" w:eastAsia="宋体" w:cs="宋体"/>
          <w:color w:val="auto"/>
          <w:sz w:val="24"/>
          <w:highlight w:val="none"/>
        </w:rPr>
        <w:t>工程实施内容减少，</w:t>
      </w:r>
      <w:r>
        <w:rPr>
          <w:rFonts w:hint="eastAsia" w:ascii="宋体" w:hAnsi="宋体" w:eastAsia="宋体" w:cs="宋体"/>
          <w:color w:val="auto"/>
          <w:kern w:val="0"/>
          <w:sz w:val="24"/>
          <w:highlight w:val="none"/>
          <w:lang w:val="en-US" w:eastAsia="zh-CN"/>
        </w:rPr>
        <w:t>据实</w:t>
      </w:r>
      <w:r>
        <w:rPr>
          <w:rFonts w:hint="eastAsia" w:ascii="宋体" w:hAnsi="宋体" w:eastAsia="宋体" w:cs="宋体"/>
          <w:color w:val="auto"/>
          <w:sz w:val="24"/>
          <w:highlight w:val="none"/>
        </w:rPr>
        <w:t>调减措施项目费</w:t>
      </w:r>
      <w:r>
        <w:rPr>
          <w:rFonts w:hint="eastAsia" w:ascii="宋体" w:hAnsi="宋体" w:eastAsia="宋体" w:cs="宋体"/>
          <w:bCs/>
          <w:snapToGrid w:val="0"/>
          <w:color w:val="auto"/>
          <w:kern w:val="0"/>
          <w:sz w:val="24"/>
          <w:highlight w:val="none"/>
          <w:u w:val="single"/>
        </w:rPr>
        <w:t>。措施项目费增加的，均不得</w:t>
      </w:r>
      <w:r>
        <w:rPr>
          <w:rFonts w:hint="eastAsia" w:ascii="宋体" w:hAnsi="宋体" w:eastAsia="宋体" w:cs="宋体"/>
          <w:color w:val="auto"/>
          <w:kern w:val="0"/>
          <w:sz w:val="24"/>
          <w:highlight w:val="none"/>
          <w:lang w:val="en-US" w:eastAsia="zh-CN"/>
        </w:rPr>
        <w:t>调整。</w:t>
      </w:r>
    </w:p>
    <w:p w14:paraId="09B89272">
      <w:pPr>
        <w:pStyle w:val="116"/>
        <w:spacing w:line="360" w:lineRule="auto"/>
        <w:ind w:firstLine="480" w:firstLineChars="200"/>
        <w:jc w:val="both"/>
        <w:outlineLvl w:val="9"/>
        <w:rPr>
          <w:rFonts w:hint="eastAsia" w:ascii="宋体" w:hAnsi="宋体" w:eastAsia="宋体" w:cs="宋体"/>
          <w:color w:val="auto"/>
          <w:highlight w:val="none"/>
        </w:rPr>
      </w:pPr>
      <w:bookmarkStart w:id="282" w:name="_Toc287628075"/>
      <w:r>
        <w:rPr>
          <w:rFonts w:hint="eastAsia" w:ascii="宋体" w:hAnsi="宋体" w:eastAsia="宋体" w:cs="宋体"/>
          <w:color w:val="auto"/>
          <w:highlight w:val="none"/>
        </w:rPr>
        <w:t>75．现场签证事件</w:t>
      </w:r>
      <w:bookmarkEnd w:id="282"/>
    </w:p>
    <w:p w14:paraId="18E9DC83">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75.3 现场签证报告的确认</w:t>
      </w:r>
    </w:p>
    <w:p w14:paraId="469E8CA0">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提交现场签证报告的时间：</w:t>
      </w:r>
    </w:p>
    <w:p w14:paraId="3EAFEFD4">
      <w:pPr>
        <w:autoSpaceDE w:val="0"/>
        <w:autoSpaceDN w:val="0"/>
        <w:adjustRightInd w:val="0"/>
        <w:spacing w:line="360" w:lineRule="auto"/>
        <w:ind w:firstLine="480" w:firstLineChars="200"/>
        <w:rPr>
          <w:rFonts w:hint="eastAsia"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 按通用条款规定的时间提交；</w:t>
      </w:r>
    </w:p>
    <w:p w14:paraId="53426A9A">
      <w:pPr>
        <w:pStyle w:val="6"/>
        <w:spacing w:line="360" w:lineRule="auto"/>
        <w:ind w:firstLine="480"/>
        <w:rPr>
          <w:rFonts w:hint="eastAsia" w:ascii="宋体" w:hAnsi="宋体" w:eastAsia="宋体"/>
          <w:color w:val="auto"/>
          <w:sz w:val="24"/>
          <w:highlight w:val="none"/>
        </w:rPr>
      </w:pPr>
      <w:r>
        <w:rPr>
          <w:rFonts w:hint="eastAsia" w:ascii="宋体" w:hAnsi="宋体" w:eastAsia="宋体"/>
          <w:color w:val="auto"/>
          <w:sz w:val="24"/>
          <w:highlight w:val="none"/>
        </w:rPr>
        <w:t xml:space="preserve">□ </w:t>
      </w:r>
      <w:r>
        <w:rPr>
          <w:rFonts w:ascii="宋体" w:hAnsi="宋体" w:eastAsia="宋体"/>
          <w:color w:val="auto"/>
          <w:sz w:val="24"/>
          <w:highlight w:val="none"/>
        </w:rPr>
        <w:t>另作约定：</w:t>
      </w:r>
    </w:p>
    <w:p w14:paraId="545F0AE1">
      <w:pPr>
        <w:pStyle w:val="116"/>
        <w:spacing w:line="360" w:lineRule="auto"/>
        <w:ind w:firstLine="241" w:firstLineChars="100"/>
        <w:jc w:val="both"/>
        <w:outlineLvl w:val="9"/>
        <w:rPr>
          <w:rFonts w:hint="eastAsia" w:ascii="宋体" w:hAnsi="宋体" w:eastAsia="宋体" w:cs="宋体"/>
          <w:color w:val="auto"/>
          <w:highlight w:val="none"/>
        </w:rPr>
      </w:pPr>
      <w:bookmarkStart w:id="283" w:name="_Toc287628076"/>
      <w:r>
        <w:rPr>
          <w:rFonts w:hint="eastAsia" w:ascii="宋体" w:hAnsi="宋体" w:eastAsia="宋体" w:cs="宋体"/>
          <w:b/>
          <w:bCs w:val="0"/>
          <w:color w:val="auto"/>
          <w:szCs w:val="24"/>
          <w:highlight w:val="none"/>
        </w:rPr>
        <w:t>★</w:t>
      </w:r>
      <w:r>
        <w:rPr>
          <w:rFonts w:hint="eastAsia" w:ascii="宋体" w:hAnsi="宋体" w:eastAsia="宋体" w:cs="宋体"/>
          <w:color w:val="auto"/>
          <w:highlight w:val="none"/>
        </w:rPr>
        <w:t>76．物价涨落事件</w:t>
      </w:r>
      <w:bookmarkEnd w:id="283"/>
    </w:p>
    <w:p w14:paraId="5456A0BF">
      <w:pPr>
        <w:pStyle w:val="116"/>
        <w:spacing w:line="360" w:lineRule="auto"/>
        <w:ind w:firstLine="480" w:firstLineChars="200"/>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市场价格波动是否调整合同价格的约定：</w:t>
      </w:r>
      <w:r>
        <w:rPr>
          <w:rFonts w:hint="eastAsia" w:ascii="宋体" w:hAnsi="宋体" w:eastAsia="宋体" w:cs="宋体"/>
          <w:color w:val="auto"/>
          <w:kern w:val="0"/>
          <w:sz w:val="24"/>
          <w:highlight w:val="none"/>
          <w:u w:val="single"/>
        </w:rPr>
        <w:t xml:space="preserve">        否       </w:t>
      </w:r>
      <w:r>
        <w:rPr>
          <w:rFonts w:hint="eastAsia" w:ascii="宋体" w:hAnsi="宋体" w:eastAsia="宋体" w:cs="宋体"/>
          <w:color w:val="auto"/>
          <w:kern w:val="0"/>
          <w:sz w:val="24"/>
          <w:highlight w:val="none"/>
        </w:rPr>
        <w:t>。</w:t>
      </w:r>
    </w:p>
    <w:p w14:paraId="6FA32C60">
      <w:pPr>
        <w:pStyle w:val="116"/>
        <w:spacing w:line="360" w:lineRule="auto"/>
        <w:ind w:firstLine="480" w:firstLineChars="200"/>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因市场价格波动调整合同价格，采用以下第 </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种方式对合同价格进行调整：</w:t>
      </w:r>
    </w:p>
    <w:p w14:paraId="7C801D76">
      <w:pPr>
        <w:pStyle w:val="116"/>
        <w:spacing w:line="360" w:lineRule="auto"/>
        <w:ind w:firstLine="480" w:firstLineChars="200"/>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第1种方式：采用造价信息进行价格调整。</w:t>
      </w:r>
    </w:p>
    <w:p w14:paraId="64471014">
      <w:pPr>
        <w:pStyle w:val="116"/>
        <w:spacing w:line="360" w:lineRule="auto"/>
        <w:ind w:firstLine="480" w:firstLineChars="200"/>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（1）关于基准价格的约定</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w:t>
      </w:r>
    </w:p>
    <w:p w14:paraId="75054AFD">
      <w:pPr>
        <w:pStyle w:val="116"/>
        <w:spacing w:line="360" w:lineRule="auto"/>
        <w:ind w:firstLine="480" w:firstLineChars="200"/>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%时，或材料单价跌幅以已标价工程量清单或预算书中载明材料单价为基础超过</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%时，其超过部分据实调整。</w:t>
      </w:r>
    </w:p>
    <w:p w14:paraId="23A49C21">
      <w:pPr>
        <w:pStyle w:val="116"/>
        <w:spacing w:line="360" w:lineRule="auto"/>
        <w:ind w:firstLine="480" w:firstLineChars="200"/>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调整价格的材料品种：</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u w:val="none"/>
          <w:lang w:eastAsia="zh-CN"/>
        </w:rPr>
        <w:t>。</w:t>
      </w:r>
      <w:r>
        <w:rPr>
          <w:rFonts w:hint="eastAsia" w:ascii="宋体" w:hAnsi="宋体" w:eastAsia="宋体" w:cs="宋体"/>
          <w:color w:val="auto"/>
          <w:kern w:val="0"/>
          <w:sz w:val="24"/>
          <w:highlight w:val="none"/>
        </w:rPr>
        <w:t xml:space="preserve">           </w:t>
      </w:r>
    </w:p>
    <w:p w14:paraId="162CF7B0">
      <w:pPr>
        <w:pStyle w:val="116"/>
        <w:spacing w:line="360" w:lineRule="auto"/>
        <w:ind w:firstLine="480" w:firstLineChars="200"/>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 xml:space="preserve">%时，材料单价涨幅以已标价工程量清单或预算书中载明材料单价为基础超过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%时，其超过部分据实调整。</w:t>
      </w:r>
    </w:p>
    <w:p w14:paraId="0610EB90">
      <w:pPr>
        <w:pStyle w:val="116"/>
        <w:spacing w:line="360" w:lineRule="auto"/>
        <w:ind w:firstLine="480" w:firstLineChars="200"/>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调整价格的材料品种：</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rPr>
        <w:t xml:space="preserve">                 </w:t>
      </w:r>
    </w:p>
    <w:p w14:paraId="122B0178">
      <w:pPr>
        <w:pStyle w:val="116"/>
        <w:spacing w:line="360" w:lineRule="auto"/>
        <w:ind w:firstLine="480" w:firstLineChars="200"/>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%时，其超过部分据实调整。</w:t>
      </w:r>
    </w:p>
    <w:p w14:paraId="2DF558FC">
      <w:pPr>
        <w:pStyle w:val="116"/>
        <w:spacing w:line="360" w:lineRule="auto"/>
        <w:ind w:firstLine="480" w:firstLineChars="200"/>
        <w:jc w:val="both"/>
        <w:outlineLvl w:val="9"/>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调整价格的材料品种：</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u w:val="none"/>
          <w:lang w:eastAsia="zh-CN"/>
        </w:rPr>
        <w:t>。</w:t>
      </w:r>
    </w:p>
    <w:p w14:paraId="5303806B">
      <w:pPr>
        <w:pStyle w:val="116"/>
        <w:spacing w:line="360" w:lineRule="auto"/>
        <w:ind w:firstLine="480" w:firstLineChars="200"/>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第2种方式：其他价格调整方式：</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w:t>
      </w:r>
    </w:p>
    <w:p w14:paraId="30F9752B">
      <w:pPr>
        <w:pStyle w:val="116"/>
        <w:spacing w:line="360" w:lineRule="auto"/>
        <w:ind w:firstLine="480" w:firstLineChars="200"/>
        <w:jc w:val="both"/>
        <w:outlineLvl w:val="9"/>
        <w:rPr>
          <w:rFonts w:hint="eastAsia" w:ascii="宋体" w:hAnsi="宋体" w:eastAsia="宋体" w:cs="宋体"/>
          <w:color w:val="auto"/>
          <w:highlight w:val="none"/>
        </w:rPr>
      </w:pPr>
      <w:bookmarkStart w:id="284" w:name="_Toc287628077"/>
      <w:r>
        <w:rPr>
          <w:rFonts w:hint="eastAsia" w:ascii="宋体" w:hAnsi="宋体" w:eastAsia="宋体" w:cs="宋体"/>
          <w:color w:val="auto"/>
          <w:highlight w:val="none"/>
        </w:rPr>
        <w:t>78．支付事项</w:t>
      </w:r>
      <w:bookmarkEnd w:id="284"/>
    </w:p>
    <w:p w14:paraId="048400F9">
      <w:pPr>
        <w:tabs>
          <w:tab w:val="left" w:pos="4180"/>
        </w:tabs>
        <w:autoSpaceDE w:val="0"/>
        <w:autoSpaceDN w:val="0"/>
        <w:adjustRightInd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78.2 延迟支付的利息计算：</w:t>
      </w:r>
      <w:r>
        <w:rPr>
          <w:rFonts w:hint="eastAsia" w:ascii="宋体" w:hAnsi="宋体" w:eastAsia="宋体" w:cs="宋体"/>
          <w:color w:val="auto"/>
          <w:kern w:val="0"/>
          <w:sz w:val="24"/>
          <w:highlight w:val="none"/>
          <w:lang w:val="en-US" w:eastAsia="zh-CN"/>
        </w:rPr>
        <w:t>按一年期LPR标准计算，宽限期90天</w:t>
      </w:r>
      <w:r>
        <w:rPr>
          <w:rFonts w:hint="eastAsia" w:ascii="宋体" w:hAnsi="宋体" w:eastAsia="宋体" w:cs="宋体"/>
          <w:color w:val="auto"/>
          <w:kern w:val="0"/>
          <w:sz w:val="24"/>
          <w:highlight w:val="none"/>
          <w:u w:val="single"/>
        </w:rPr>
        <w:t>。</w:t>
      </w:r>
    </w:p>
    <w:p w14:paraId="4058F535">
      <w:pPr>
        <w:pStyle w:val="116"/>
        <w:spacing w:line="360" w:lineRule="auto"/>
        <w:ind w:firstLine="241" w:firstLineChars="100"/>
        <w:jc w:val="both"/>
        <w:outlineLvl w:val="9"/>
        <w:rPr>
          <w:rFonts w:hint="eastAsia" w:ascii="宋体" w:hAnsi="宋体" w:eastAsia="宋体" w:cs="宋体"/>
          <w:color w:val="auto"/>
          <w:highlight w:val="none"/>
        </w:rPr>
      </w:pPr>
      <w:bookmarkStart w:id="285" w:name="_Toc287628078"/>
      <w:r>
        <w:rPr>
          <w:rFonts w:hint="eastAsia" w:ascii="宋体" w:hAnsi="宋体" w:eastAsia="宋体" w:cs="宋体"/>
          <w:b/>
          <w:bCs w:val="0"/>
          <w:color w:val="auto"/>
          <w:szCs w:val="24"/>
          <w:highlight w:val="none"/>
        </w:rPr>
        <w:t>★</w:t>
      </w:r>
      <w:r>
        <w:rPr>
          <w:rFonts w:hint="eastAsia" w:ascii="宋体" w:hAnsi="宋体" w:eastAsia="宋体" w:cs="宋体"/>
          <w:color w:val="auto"/>
          <w:highlight w:val="none"/>
        </w:rPr>
        <w:t>79．预付款</w:t>
      </w:r>
      <w:bookmarkEnd w:id="285"/>
    </w:p>
    <w:p w14:paraId="6EF65371">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79.1 预付款的约定及管理</w:t>
      </w:r>
    </w:p>
    <w:p w14:paraId="3D11259B">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 预付款的约定</w:t>
      </w:r>
    </w:p>
    <w:p w14:paraId="72AC9699">
      <w:pPr>
        <w:autoSpaceDE w:val="0"/>
        <w:autoSpaceDN w:val="0"/>
        <w:adjustRightInd w:val="0"/>
        <w:spacing w:line="360" w:lineRule="auto"/>
        <w:ind w:firstLine="480" w:firstLineChars="200"/>
        <w:rPr>
          <w:rFonts w:hint="eastAsia"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 没约定预付款的，本款不适用。</w:t>
      </w:r>
    </w:p>
    <w:p w14:paraId="38C9AF81">
      <w:pPr>
        <w:autoSpaceDE w:val="0"/>
        <w:autoSpaceDN w:val="0"/>
        <w:adjustRightInd w:val="0"/>
        <w:spacing w:line="360" w:lineRule="auto"/>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约定预付款的，</w:t>
      </w:r>
      <w:r>
        <w:rPr>
          <w:rFonts w:hint="eastAsia" w:ascii="宋体" w:hAnsi="宋体" w:eastAsia="宋体" w:cs="宋体"/>
          <w:color w:val="auto"/>
          <w:kern w:val="0"/>
          <w:sz w:val="24"/>
          <w:highlight w:val="none"/>
          <w:lang w:val="en-US" w:eastAsia="zh-CN"/>
        </w:rPr>
        <w:t>中标合同每期工程施工费的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15</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其支付办法和抵扣方式，按本条有关专用条款的约定。</w:t>
      </w:r>
    </w:p>
    <w:p w14:paraId="2156C63A">
      <w:pPr>
        <w:rPr>
          <w:rFonts w:hint="eastAsia" w:ascii="宋体" w:hAnsi="宋体"/>
          <w:color w:val="auto"/>
          <w:kern w:val="0"/>
          <w:sz w:val="24"/>
          <w:highlight w:val="none"/>
        </w:rPr>
      </w:pPr>
      <w:r>
        <w:rPr>
          <w:rFonts w:hint="eastAsia" w:ascii="宋体" w:hAnsi="宋体"/>
          <w:color w:val="auto"/>
          <w:kern w:val="0"/>
          <w:sz w:val="24"/>
          <w:highlight w:val="none"/>
        </w:rPr>
        <w:t>预付款的划拨方式：</w:t>
      </w:r>
    </w:p>
    <w:p w14:paraId="63BFC0B2">
      <w:pPr>
        <w:rPr>
          <w:rFonts w:hint="eastAsia" w:ascii="宋体" w:hAnsi="宋体"/>
          <w:color w:val="auto"/>
          <w:kern w:val="0"/>
          <w:sz w:val="24"/>
          <w:highlight w:val="none"/>
        </w:rPr>
      </w:pPr>
    </w:p>
    <w:p w14:paraId="3E8776CC">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79.2 提交预付款支付申请期限：</w:t>
      </w:r>
    </w:p>
    <w:p w14:paraId="35AD7BC1">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 按承包人在完成本款三项工作后的7天内。</w:t>
      </w:r>
    </w:p>
    <w:p w14:paraId="67B4E569">
      <w:pPr>
        <w:spacing w:line="360" w:lineRule="auto"/>
        <w:ind w:left="0" w:leftChars="0" w:firstLine="240" w:firstLine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☑另作约定：</w:t>
      </w:r>
      <w:r>
        <w:rPr>
          <w:rFonts w:hint="eastAsia" w:ascii="宋体" w:hAnsi="宋体" w:eastAsia="宋体" w:cs="宋体"/>
          <w:color w:val="auto"/>
          <w:kern w:val="0"/>
          <w:sz w:val="24"/>
          <w:highlight w:val="none"/>
          <w:u w:val="single"/>
        </w:rPr>
        <w:t>合同签订后，</w:t>
      </w:r>
      <w:r>
        <w:rPr>
          <w:rFonts w:hint="eastAsia" w:ascii="宋体" w:hAnsi="宋体" w:eastAsia="宋体" w:cs="宋体"/>
          <w:color w:val="auto"/>
          <w:kern w:val="0"/>
          <w:sz w:val="24"/>
          <w:highlight w:val="none"/>
          <w:u w:val="single"/>
          <w:lang w:val="en-US" w:eastAsia="zh-CN"/>
        </w:rPr>
        <w:t>甲方结合自身情况，由监理工程师对项目每期分别向乙方发出开工令前，</w:t>
      </w:r>
      <w:r>
        <w:rPr>
          <w:rFonts w:hint="eastAsia" w:ascii="宋体" w:hAnsi="宋体" w:eastAsia="宋体" w:cs="宋体"/>
          <w:color w:val="auto"/>
          <w:kern w:val="0"/>
          <w:sz w:val="24"/>
          <w:highlight w:val="none"/>
          <w:u w:val="single"/>
        </w:rPr>
        <w:t>乙方按本合同附件中的格式向甲方提供与预付工程款金额相当的</w:t>
      </w:r>
      <w:r>
        <w:rPr>
          <w:rFonts w:hint="eastAsia" w:ascii="宋体" w:hAnsi="宋体" w:eastAsia="宋体" w:cs="宋体"/>
          <w:color w:val="auto"/>
          <w:kern w:val="0"/>
          <w:sz w:val="24"/>
          <w:highlight w:val="none"/>
          <w:u w:val="single"/>
          <w:lang w:val="en-US" w:eastAsia="zh-CN"/>
        </w:rPr>
        <w:t>在中国境内合法注册的银行提供的预付款</w:t>
      </w:r>
      <w:r>
        <w:rPr>
          <w:rFonts w:hint="eastAsia" w:ascii="宋体" w:hAnsi="宋体" w:eastAsia="宋体" w:cs="宋体"/>
          <w:color w:val="auto"/>
          <w:kern w:val="0"/>
          <w:sz w:val="24"/>
          <w:highlight w:val="none"/>
          <w:u w:val="single"/>
        </w:rPr>
        <w:t>保函，甲方向乙方预付合同</w:t>
      </w:r>
      <w:r>
        <w:rPr>
          <w:rFonts w:hint="eastAsia" w:ascii="宋体" w:hAnsi="宋体" w:eastAsia="宋体" w:cs="宋体"/>
          <w:color w:val="auto"/>
          <w:kern w:val="0"/>
          <w:sz w:val="24"/>
          <w:highlight w:val="none"/>
          <w:u w:val="single"/>
          <w:lang w:val="en-US" w:eastAsia="zh-CN"/>
        </w:rPr>
        <w:t>满足开工当期暂定工程施工费15</w:t>
      </w:r>
      <w:r>
        <w:rPr>
          <w:rFonts w:hint="eastAsia" w:ascii="宋体" w:hAnsi="宋体" w:eastAsia="宋体" w:cs="宋体"/>
          <w:color w:val="auto"/>
          <w:kern w:val="0"/>
          <w:sz w:val="24"/>
          <w:highlight w:val="none"/>
          <w:u w:val="single"/>
        </w:rPr>
        <w:t>%；保函须由乙方领取并交给甲方,经甲方查询核实为有效保函后才受理,查询核实发生的相关费用由乙方承担。</w:t>
      </w:r>
      <w:r>
        <w:rPr>
          <w:rFonts w:hint="eastAsia" w:ascii="宋体" w:hAnsi="宋体" w:eastAsia="宋体" w:cs="宋体"/>
          <w:color w:val="auto"/>
          <w:kern w:val="0"/>
          <w:sz w:val="24"/>
          <w:szCs w:val="24"/>
          <w:highlight w:val="none"/>
          <w:u w:val="single"/>
          <w:lang w:val="en-US" w:eastAsia="zh-CN" w:bidi="ar"/>
        </w:rPr>
        <w:t>乙方自收到预付款、现场具备施工条件后进场施工，如甲方未及时和（或）足额支付预付款超过60天的，乙方有权拒绝进场施工，且不属于乙方违约，合同工期顺延。</w:t>
      </w:r>
    </w:p>
    <w:p w14:paraId="572B9F36">
      <w:pPr>
        <w:spacing w:line="360" w:lineRule="auto"/>
        <w:rPr>
          <w:rFonts w:hint="eastAsia" w:ascii="宋体" w:hAnsi="宋体"/>
          <w:color w:val="auto"/>
          <w:kern w:val="0"/>
          <w:sz w:val="24"/>
          <w:highlight w:val="none"/>
          <w:u w:val="single"/>
        </w:rPr>
      </w:pPr>
    </w:p>
    <w:p w14:paraId="16D4327F">
      <w:pPr>
        <w:spacing w:line="360" w:lineRule="auto"/>
        <w:rPr>
          <w:rFonts w:hint="eastAsia" w:ascii="宋体" w:hAnsi="宋体" w:eastAsia="宋体" w:cs="宋体"/>
          <w:color w:val="auto"/>
          <w:kern w:val="0"/>
          <w:sz w:val="24"/>
          <w:highlight w:val="none"/>
        </w:rPr>
      </w:pPr>
      <w:r>
        <w:rPr>
          <w:rFonts w:hint="eastAsia" w:ascii="宋体" w:hAnsi="宋体"/>
          <w:color w:val="auto"/>
          <w:kern w:val="0"/>
          <w:sz w:val="24"/>
          <w:highlight w:val="none"/>
        </w:rPr>
        <w:t xml:space="preserve">  </w:t>
      </w:r>
      <w:r>
        <w:rPr>
          <w:rFonts w:hint="eastAsia" w:ascii="宋体" w:hAnsi="宋体" w:eastAsia="宋体" w:cs="宋体"/>
          <w:color w:val="auto"/>
          <w:kern w:val="0"/>
          <w:sz w:val="24"/>
          <w:highlight w:val="none"/>
        </w:rPr>
        <w:t>79.4 预付款抵扣方式</w:t>
      </w:r>
    </w:p>
    <w:p w14:paraId="3BAF6A9D">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 预付款按照期中应支付工程款的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%扣回，直到扣完为止。</w:t>
      </w:r>
    </w:p>
    <w:p w14:paraId="734706CE">
      <w:pPr>
        <w:spacing w:line="360" w:lineRule="auto"/>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  ☑ 其他方式：</w:t>
      </w:r>
      <w:r>
        <w:rPr>
          <w:rFonts w:hint="eastAsia" w:ascii="宋体" w:hAnsi="宋体" w:eastAsia="宋体" w:cs="宋体"/>
          <w:color w:val="auto"/>
          <w:kern w:val="0"/>
          <w:sz w:val="24"/>
          <w:highlight w:val="none"/>
          <w:lang w:val="en-US" w:eastAsia="zh-CN"/>
        </w:rPr>
        <w:t>每期的预付款抵扣，</w:t>
      </w:r>
      <w:r>
        <w:rPr>
          <w:rFonts w:hint="eastAsia" w:ascii="宋体" w:hAnsi="宋体" w:eastAsia="宋体" w:cs="宋体"/>
          <w:color w:val="auto"/>
          <w:kern w:val="0"/>
          <w:sz w:val="24"/>
          <w:highlight w:val="none"/>
          <w:u w:val="single"/>
        </w:rPr>
        <w:t>从</w:t>
      </w:r>
      <w:r>
        <w:rPr>
          <w:rFonts w:hint="eastAsia" w:ascii="宋体" w:hAnsi="宋体" w:eastAsia="宋体" w:cs="宋体"/>
          <w:color w:val="auto"/>
          <w:kern w:val="0"/>
          <w:sz w:val="24"/>
          <w:highlight w:val="none"/>
          <w:u w:val="single"/>
          <w:lang w:val="en-US" w:eastAsia="zh-CN"/>
        </w:rPr>
        <w:t>当期</w:t>
      </w:r>
      <w:r>
        <w:rPr>
          <w:rFonts w:hint="eastAsia" w:ascii="宋体" w:hAnsi="宋体" w:eastAsia="宋体" w:cs="宋体"/>
          <w:color w:val="auto"/>
          <w:kern w:val="0"/>
          <w:sz w:val="24"/>
          <w:highlight w:val="none"/>
          <w:u w:val="single"/>
        </w:rPr>
        <w:t>工程进度完成</w:t>
      </w:r>
      <w:r>
        <w:rPr>
          <w:rFonts w:hint="eastAsia" w:ascii="宋体" w:hAnsi="宋体" w:eastAsia="宋体" w:cs="宋体"/>
          <w:color w:val="auto"/>
          <w:kern w:val="0"/>
          <w:sz w:val="24"/>
          <w:highlight w:val="none"/>
          <w:u w:val="single"/>
          <w:lang w:val="en-US" w:eastAsia="zh-CN"/>
        </w:rPr>
        <w:t>30</w:t>
      </w:r>
      <w:r>
        <w:rPr>
          <w:rFonts w:hint="eastAsia" w:ascii="宋体" w:hAnsi="宋体" w:eastAsia="宋体" w:cs="宋体"/>
          <w:color w:val="auto"/>
          <w:kern w:val="0"/>
          <w:sz w:val="24"/>
          <w:highlight w:val="none"/>
          <w:u w:val="single"/>
        </w:rPr>
        <w:t>%后开始分三次扣回（包括单独支付的</w:t>
      </w:r>
      <w:r>
        <w:rPr>
          <w:rFonts w:hint="eastAsia" w:ascii="宋体" w:hAnsi="宋体" w:eastAsia="宋体" w:cs="宋体"/>
          <w:color w:val="auto"/>
          <w:sz w:val="24"/>
          <w:highlight w:val="none"/>
        </w:rPr>
        <w:t>绿色施工安全防护措施费</w:t>
      </w:r>
      <w:r>
        <w:rPr>
          <w:rFonts w:hint="eastAsia" w:ascii="宋体" w:hAnsi="宋体" w:eastAsia="宋体" w:cs="宋体"/>
          <w:color w:val="auto"/>
          <w:kern w:val="0"/>
          <w:sz w:val="24"/>
          <w:highlight w:val="none"/>
          <w:u w:val="single"/>
        </w:rPr>
        <w:t>），分别为按比例3：4：3分次扣回预付款，工程进度完成</w:t>
      </w:r>
      <w:r>
        <w:rPr>
          <w:rFonts w:hint="eastAsia" w:ascii="宋体" w:hAnsi="宋体" w:eastAsia="宋体" w:cs="宋体"/>
          <w:color w:val="auto"/>
          <w:kern w:val="0"/>
          <w:sz w:val="24"/>
          <w:highlight w:val="none"/>
          <w:u w:val="single"/>
          <w:lang w:val="en-US" w:eastAsia="zh-CN"/>
        </w:rPr>
        <w:t>8</w:t>
      </w:r>
      <w:r>
        <w:rPr>
          <w:rFonts w:hint="eastAsia" w:ascii="宋体" w:hAnsi="宋体" w:eastAsia="宋体" w:cs="宋体"/>
          <w:color w:val="auto"/>
          <w:kern w:val="0"/>
          <w:sz w:val="24"/>
          <w:highlight w:val="none"/>
          <w:u w:val="single"/>
        </w:rPr>
        <w:t>0%前须全部扣回预付款。</w:t>
      </w:r>
    </w:p>
    <w:p w14:paraId="1CA87CCC">
      <w:pPr>
        <w:spacing w:line="360" w:lineRule="auto"/>
        <w:rPr>
          <w:rFonts w:hint="eastAsia" w:ascii="宋体" w:hAnsi="宋体" w:eastAsia="宋体" w:cs="宋体"/>
          <w:color w:val="auto"/>
          <w:kern w:val="0"/>
          <w:sz w:val="24"/>
          <w:highlight w:val="none"/>
          <w:u w:val="single"/>
        </w:rPr>
      </w:pPr>
    </w:p>
    <w:p w14:paraId="0EDD273E">
      <w:pPr>
        <w:spacing w:line="360" w:lineRule="auto"/>
        <w:ind w:firstLine="240" w:firstLineChars="1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79.5 预付款保函的有效与退还</w:t>
      </w:r>
    </w:p>
    <w:p w14:paraId="6022BAB9">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预付款保函》期满前的1个月，相关事项仍未完成的，乙方须向甲方提供新的保证期限为不少于至工程验收合格之日起计半年内的有效的《预付款保函》给甲方或将即将到期的《预付款保函》延期使之符合本条之约定；如乙方不能提供《预付款保函》的，乙方需提供经甲方认可的其他担保；如不能提供令甲方认可的其他担保的，乙方须在《预付款保函》期满前的1个月开始，每天按工程总造价的0.2‰向甲方支付违约金，如在《预付款保函》期满之日，乙方仍未能提供新的保函或经甲方认可的其他担保的，甲方有权解除本合同并不被视作甲方违约。</w:t>
      </w:r>
    </w:p>
    <w:p w14:paraId="333F9AEC">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工程停工超过6个月，而甲方已支付的预付款未有全额扣回时，甲方有权要求乙方向甲方退还未抵扣完的预付款，在收到甲方通知后15日内，乙方应将未抵扣完的预付款转入甲方的指定账户中，如乙方未能按时完成上述工作，甲方将通知预付款保函的出证银行向甲方支付未抵扣完的预付款。工程复工时，乙方再向甲方申请支付上述向甲方退还的预付款。</w:t>
      </w:r>
    </w:p>
    <w:p w14:paraId="329E17A3">
      <w:pPr>
        <w:adjustRightInd w:val="0"/>
        <w:spacing w:before="120" w:beforeLines="5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预付款抵扣完成后，可申请办理预付款保函退回手续。</w:t>
      </w:r>
      <w:bookmarkStart w:id="286" w:name="_Toc469384129"/>
      <w:bookmarkStart w:id="287" w:name="_Toc46860962"/>
      <w:bookmarkStart w:id="288" w:name="_Toc287628079"/>
    </w:p>
    <w:p w14:paraId="364E7BA3">
      <w:pPr>
        <w:adjustRightInd w:val="0"/>
        <w:spacing w:before="120" w:beforeLines="5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★80. 绿色施工安全防护费</w:t>
      </w:r>
      <w:bookmarkEnd w:id="286"/>
      <w:bookmarkEnd w:id="287"/>
    </w:p>
    <w:p w14:paraId="00AB75A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bookmarkEnd w:id="288"/>
      <w:r>
        <w:rPr>
          <w:rFonts w:hint="eastAsia" w:ascii="宋体" w:hAnsi="宋体" w:eastAsia="宋体" w:cs="宋体"/>
          <w:color w:val="auto"/>
          <w:sz w:val="24"/>
          <w:highlight w:val="none"/>
        </w:rPr>
        <w:t>★80.1 绿色施工安全防护费的内容、范围和金额</w:t>
      </w:r>
    </w:p>
    <w:p w14:paraId="20C9A2DD">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 内容和范围</w:t>
      </w:r>
    </w:p>
    <w:p w14:paraId="7E3A21C4">
      <w:pPr>
        <w:autoSpaceDE w:val="0"/>
        <w:autoSpaceDN w:val="0"/>
        <w:adjustRightInd w:val="0"/>
        <w:spacing w:line="360" w:lineRule="auto"/>
        <w:ind w:firstLine="480" w:firstLineChars="200"/>
        <w:rPr>
          <w:rFonts w:hint="eastAsia"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 按通用条款的规定，以现行广东省统一工程计价依据规定为准。</w:t>
      </w:r>
    </w:p>
    <w:p w14:paraId="30AEE44D">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另作约定：</w:t>
      </w:r>
    </w:p>
    <w:p w14:paraId="00AA87D8">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 安全文明施工费的总金额为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元。</w:t>
      </w:r>
    </w:p>
    <w:p w14:paraId="0CFF1753">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80.2 支付申请的提交与核实</w:t>
      </w:r>
    </w:p>
    <w:p w14:paraId="02A8B1BB">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■按通用条款的规定。</w:t>
      </w:r>
    </w:p>
    <w:p w14:paraId="27552C91">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另作约定：</w:t>
      </w:r>
    </w:p>
    <w:p w14:paraId="663C7F8A">
      <w:pPr>
        <w:pStyle w:val="6"/>
        <w:spacing w:line="360" w:lineRule="auto"/>
        <w:ind w:firstLine="480"/>
        <w:rPr>
          <w:rFonts w:hint="eastAsia" w:ascii="宋体" w:hAnsi="宋体" w:eastAsia="宋体" w:cs="宋体"/>
          <w:color w:val="auto"/>
          <w:highlight w:val="none"/>
        </w:rPr>
      </w:pPr>
      <w:r>
        <w:rPr>
          <w:rFonts w:hint="eastAsia" w:ascii="宋体" w:hAnsi="宋体" w:eastAsia="宋体" w:cs="宋体"/>
          <w:color w:val="auto"/>
          <w:kern w:val="0"/>
          <w:sz w:val="24"/>
          <w:highlight w:val="none"/>
        </w:rPr>
        <w:t>80.3 费用支付：</w:t>
      </w:r>
      <w:r>
        <w:rPr>
          <w:rFonts w:hint="eastAsia" w:ascii="宋体" w:hAnsi="宋体" w:eastAsia="宋体" w:cs="宋体"/>
          <w:color w:val="auto"/>
          <w:kern w:val="0"/>
          <w:sz w:val="24"/>
          <w:highlight w:val="none"/>
          <w:u w:val="single"/>
        </w:rPr>
        <w:t>本条不适用</w:t>
      </w:r>
    </w:p>
    <w:p w14:paraId="11E64210">
      <w:pPr>
        <w:pStyle w:val="116"/>
        <w:spacing w:line="360" w:lineRule="auto"/>
        <w:ind w:firstLine="241" w:firstLineChars="100"/>
        <w:jc w:val="both"/>
        <w:outlineLvl w:val="9"/>
        <w:rPr>
          <w:rFonts w:hint="eastAsia" w:ascii="宋体" w:hAnsi="宋体" w:eastAsia="宋体" w:cs="宋体"/>
          <w:color w:val="auto"/>
          <w:highlight w:val="none"/>
        </w:rPr>
      </w:pPr>
      <w:bookmarkStart w:id="289" w:name="_Toc287628080"/>
      <w:r>
        <w:rPr>
          <w:rFonts w:hint="eastAsia" w:ascii="宋体" w:hAnsi="宋体" w:eastAsia="宋体" w:cs="宋体"/>
          <w:b/>
          <w:bCs w:val="0"/>
          <w:color w:val="auto"/>
          <w:szCs w:val="24"/>
          <w:highlight w:val="none"/>
        </w:rPr>
        <w:t>★</w:t>
      </w:r>
      <w:r>
        <w:rPr>
          <w:rFonts w:hint="eastAsia" w:ascii="宋体" w:hAnsi="宋体" w:eastAsia="宋体" w:cs="宋体"/>
          <w:color w:val="auto"/>
          <w:highlight w:val="none"/>
        </w:rPr>
        <w:t>81．进度款</w:t>
      </w:r>
      <w:bookmarkEnd w:id="289"/>
    </w:p>
    <w:p w14:paraId="445A7AA9">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81.1 </w:t>
      </w:r>
      <w:r>
        <w:rPr>
          <w:rFonts w:hint="eastAsia" w:ascii="宋体" w:hAnsi="宋体" w:eastAsia="宋体" w:cs="宋体"/>
          <w:color w:val="auto"/>
          <w:kern w:val="0"/>
          <w:sz w:val="24"/>
          <w:highlight w:val="none"/>
          <w:u w:val="single"/>
        </w:rPr>
        <w:t>本工程的</w:t>
      </w:r>
      <w:r>
        <w:rPr>
          <w:rFonts w:hint="eastAsia" w:ascii="宋体" w:hAnsi="宋体" w:eastAsia="宋体" w:cs="宋体"/>
          <w:color w:val="auto"/>
          <w:sz w:val="24"/>
          <w:highlight w:val="none"/>
          <w:u w:val="single"/>
        </w:rPr>
        <w:t>绿色施工安全防护措施费</w:t>
      </w:r>
      <w:r>
        <w:rPr>
          <w:rFonts w:hint="eastAsia" w:ascii="宋体" w:hAnsi="宋体" w:eastAsia="宋体" w:cs="宋体"/>
          <w:color w:val="auto"/>
          <w:kern w:val="0"/>
          <w:sz w:val="24"/>
          <w:highlight w:val="none"/>
          <w:u w:val="single"/>
        </w:rPr>
        <w:t>的支付方式如下：经审查符合开工条件支付60%，中间安全评价合格后支付30%，工程竣工安全评价合格后支付10%。</w:t>
      </w:r>
      <w:r>
        <w:rPr>
          <w:rFonts w:hint="eastAsia" w:ascii="宋体" w:hAnsi="宋体" w:eastAsia="宋体" w:cs="宋体"/>
          <w:color w:val="auto"/>
          <w:sz w:val="24"/>
          <w:highlight w:val="none"/>
          <w:u w:val="single"/>
        </w:rPr>
        <w:t>绿色施工安全防护措施费</w:t>
      </w:r>
      <w:r>
        <w:rPr>
          <w:rFonts w:hint="eastAsia" w:ascii="宋体" w:hAnsi="宋体" w:eastAsia="宋体" w:cs="宋体"/>
          <w:color w:val="auto"/>
          <w:kern w:val="0"/>
          <w:sz w:val="24"/>
          <w:highlight w:val="none"/>
          <w:u w:val="single"/>
        </w:rPr>
        <w:t>须由甲方对安全防护、文明施工措施评价确认后，方可支付。</w:t>
      </w:r>
    </w:p>
    <w:p w14:paraId="52297979">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 支付期限</w:t>
      </w:r>
    </w:p>
    <w:p w14:paraId="4F445D55">
      <w:pPr>
        <w:autoSpaceDE w:val="0"/>
        <w:autoSpaceDN w:val="0"/>
        <w:adjustRightInd w:val="0"/>
        <w:spacing w:line="360" w:lineRule="auto"/>
        <w:ind w:firstLine="480" w:firstLineChars="200"/>
        <w:rPr>
          <w:rFonts w:hint="eastAsia"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 以月为单位。</w:t>
      </w:r>
    </w:p>
    <w:p w14:paraId="3215AA7A">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以季度为单位。</w:t>
      </w:r>
    </w:p>
    <w:p w14:paraId="5B0042BC">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position w:val="-3"/>
          <w:sz w:val="24"/>
          <w:highlight w:val="none"/>
        </w:rPr>
        <w:t>□ 以形象进度为准，具体为：</w:t>
      </w:r>
      <w:r>
        <w:rPr>
          <w:rFonts w:hint="eastAsia" w:ascii="宋体" w:hAnsi="宋体" w:eastAsia="宋体" w:cs="宋体"/>
          <w:color w:val="auto"/>
          <w:kern w:val="0"/>
          <w:position w:val="-3"/>
          <w:sz w:val="24"/>
          <w:highlight w:val="none"/>
          <w:u w:val="single"/>
        </w:rPr>
        <w:t xml:space="preserve">  /  </w:t>
      </w:r>
    </w:p>
    <w:p w14:paraId="47B2572E">
      <w:pPr>
        <w:autoSpaceDE w:val="0"/>
        <w:autoSpaceDN w:val="0"/>
        <w:adjustRightInd w:val="0"/>
        <w:spacing w:line="360" w:lineRule="auto"/>
        <w:ind w:firstLine="480" w:firstLineChars="200"/>
        <w:rPr>
          <w:rFonts w:hint="eastAsia" w:ascii="宋体" w:hAnsi="宋体" w:eastAsia="宋体" w:cs="宋体"/>
          <w:color w:val="auto"/>
          <w:kern w:val="0"/>
          <w:sz w:val="18"/>
          <w:szCs w:val="18"/>
          <w:highlight w:val="none"/>
        </w:rPr>
      </w:pPr>
      <w:r>
        <w:rPr>
          <w:rFonts w:hint="eastAsia" w:ascii="宋体" w:hAnsi="宋体" w:eastAsia="宋体" w:cs="宋体"/>
          <w:color w:val="auto"/>
          <w:kern w:val="0"/>
          <w:position w:val="-2"/>
          <w:sz w:val="24"/>
          <w:highlight w:val="none"/>
        </w:rPr>
        <w:t>81.1(11) 本期间应支付或扣留（回）的其他款项：</w:t>
      </w:r>
      <w:r>
        <w:rPr>
          <w:rFonts w:hint="eastAsia" w:ascii="宋体" w:hAnsi="宋体" w:eastAsia="宋体" w:cs="宋体"/>
          <w:color w:val="auto"/>
          <w:kern w:val="0"/>
          <w:position w:val="-3"/>
          <w:sz w:val="24"/>
          <w:highlight w:val="none"/>
          <w:u w:val="single"/>
        </w:rPr>
        <w:t xml:space="preserve">  /  </w:t>
      </w:r>
    </w:p>
    <w:p w14:paraId="6533332E">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 政府资金投资工程的支付期、支付办法</w:t>
      </w:r>
    </w:p>
    <w:p w14:paraId="6B5558D6">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按通用条款的规定。</w:t>
      </w:r>
    </w:p>
    <w:p w14:paraId="2CBAFBBE">
      <w:pPr>
        <w:autoSpaceDE w:val="0"/>
        <w:autoSpaceDN w:val="0"/>
        <w:adjustRightInd w:val="0"/>
        <w:spacing w:line="360" w:lineRule="auto"/>
        <w:ind w:firstLine="480" w:firstLineChars="20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 另作约定：</w:t>
      </w:r>
      <w:r>
        <w:rPr>
          <w:rFonts w:hint="eastAsia" w:ascii="宋体" w:hAnsi="宋体" w:eastAsia="宋体" w:cs="宋体"/>
          <w:color w:val="auto"/>
          <w:kern w:val="0"/>
          <w:sz w:val="24"/>
          <w:highlight w:val="none"/>
          <w:u w:val="single"/>
        </w:rPr>
        <w:t xml:space="preserve"> 按专用条款81.3约定 </w:t>
      </w:r>
    </w:p>
    <w:p w14:paraId="4F8561B6">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81.2 期中支付的最低限额为</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元。</w:t>
      </w:r>
    </w:p>
    <w:p w14:paraId="7371CC60">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81.3 进度款支付：</w:t>
      </w:r>
    </w:p>
    <w:p w14:paraId="7FA7CD9C">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（1）工程进度款支付方式：</w:t>
      </w:r>
      <w:r>
        <w:rPr>
          <w:rFonts w:hint="eastAsia" w:ascii="宋体" w:hAnsi="宋体" w:eastAsia="宋体" w:cs="宋体"/>
          <w:color w:val="auto"/>
          <w:kern w:val="0"/>
          <w:sz w:val="24"/>
          <w:highlight w:val="none"/>
          <w:lang w:val="en-US" w:eastAsia="zh-CN"/>
        </w:rPr>
        <w:t>本项目分三期建设，每建设期</w:t>
      </w:r>
      <w:r>
        <w:rPr>
          <w:rFonts w:hint="eastAsia" w:ascii="宋体" w:hAnsi="宋体" w:eastAsia="宋体" w:cs="宋体"/>
          <w:color w:val="auto"/>
          <w:kern w:val="0"/>
          <w:sz w:val="24"/>
          <w:highlight w:val="none"/>
        </w:rPr>
        <w:t>按月支付，基本原则如下：</w:t>
      </w:r>
    </w:p>
    <w:p w14:paraId="7CA419AA">
      <w:pPr>
        <w:spacing w:line="360" w:lineRule="auto"/>
        <w:ind w:firstLine="480" w:firstLineChars="200"/>
        <w:jc w:val="left"/>
        <w:rPr>
          <w:rFonts w:hint="eastAsia" w:ascii="宋体" w:hAnsi="宋体" w:eastAsia="宋体" w:cs="宋体"/>
          <w:color w:val="auto"/>
          <w:kern w:val="0"/>
          <w:sz w:val="24"/>
          <w:highlight w:val="none"/>
        </w:rPr>
      </w:pPr>
      <w:r>
        <w:rPr>
          <w:rFonts w:ascii="宋体" w:hAnsi="宋体" w:eastAsia="宋体" w:cs="宋体"/>
          <w:color w:val="auto"/>
          <w:kern w:val="0"/>
          <w:sz w:val="24"/>
          <w:highlight w:val="none"/>
        </w:rPr>
        <w:t>a、初步设计概算成果文件未经甲方审定前，</w:t>
      </w:r>
      <w:r>
        <w:rPr>
          <w:rFonts w:hint="eastAsia" w:ascii="宋体" w:hAnsi="宋体" w:eastAsia="宋体" w:cs="宋体"/>
          <w:color w:val="auto"/>
          <w:kern w:val="0"/>
          <w:sz w:val="24"/>
          <w:highlight w:val="none"/>
        </w:rPr>
        <w:t>乙</w:t>
      </w:r>
      <w:r>
        <w:rPr>
          <w:rFonts w:ascii="宋体" w:hAnsi="宋体" w:eastAsia="宋体" w:cs="宋体"/>
          <w:color w:val="auto"/>
          <w:kern w:val="0"/>
          <w:sz w:val="24"/>
          <w:highlight w:val="none"/>
        </w:rPr>
        <w:t>方应在每月20日至25日上报完成的工程量报表，按经监理审核及甲方确认的形象月进度后，甲方按经审定月度完成工程量的</w:t>
      </w:r>
      <w:r>
        <w:rPr>
          <w:rFonts w:hint="eastAsia" w:ascii="宋体" w:hAnsi="宋体" w:eastAsia="宋体" w:cs="宋体"/>
          <w:color w:val="auto"/>
          <w:kern w:val="0"/>
          <w:sz w:val="24"/>
          <w:highlight w:val="none"/>
          <w:lang w:val="en-US" w:eastAsia="zh-CN"/>
        </w:rPr>
        <w:t>80</w:t>
      </w:r>
      <w:r>
        <w:rPr>
          <w:rFonts w:ascii="宋体" w:hAnsi="宋体" w:eastAsia="宋体" w:cs="宋体"/>
          <w:color w:val="auto"/>
          <w:kern w:val="0"/>
          <w:sz w:val="24"/>
          <w:highlight w:val="none"/>
        </w:rPr>
        <w:t>%支付工程进度款</w:t>
      </w:r>
      <w:r>
        <w:rPr>
          <w:rFonts w:hint="eastAsia" w:ascii="宋体" w:hAnsi="宋体" w:eastAsia="宋体" w:cs="宋体"/>
          <w:color w:val="auto"/>
          <w:kern w:val="0"/>
          <w:sz w:val="24"/>
          <w:highlight w:val="none"/>
        </w:rPr>
        <w:t>，其中甲方将每一期工程进度款中的15%作为工人工资直接支付至工人工资专用银行账户</w:t>
      </w:r>
      <w:r>
        <w:rPr>
          <w:rFonts w:ascii="宋体" w:hAnsi="宋体" w:eastAsia="宋体" w:cs="宋体"/>
          <w:color w:val="auto"/>
          <w:kern w:val="0"/>
          <w:sz w:val="24"/>
          <w:highlight w:val="none"/>
        </w:rPr>
        <w:t>；</w:t>
      </w:r>
    </w:p>
    <w:p w14:paraId="54F01D99">
      <w:pPr>
        <w:spacing w:line="360" w:lineRule="auto"/>
        <w:ind w:firstLine="480" w:firstLineChars="200"/>
        <w:jc w:val="left"/>
        <w:rPr>
          <w:rFonts w:hint="eastAsia" w:ascii="宋体" w:hAnsi="宋体" w:eastAsia="宋体" w:cs="宋体"/>
          <w:color w:val="auto"/>
          <w:kern w:val="0"/>
          <w:sz w:val="24"/>
          <w:highlight w:val="none"/>
        </w:rPr>
      </w:pPr>
      <w:r>
        <w:rPr>
          <w:rFonts w:ascii="宋体" w:hAnsi="宋体" w:eastAsia="宋体" w:cs="宋体"/>
          <w:color w:val="auto"/>
          <w:kern w:val="0"/>
          <w:sz w:val="24"/>
          <w:highlight w:val="none"/>
        </w:rPr>
        <w:t>b、施工图预算编制成果（视进度情况分区分阶段报送）未经甲方审定前，按经甲方审定的概算计取月度工程款，经甲方确认后作为分区分阶段付款依据，按月度支付工程款。乙方应在每月20日至25日上报完成的工程量报表，经监理审核及甲方确认后，甲方按经审定月度完成工程量的</w:t>
      </w:r>
      <w:r>
        <w:rPr>
          <w:rFonts w:hint="eastAsia" w:ascii="宋体" w:hAnsi="宋体" w:eastAsia="宋体" w:cs="宋体"/>
          <w:color w:val="auto"/>
          <w:kern w:val="0"/>
          <w:sz w:val="24"/>
          <w:highlight w:val="none"/>
          <w:lang w:val="en-US" w:eastAsia="zh-CN"/>
        </w:rPr>
        <w:t>80</w:t>
      </w:r>
      <w:r>
        <w:rPr>
          <w:rFonts w:ascii="宋体" w:hAnsi="宋体" w:eastAsia="宋体" w:cs="宋体"/>
          <w:color w:val="auto"/>
          <w:kern w:val="0"/>
          <w:sz w:val="24"/>
          <w:highlight w:val="none"/>
        </w:rPr>
        <w:t>%支付工程进度款</w:t>
      </w:r>
      <w:r>
        <w:rPr>
          <w:rFonts w:hint="eastAsia" w:ascii="宋体" w:hAnsi="宋体" w:eastAsia="宋体" w:cs="宋体"/>
          <w:color w:val="auto"/>
          <w:kern w:val="0"/>
          <w:sz w:val="24"/>
          <w:highlight w:val="none"/>
        </w:rPr>
        <w:t>，其中甲方将每一期工程进度款中的15%作为工人工资直接支付至工人工资专用银行账户</w:t>
      </w:r>
      <w:r>
        <w:rPr>
          <w:rFonts w:ascii="宋体" w:hAnsi="宋体" w:eastAsia="宋体" w:cs="宋体"/>
          <w:color w:val="auto"/>
          <w:kern w:val="0"/>
          <w:sz w:val="24"/>
          <w:highlight w:val="none"/>
        </w:rPr>
        <w:t>；</w:t>
      </w:r>
    </w:p>
    <w:p w14:paraId="31952921">
      <w:pPr>
        <w:spacing w:line="360" w:lineRule="auto"/>
        <w:ind w:firstLine="480" w:firstLineChars="200"/>
        <w:rPr>
          <w:rFonts w:hint="eastAsia" w:ascii="宋体" w:hAnsi="宋体" w:eastAsia="宋体" w:cs="宋体"/>
          <w:color w:val="auto"/>
          <w:kern w:val="0"/>
          <w:sz w:val="24"/>
          <w:highlight w:val="none"/>
        </w:rPr>
      </w:pPr>
      <w:r>
        <w:rPr>
          <w:rFonts w:ascii="宋体" w:hAnsi="宋体" w:eastAsia="宋体" w:cs="宋体"/>
          <w:color w:val="auto"/>
          <w:kern w:val="0"/>
          <w:sz w:val="24"/>
          <w:highlight w:val="none"/>
        </w:rPr>
        <w:t>c、各专业施工图预算（视进度情况分区分阶段报送）经甲方审定后，以经甲方确认的各专业施工图预算作为拨付工程进度款的依据，</w:t>
      </w:r>
      <w:r>
        <w:rPr>
          <w:rFonts w:hint="eastAsia" w:ascii="宋体" w:hAnsi="宋体" w:eastAsia="宋体" w:cs="宋体"/>
          <w:color w:val="auto"/>
          <w:kern w:val="0"/>
          <w:sz w:val="24"/>
          <w:highlight w:val="none"/>
        </w:rPr>
        <w:t>其中甲方将每一期工程进度款中的15%作为工人工资直接支付至工人工资专用银行账户</w:t>
      </w:r>
      <w:r>
        <w:rPr>
          <w:rFonts w:ascii="宋体" w:hAnsi="宋体" w:eastAsia="宋体" w:cs="宋体"/>
          <w:color w:val="auto"/>
          <w:kern w:val="0"/>
          <w:sz w:val="24"/>
          <w:highlight w:val="none"/>
        </w:rPr>
        <w:t>：</w:t>
      </w:r>
    </w:p>
    <w:p w14:paraId="3DCEEDEE">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ascii="宋体" w:hAnsi="宋体" w:eastAsia="宋体" w:cs="宋体"/>
          <w:color w:val="auto"/>
          <w:kern w:val="0"/>
          <w:sz w:val="24"/>
          <w:highlight w:val="none"/>
        </w:rPr>
        <w:t>乙方应在每月20日至25日，向</w:t>
      </w:r>
      <w:r>
        <w:rPr>
          <w:rFonts w:hint="eastAsia" w:ascii="宋体" w:hAnsi="宋体" w:eastAsia="宋体" w:cs="宋体"/>
          <w:color w:val="auto"/>
          <w:kern w:val="0"/>
          <w:sz w:val="24"/>
          <w:highlight w:val="none"/>
        </w:rPr>
        <w:t>监理单位和</w:t>
      </w:r>
      <w:r>
        <w:rPr>
          <w:rFonts w:ascii="宋体" w:hAnsi="宋体" w:eastAsia="宋体" w:cs="宋体"/>
          <w:color w:val="auto"/>
          <w:kern w:val="0"/>
          <w:sz w:val="24"/>
          <w:highlight w:val="none"/>
        </w:rPr>
        <w:t>甲方提交审核工程量的支付申请和工程款请款资料,甲方收到文件后在5日内完成对已完工程量月报（书）表的审核，并在下个月5日前向</w:t>
      </w:r>
      <w:r>
        <w:rPr>
          <w:rFonts w:hint="eastAsia" w:ascii="宋体" w:hAnsi="宋体" w:eastAsia="宋体" w:cs="宋体"/>
          <w:color w:val="auto"/>
          <w:kern w:val="0"/>
          <w:sz w:val="24"/>
          <w:highlight w:val="none"/>
        </w:rPr>
        <w:t>乙</w:t>
      </w:r>
      <w:r>
        <w:rPr>
          <w:rFonts w:hint="eastAsia" w:ascii="宋体" w:hAnsi="宋体" w:eastAsia="宋体" w:cs="宋体"/>
          <w:color w:val="auto"/>
          <w:kern w:val="0"/>
          <w:sz w:val="24"/>
          <w:highlight w:val="none"/>
          <w:u w:val="dotted"/>
        </w:rPr>
        <w:t>方</w:t>
      </w:r>
      <w:r>
        <w:rPr>
          <w:rFonts w:ascii="宋体" w:hAnsi="宋体" w:eastAsia="宋体" w:cs="宋体"/>
          <w:color w:val="auto"/>
          <w:kern w:val="0"/>
          <w:sz w:val="24"/>
          <w:highlight w:val="none"/>
        </w:rPr>
        <w:t>支付按经审定月度完成工程量</w:t>
      </w:r>
      <w:r>
        <w:rPr>
          <w:rFonts w:hint="eastAsia" w:ascii="宋体" w:hAnsi="宋体" w:eastAsia="宋体" w:cs="宋体"/>
          <w:color w:val="auto"/>
          <w:kern w:val="0"/>
          <w:sz w:val="24"/>
          <w:highlight w:val="none"/>
          <w:lang w:val="en-US" w:eastAsia="zh-CN"/>
        </w:rPr>
        <w:t>80</w:t>
      </w: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工程进度款。</w:t>
      </w:r>
    </w:p>
    <w:p w14:paraId="6D58F6A7">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ascii="宋体" w:hAnsi="宋体" w:eastAsia="宋体" w:cs="宋体"/>
          <w:color w:val="auto"/>
          <w:kern w:val="0"/>
          <w:sz w:val="24"/>
          <w:highlight w:val="none"/>
        </w:rPr>
        <w:t>项目竣工</w:t>
      </w:r>
      <w:r>
        <w:rPr>
          <w:rFonts w:hint="eastAsia" w:ascii="宋体" w:hAnsi="宋体" w:eastAsia="宋体" w:cs="宋体"/>
          <w:color w:val="auto"/>
          <w:kern w:val="0"/>
          <w:sz w:val="24"/>
          <w:highlight w:val="none"/>
        </w:rPr>
        <w:t>且联合</w:t>
      </w:r>
      <w:r>
        <w:rPr>
          <w:rFonts w:ascii="宋体" w:hAnsi="宋体" w:eastAsia="宋体" w:cs="宋体"/>
          <w:color w:val="auto"/>
          <w:kern w:val="0"/>
          <w:sz w:val="24"/>
          <w:highlight w:val="none"/>
        </w:rPr>
        <w:t>验收合格，竣工资料齐全并通过建安工程费结算审核后，</w:t>
      </w:r>
      <w:r>
        <w:rPr>
          <w:rFonts w:hint="eastAsia" w:ascii="宋体" w:hAnsi="宋体" w:eastAsia="宋体" w:cs="宋体"/>
          <w:color w:val="auto"/>
          <w:kern w:val="0"/>
          <w:sz w:val="24"/>
          <w:highlight w:val="none"/>
        </w:rPr>
        <w:t>乙</w:t>
      </w:r>
      <w:r>
        <w:rPr>
          <w:rFonts w:ascii="宋体" w:hAnsi="宋体" w:eastAsia="宋体" w:cs="宋体"/>
          <w:color w:val="auto"/>
          <w:kern w:val="0"/>
          <w:sz w:val="24"/>
          <w:highlight w:val="none"/>
        </w:rPr>
        <w:t>方向</w:t>
      </w:r>
      <w:r>
        <w:rPr>
          <w:rFonts w:hint="eastAsia" w:ascii="宋体" w:hAnsi="宋体" w:eastAsia="宋体" w:cs="宋体"/>
          <w:color w:val="auto"/>
          <w:kern w:val="0"/>
          <w:sz w:val="24"/>
          <w:highlight w:val="none"/>
        </w:rPr>
        <w:t>甲</w:t>
      </w:r>
      <w:r>
        <w:rPr>
          <w:rFonts w:ascii="宋体" w:hAnsi="宋体" w:eastAsia="宋体" w:cs="宋体"/>
          <w:color w:val="auto"/>
          <w:kern w:val="0"/>
          <w:sz w:val="24"/>
          <w:highlight w:val="none"/>
        </w:rPr>
        <w:t>方提供3份竣工付款申请单，</w:t>
      </w:r>
      <w:r>
        <w:rPr>
          <w:rFonts w:hint="eastAsia" w:ascii="宋体" w:hAnsi="宋体" w:eastAsia="宋体" w:cs="宋体"/>
          <w:color w:val="auto"/>
          <w:kern w:val="0"/>
          <w:sz w:val="24"/>
          <w:highlight w:val="none"/>
        </w:rPr>
        <w:t>甲</w:t>
      </w:r>
      <w:r>
        <w:rPr>
          <w:rFonts w:ascii="宋体" w:hAnsi="宋体" w:eastAsia="宋体" w:cs="宋体"/>
          <w:color w:val="auto"/>
          <w:kern w:val="0"/>
          <w:sz w:val="24"/>
          <w:highlight w:val="none"/>
        </w:rPr>
        <w:t>方在收到申请单</w:t>
      </w:r>
      <w:r>
        <w:rPr>
          <w:rFonts w:hint="eastAsia" w:ascii="宋体" w:hAnsi="宋体" w:eastAsia="宋体" w:cs="宋体"/>
          <w:color w:val="auto"/>
          <w:kern w:val="0"/>
          <w:sz w:val="24"/>
          <w:highlight w:val="none"/>
        </w:rPr>
        <w:t>30</w:t>
      </w:r>
      <w:r>
        <w:rPr>
          <w:rFonts w:ascii="宋体" w:hAnsi="宋体" w:eastAsia="宋体" w:cs="宋体"/>
          <w:color w:val="auto"/>
          <w:kern w:val="0"/>
          <w:sz w:val="24"/>
          <w:highlight w:val="none"/>
        </w:rPr>
        <w:t>日内</w:t>
      </w:r>
      <w:r>
        <w:rPr>
          <w:rFonts w:hint="eastAsia" w:ascii="宋体" w:hAnsi="宋体" w:eastAsia="宋体" w:cs="宋体"/>
          <w:color w:val="auto"/>
          <w:kern w:val="0"/>
          <w:sz w:val="24"/>
          <w:highlight w:val="none"/>
        </w:rPr>
        <w:t>累计支付至</w:t>
      </w:r>
      <w:r>
        <w:rPr>
          <w:rFonts w:ascii="宋体" w:hAnsi="宋体" w:eastAsia="宋体" w:cs="宋体"/>
          <w:color w:val="auto"/>
          <w:kern w:val="0"/>
          <w:sz w:val="24"/>
          <w:highlight w:val="none"/>
        </w:rPr>
        <w:t>建安工程费结算价的85%。</w:t>
      </w:r>
    </w:p>
    <w:p w14:paraId="13D5B5AE">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3）乙方按照本合同第82条的约定完成全部竣工结算手续，工程资料完成归档，乙方提交的</w:t>
      </w:r>
      <w:r>
        <w:rPr>
          <w:rFonts w:ascii="宋体" w:hAnsi="宋体" w:eastAsia="宋体" w:cs="宋体"/>
          <w:color w:val="auto"/>
          <w:kern w:val="0"/>
          <w:sz w:val="24"/>
          <w:highlight w:val="none"/>
        </w:rPr>
        <w:t>竣工结算</w:t>
      </w:r>
      <w:r>
        <w:rPr>
          <w:rFonts w:hint="eastAsia" w:ascii="宋体" w:hAnsi="宋体" w:eastAsia="宋体" w:cs="宋体"/>
          <w:color w:val="auto"/>
          <w:kern w:val="0"/>
          <w:sz w:val="24"/>
          <w:highlight w:val="none"/>
        </w:rPr>
        <w:t>支付申请等结算材料经甲方审核通过</w:t>
      </w:r>
      <w:r>
        <w:rPr>
          <w:rFonts w:ascii="宋体" w:hAnsi="宋体" w:eastAsia="宋体" w:cs="宋体"/>
          <w:color w:val="auto"/>
          <w:kern w:val="0"/>
          <w:sz w:val="24"/>
          <w:highlight w:val="none"/>
        </w:rPr>
        <w:t>后</w:t>
      </w:r>
      <w:r>
        <w:rPr>
          <w:rFonts w:hint="eastAsia" w:ascii="宋体" w:hAnsi="宋体" w:eastAsia="宋体" w:cs="宋体"/>
          <w:color w:val="auto"/>
          <w:kern w:val="0"/>
          <w:sz w:val="24"/>
          <w:highlight w:val="none"/>
        </w:rPr>
        <w:t>。其中，</w:t>
      </w:r>
      <w:r>
        <w:rPr>
          <w:rFonts w:ascii="宋体" w:hAnsi="宋体" w:eastAsia="宋体" w:cs="宋体"/>
          <w:color w:val="auto"/>
          <w:kern w:val="0"/>
          <w:sz w:val="24"/>
          <w:highlight w:val="none"/>
        </w:rPr>
        <w:t>建安工程费结算价</w:t>
      </w:r>
      <w:r>
        <w:rPr>
          <w:rFonts w:hint="eastAsia" w:ascii="宋体" w:hAnsi="宋体" w:eastAsia="宋体" w:cs="宋体"/>
          <w:color w:val="auto"/>
          <w:kern w:val="0"/>
          <w:sz w:val="24"/>
          <w:highlight w:val="none"/>
        </w:rPr>
        <w:t>的3%作为工程的质量保证金，具体返还的方式见本合同第84条约定。</w:t>
      </w:r>
    </w:p>
    <w:p w14:paraId="2A8776F0">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4）工程结算最终以甲方确认的结算价为准，若项目被列入政府审计部门</w:t>
      </w:r>
      <w:r>
        <w:rPr>
          <w:rFonts w:hint="eastAsia" w:ascii="宋体" w:hAnsi="宋体" w:eastAsia="宋体" w:cs="宋体"/>
          <w:color w:val="auto"/>
          <w:kern w:val="0"/>
          <w:sz w:val="24"/>
          <w:highlight w:val="none"/>
          <w:lang w:val="en-US" w:eastAsia="zh-CN"/>
        </w:rPr>
        <w:t>或第三方审计</w:t>
      </w:r>
      <w:r>
        <w:rPr>
          <w:rFonts w:hint="eastAsia" w:ascii="宋体" w:hAnsi="宋体" w:eastAsia="宋体" w:cs="宋体"/>
          <w:color w:val="auto"/>
          <w:kern w:val="0"/>
          <w:sz w:val="24"/>
          <w:highlight w:val="none"/>
        </w:rPr>
        <w:t>项目审计计划的，价款结算时以审计部门出具的审计结果为依据。</w:t>
      </w:r>
    </w:p>
    <w:p w14:paraId="6CACC493">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每次款项支付前，乙方应先提供与待支付金额一致的正规发票，否则业主单位有权延期支付。未因甲方原因导致延期支付的，不视为甲方违约，乙方不得以此为由暂停相关工作，仍应按项目开发时序及按甲方要求推进，否则属于乙方违约，按本合同有关条款处理。</w:t>
      </w:r>
    </w:p>
    <w:p w14:paraId="0B1064F8">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w:t>
      </w:r>
      <w:r>
        <w:rPr>
          <w:rFonts w:ascii="宋体" w:hAnsi="宋体" w:eastAsia="宋体" w:cs="宋体"/>
          <w:color w:val="auto"/>
          <w:kern w:val="0"/>
          <w:sz w:val="24"/>
          <w:highlight w:val="none"/>
        </w:rPr>
        <w:t>若双方在结算过程中存在部分子项的争议，在审核期内无法确定，则双方就结算无争议部分60天内支付至90%</w:t>
      </w: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争议部分双方</w:t>
      </w:r>
      <w:r>
        <w:rPr>
          <w:rFonts w:hint="eastAsia" w:ascii="宋体" w:hAnsi="宋体" w:eastAsia="宋体" w:cs="宋体"/>
          <w:color w:val="auto"/>
          <w:kern w:val="0"/>
          <w:sz w:val="24"/>
          <w:highlight w:val="none"/>
        </w:rPr>
        <w:t>（双方认可的第三方评审单位）</w:t>
      </w:r>
      <w:r>
        <w:rPr>
          <w:rFonts w:ascii="宋体" w:hAnsi="宋体" w:eastAsia="宋体" w:cs="宋体"/>
          <w:color w:val="auto"/>
          <w:kern w:val="0"/>
          <w:sz w:val="24"/>
          <w:highlight w:val="none"/>
        </w:rPr>
        <w:t>协商解决。</w:t>
      </w:r>
    </w:p>
    <w:p w14:paraId="60418045">
      <w:pPr>
        <w:spacing w:line="360" w:lineRule="auto"/>
        <w:ind w:firstLine="480" w:firstLineChars="200"/>
        <w:rPr>
          <w:color w:val="auto"/>
          <w:highlight w:val="none"/>
        </w:rPr>
      </w:pPr>
      <w:r>
        <w:rPr>
          <w:rFonts w:hint="eastAsia" w:ascii="宋体" w:hAnsi="宋体" w:eastAsia="宋体" w:cs="宋体"/>
          <w:color w:val="auto"/>
          <w:kern w:val="0"/>
          <w:sz w:val="24"/>
          <w:highlight w:val="none"/>
          <w:lang w:val="en-US" w:eastAsia="zh-CN"/>
        </w:rPr>
        <w:t>7）</w:t>
      </w:r>
      <w:r>
        <w:rPr>
          <w:rFonts w:hint="eastAsia" w:ascii="宋体" w:hAnsi="宋体" w:eastAsia="宋体" w:cs="宋体"/>
          <w:b w:val="0"/>
          <w:bCs w:val="0"/>
          <w:color w:val="auto"/>
          <w:kern w:val="0"/>
          <w:sz w:val="24"/>
          <w:highlight w:val="none"/>
          <w:u w:val="none"/>
          <w:lang w:bidi="ar"/>
        </w:rPr>
        <w:t>本工程资金来源属于农村集体经济组织贷款，</w:t>
      </w:r>
      <w:r>
        <w:rPr>
          <w:rFonts w:hint="eastAsia" w:ascii="宋体" w:hAnsi="宋体" w:eastAsia="宋体" w:cs="宋体"/>
          <w:b w:val="0"/>
          <w:bCs w:val="0"/>
          <w:color w:val="auto"/>
          <w:kern w:val="0"/>
          <w:sz w:val="24"/>
          <w:highlight w:val="none"/>
          <w:u w:val="none"/>
          <w:lang w:val="en-US" w:eastAsia="zh-CN" w:bidi="ar"/>
        </w:rPr>
        <w:t>工程款</w:t>
      </w:r>
      <w:r>
        <w:rPr>
          <w:rFonts w:hint="eastAsia" w:ascii="宋体" w:hAnsi="宋体" w:eastAsia="宋体" w:cs="宋体"/>
          <w:b w:val="0"/>
          <w:bCs w:val="0"/>
          <w:color w:val="auto"/>
          <w:kern w:val="0"/>
          <w:sz w:val="24"/>
          <w:highlight w:val="none"/>
          <w:u w:val="none"/>
          <w:lang w:bidi="ar"/>
        </w:rPr>
        <w:t>的支付须遵守相关银行贷款制度</w:t>
      </w:r>
      <w:r>
        <w:rPr>
          <w:rFonts w:hint="eastAsia" w:ascii="宋体" w:hAnsi="宋体" w:eastAsia="宋体" w:cs="宋体"/>
          <w:b w:val="0"/>
          <w:bCs w:val="0"/>
          <w:color w:val="auto"/>
          <w:kern w:val="0"/>
          <w:sz w:val="24"/>
          <w:highlight w:val="none"/>
          <w:u w:val="none"/>
          <w:lang w:eastAsia="zh-CN" w:bidi="ar"/>
        </w:rPr>
        <w:t>、</w:t>
      </w:r>
      <w:r>
        <w:rPr>
          <w:rFonts w:hint="eastAsia" w:ascii="宋体" w:hAnsi="宋体" w:eastAsia="宋体" w:cs="宋体"/>
          <w:b w:val="0"/>
          <w:bCs w:val="0"/>
          <w:color w:val="auto"/>
          <w:kern w:val="0"/>
          <w:sz w:val="24"/>
          <w:highlight w:val="none"/>
          <w:u w:val="none"/>
          <w:lang w:val="en-US" w:eastAsia="zh-CN" w:bidi="ar"/>
        </w:rPr>
        <w:t>农村资金支付制度</w:t>
      </w:r>
      <w:r>
        <w:rPr>
          <w:rFonts w:hint="eastAsia" w:ascii="宋体" w:hAnsi="宋体" w:eastAsia="宋体" w:cs="宋体"/>
          <w:b w:val="0"/>
          <w:bCs w:val="0"/>
          <w:color w:val="auto"/>
          <w:kern w:val="0"/>
          <w:sz w:val="24"/>
          <w:highlight w:val="none"/>
          <w:u w:val="none"/>
          <w:lang w:bidi="ar"/>
        </w:rPr>
        <w:t>，</w:t>
      </w:r>
      <w:r>
        <w:rPr>
          <w:rFonts w:hint="eastAsia" w:ascii="宋体" w:hAnsi="宋体" w:eastAsia="宋体" w:cs="宋体"/>
          <w:b w:val="0"/>
          <w:bCs w:val="0"/>
          <w:color w:val="auto"/>
          <w:kern w:val="0"/>
          <w:sz w:val="24"/>
          <w:highlight w:val="none"/>
          <w:u w:val="none"/>
          <w:lang w:val="en-US" w:eastAsia="zh-CN" w:bidi="ar"/>
        </w:rPr>
        <w:t>工程款的</w:t>
      </w:r>
      <w:r>
        <w:rPr>
          <w:rFonts w:hint="eastAsia" w:ascii="宋体" w:hAnsi="宋体" w:eastAsia="宋体" w:cs="宋体"/>
          <w:b w:val="0"/>
          <w:bCs w:val="0"/>
          <w:color w:val="auto"/>
          <w:kern w:val="0"/>
          <w:sz w:val="24"/>
          <w:highlight w:val="none"/>
          <w:u w:val="none"/>
          <w:lang w:bidi="ar"/>
        </w:rPr>
        <w:t>支付在银行放款</w:t>
      </w:r>
      <w:r>
        <w:rPr>
          <w:rFonts w:hint="eastAsia" w:ascii="宋体" w:hAnsi="宋体" w:eastAsia="宋体" w:cs="宋体"/>
          <w:b w:val="0"/>
          <w:bCs w:val="0"/>
          <w:color w:val="auto"/>
          <w:kern w:val="0"/>
          <w:sz w:val="24"/>
          <w:highlight w:val="none"/>
          <w:u w:val="none"/>
          <w:lang w:val="en-US" w:eastAsia="zh-CN" w:bidi="ar"/>
        </w:rPr>
        <w:t>及农村资金支付审核完成次</w:t>
      </w:r>
      <w:r>
        <w:rPr>
          <w:rFonts w:hint="eastAsia" w:ascii="宋体" w:hAnsi="宋体" w:eastAsia="宋体" w:cs="宋体"/>
          <w:b w:val="0"/>
          <w:bCs w:val="0"/>
          <w:color w:val="auto"/>
          <w:kern w:val="0"/>
          <w:sz w:val="24"/>
          <w:highlight w:val="none"/>
          <w:u w:val="none"/>
          <w:lang w:bidi="ar"/>
        </w:rPr>
        <w:t>日执行</w:t>
      </w:r>
      <w:r>
        <w:rPr>
          <w:rFonts w:hint="eastAsia" w:ascii="宋体" w:hAnsi="宋体" w:eastAsia="宋体" w:cs="宋体"/>
          <w:b w:val="0"/>
          <w:bCs w:val="0"/>
          <w:color w:val="auto"/>
          <w:kern w:val="0"/>
          <w:sz w:val="24"/>
          <w:highlight w:val="none"/>
          <w:u w:val="none"/>
          <w:lang w:val="en-US" w:bidi="ar"/>
        </w:rPr>
        <w:t>,</w:t>
      </w:r>
      <w:r>
        <w:rPr>
          <w:rFonts w:hint="eastAsia" w:ascii="宋体" w:hAnsi="宋体" w:eastAsia="宋体" w:cs="宋体"/>
          <w:b w:val="0"/>
          <w:bCs w:val="0"/>
          <w:color w:val="auto"/>
          <w:kern w:val="0"/>
          <w:sz w:val="24"/>
          <w:highlight w:val="none"/>
          <w:u w:val="none"/>
          <w:lang w:bidi="ar"/>
        </w:rPr>
        <w:t>若银行延迟放款</w:t>
      </w:r>
      <w:r>
        <w:rPr>
          <w:rFonts w:hint="eastAsia" w:ascii="宋体" w:hAnsi="宋体" w:eastAsia="宋体" w:cs="宋体"/>
          <w:b w:val="0"/>
          <w:bCs w:val="0"/>
          <w:color w:val="auto"/>
          <w:kern w:val="0"/>
          <w:sz w:val="24"/>
          <w:highlight w:val="none"/>
          <w:u w:val="none"/>
          <w:lang w:val="en-US" w:eastAsia="zh-CN" w:bidi="ar"/>
        </w:rPr>
        <w:t>或农村资金支付审核延期</w:t>
      </w:r>
      <w:r>
        <w:rPr>
          <w:rFonts w:hint="eastAsia" w:ascii="宋体" w:hAnsi="宋体" w:eastAsia="宋体" w:cs="宋体"/>
          <w:b w:val="0"/>
          <w:bCs w:val="0"/>
          <w:color w:val="auto"/>
          <w:kern w:val="0"/>
          <w:sz w:val="24"/>
          <w:highlight w:val="none"/>
          <w:u w:val="none"/>
          <w:lang w:bidi="ar"/>
        </w:rPr>
        <w:t>，支付期限相应顺延”。</w:t>
      </w:r>
    </w:p>
    <w:p w14:paraId="296D9594">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（2）乙方需按上述约定按期申请工程进度款；或者经甲方同意后，可将满足申请条件的多个支付节点合并一起申请工程进度款。</w:t>
      </w:r>
    </w:p>
    <w:p w14:paraId="5C8CA71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81.4 期中支付的最低限额为</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41722C2B">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81.5 进度款支付的限制：</w:t>
      </w:r>
      <w:r>
        <w:rPr>
          <w:rFonts w:hint="eastAsia" w:ascii="宋体" w:hAnsi="宋体" w:eastAsia="宋体" w:cs="宋体"/>
          <w:color w:val="auto"/>
          <w:sz w:val="24"/>
          <w:highlight w:val="none"/>
          <w:u w:val="single"/>
        </w:rPr>
        <w:t>本条不适用</w:t>
      </w:r>
      <w:r>
        <w:rPr>
          <w:rFonts w:hint="eastAsia" w:ascii="宋体" w:hAnsi="宋体" w:eastAsia="宋体" w:cs="宋体"/>
          <w:color w:val="auto"/>
          <w:sz w:val="24"/>
          <w:highlight w:val="none"/>
        </w:rPr>
        <w:t>。</w:t>
      </w:r>
    </w:p>
    <w:p w14:paraId="1A715641">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补充内容：</w:t>
      </w:r>
    </w:p>
    <w:p w14:paraId="33A4310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（1）已完工程款额报告的提交和核实                                                                                        </w:t>
      </w:r>
    </w:p>
    <w:p w14:paraId="743FC446">
      <w:pPr>
        <w:spacing w:line="360" w:lineRule="auto"/>
        <w:ind w:firstLine="480" w:firstLineChars="200"/>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乙方应按照约定向监理单位、甲方提交已完工程款额报告。收到报告后，监理单位和甲方应及时核实工程量，并将核实结果通知乙方，作为工程计价和工程款支付的依据。</w:t>
      </w:r>
    </w:p>
    <w:p w14:paraId="598C3202">
      <w:pPr>
        <w:spacing w:line="360" w:lineRule="auto"/>
        <w:ind w:firstLine="480" w:firstLineChars="200"/>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（2）对超出施工图纸范围或因乙方原因造成返工的工程量，均不予计量。</w:t>
      </w:r>
    </w:p>
    <w:p w14:paraId="3DF1DDCC">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（3）补充说明：在任何情况下，最终结算工程量不能超过施工图设计工程量与设计变更工程量之和。</w:t>
      </w:r>
    </w:p>
    <w:p w14:paraId="327B7F2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（4）工程款付款条件：</w:t>
      </w:r>
    </w:p>
    <w:p w14:paraId="626D740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1）当月工程质量应符合质量标准（设计、规范要求及招标文件要求）； </w:t>
      </w:r>
    </w:p>
    <w:p w14:paraId="424A285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2）原则上应当完成当月工程进度计划，非乙方施工方原因除外；</w:t>
      </w:r>
    </w:p>
    <w:p w14:paraId="60095AC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3）内业资料同步；</w:t>
      </w:r>
    </w:p>
    <w:p w14:paraId="5CC699E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4）试验（复试）报告证明所用材料合格或满足合同要求；</w:t>
      </w:r>
    </w:p>
    <w:p w14:paraId="76F64AE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5）经监理工程师验收合格；</w:t>
      </w:r>
    </w:p>
    <w:p w14:paraId="3D95D52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6）绿色施工安全防护措施符合国家规范、法规；</w:t>
      </w:r>
    </w:p>
    <w:p w14:paraId="6F918E9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7）无因欠发施工人员工资，而出现上访或其他不良事件。</w:t>
      </w:r>
    </w:p>
    <w:p w14:paraId="11F0C7B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8）工程建设档案资料的提供与工程建设进度同步。分步工程、专业工程档案资料在工程完成的次月15日前提供；专项验收的资料在建设管理单位要求的时间内提供。</w:t>
      </w:r>
    </w:p>
    <w:p w14:paraId="59151C75">
      <w:pPr>
        <w:pStyle w:val="6"/>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如未能达到以上要求，工程款暂停支付，直至整改至符合以上要求。</w:t>
      </w:r>
    </w:p>
    <w:p w14:paraId="24DCEB66">
      <w:pPr>
        <w:pStyle w:val="116"/>
        <w:spacing w:line="360" w:lineRule="auto"/>
        <w:ind w:firstLine="480" w:firstLineChars="200"/>
        <w:jc w:val="both"/>
        <w:outlineLvl w:val="9"/>
        <w:rPr>
          <w:rFonts w:hint="eastAsia" w:ascii="宋体" w:hAnsi="宋体" w:eastAsia="宋体" w:cs="宋体"/>
          <w:color w:val="auto"/>
          <w:highlight w:val="none"/>
        </w:rPr>
      </w:pPr>
      <w:bookmarkStart w:id="290" w:name="_Toc287628081"/>
      <w:r>
        <w:rPr>
          <w:rFonts w:hint="eastAsia" w:ascii="宋体" w:hAnsi="宋体" w:eastAsia="宋体" w:cs="宋体"/>
          <w:color w:val="auto"/>
          <w:highlight w:val="none"/>
        </w:rPr>
        <w:t>82．竣工结算</w:t>
      </w:r>
      <w:bookmarkEnd w:id="290"/>
    </w:p>
    <w:p w14:paraId="50E7DFB7">
      <w:pPr>
        <w:tabs>
          <w:tab w:val="left" w:pos="1240"/>
        </w:tabs>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82.1 结算的程序和时限：</w:t>
      </w:r>
    </w:p>
    <w:p w14:paraId="352D302C">
      <w:pPr>
        <w:autoSpaceDE w:val="0"/>
        <w:autoSpaceDN w:val="0"/>
        <w:adjustRightInd w:val="0"/>
        <w:spacing w:line="360" w:lineRule="auto"/>
        <w:ind w:firstLine="480" w:firstLineChars="200"/>
        <w:rPr>
          <w:rFonts w:hint="eastAsia"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□按通用条款的规定办理。</w:t>
      </w:r>
    </w:p>
    <w:p w14:paraId="1D7E2CCC">
      <w:pPr>
        <w:autoSpaceDE w:val="0"/>
        <w:autoSpaceDN w:val="0"/>
        <w:adjustRightInd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补充约定：</w:t>
      </w:r>
      <w:r>
        <w:rPr>
          <w:rFonts w:hint="eastAsia" w:ascii="宋体" w:hAnsi="宋体" w:eastAsia="宋体" w:cs="宋体"/>
          <w:color w:val="auto"/>
          <w:kern w:val="0"/>
          <w:sz w:val="24"/>
          <w:highlight w:val="none"/>
          <w:u w:val="single"/>
        </w:rPr>
        <w:t>本项目采用EPCO模式，不适用通用条款第82.5条交付工程的约定。</w:t>
      </w:r>
    </w:p>
    <w:p w14:paraId="147793C2">
      <w:pPr>
        <w:pStyle w:val="6"/>
        <w:rPr>
          <w:rFonts w:hint="eastAsia" w:ascii="宋体" w:hAnsi="宋体" w:eastAsia="宋体" w:cs="宋体"/>
          <w:color w:val="auto"/>
          <w:highlight w:val="none"/>
        </w:rPr>
      </w:pPr>
      <w:bookmarkStart w:id="291" w:name="_Toc287628082"/>
    </w:p>
    <w:p w14:paraId="7E937AA2">
      <w:pPr>
        <w:pStyle w:val="116"/>
        <w:spacing w:line="360" w:lineRule="auto"/>
        <w:ind w:firstLine="241" w:firstLineChars="100"/>
        <w:jc w:val="both"/>
        <w:outlineLvl w:val="9"/>
        <w:rPr>
          <w:rFonts w:hint="eastAsia" w:ascii="宋体" w:hAnsi="宋体" w:eastAsia="宋体" w:cs="宋体"/>
          <w:color w:val="auto"/>
          <w:highlight w:val="none"/>
        </w:rPr>
      </w:pPr>
      <w:r>
        <w:rPr>
          <w:rFonts w:hint="eastAsia" w:ascii="宋体" w:hAnsi="宋体" w:eastAsia="宋体" w:cs="宋体"/>
          <w:b/>
          <w:bCs w:val="0"/>
          <w:color w:val="auto"/>
          <w:szCs w:val="24"/>
          <w:highlight w:val="none"/>
        </w:rPr>
        <w:t>★</w:t>
      </w:r>
      <w:r>
        <w:rPr>
          <w:rFonts w:hint="eastAsia" w:ascii="宋体" w:hAnsi="宋体" w:eastAsia="宋体" w:cs="宋体"/>
          <w:color w:val="auto"/>
          <w:highlight w:val="none"/>
        </w:rPr>
        <w:t>83．结算款</w:t>
      </w:r>
      <w:bookmarkEnd w:id="291"/>
    </w:p>
    <w:p w14:paraId="690EECB3">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83.1 提交竣工支付申请</w:t>
      </w:r>
    </w:p>
    <w:p w14:paraId="4003A357">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 竣工支付期限</w:t>
      </w:r>
    </w:p>
    <w:p w14:paraId="4FC888F9">
      <w:pPr>
        <w:autoSpaceDE w:val="0"/>
        <w:autoSpaceDN w:val="0"/>
        <w:adjustRightInd w:val="0"/>
        <w:spacing w:line="360" w:lineRule="auto"/>
        <w:ind w:firstLine="480" w:firstLineChars="200"/>
        <w:rPr>
          <w:rFonts w:hint="eastAsia"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☑按通用条款的规定，在造价工程师签发竣工结算支付证书后的28天内。</w:t>
      </w:r>
    </w:p>
    <w:p w14:paraId="28A88139">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 政府资金投资工程的支付期、支付办法</w:t>
      </w:r>
    </w:p>
    <w:p w14:paraId="10206BFA">
      <w:pPr>
        <w:autoSpaceDE w:val="0"/>
        <w:autoSpaceDN w:val="0"/>
        <w:adjustRightInd w:val="0"/>
        <w:spacing w:line="360" w:lineRule="auto"/>
        <w:ind w:firstLine="480" w:firstLineChars="200"/>
        <w:rPr>
          <w:rFonts w:hint="eastAsia"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 按通用条款的规定办理。</w:t>
      </w:r>
    </w:p>
    <w:p w14:paraId="081ECE3D">
      <w:pPr>
        <w:autoSpaceDE w:val="0"/>
        <w:autoSpaceDN w:val="0"/>
        <w:adjustRightIn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（3）结算原则：</w:t>
      </w:r>
    </w:p>
    <w:p w14:paraId="67E59068">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本项目采用EPC+O模式，分为三期进行建设，</w:t>
      </w:r>
      <w:r>
        <w:rPr>
          <w:rFonts w:hint="eastAsia" w:ascii="宋体" w:hAnsi="宋体" w:eastAsia="宋体" w:cs="宋体"/>
          <w:color w:val="auto"/>
          <w:kern w:val="0"/>
          <w:sz w:val="24"/>
          <w:highlight w:val="none"/>
        </w:rPr>
        <w:t>分部分项工程综合单价以</w:t>
      </w:r>
      <w:r>
        <w:rPr>
          <w:rFonts w:hint="eastAsia" w:ascii="宋体" w:hAnsi="宋体" w:eastAsia="宋体" w:cs="宋体"/>
          <w:color w:val="auto"/>
          <w:kern w:val="0"/>
          <w:sz w:val="24"/>
          <w:highlight w:val="none"/>
          <w:lang w:val="en-US" w:eastAsia="zh-CN"/>
        </w:rPr>
        <w:t>每期</w:t>
      </w:r>
      <w:r>
        <w:rPr>
          <w:rFonts w:hint="eastAsia" w:ascii="宋体" w:hAnsi="宋体" w:eastAsia="宋体" w:cs="宋体"/>
          <w:color w:val="auto"/>
          <w:kern w:val="0"/>
          <w:sz w:val="24"/>
          <w:highlight w:val="none"/>
        </w:rPr>
        <w:t>双方审核确认后的施工图预算（已考虑中标下浮率）的综合单价固定不变，</w:t>
      </w:r>
      <w:r>
        <w:rPr>
          <w:rFonts w:hint="eastAsia" w:ascii="宋体" w:hAnsi="宋体" w:eastAsia="宋体" w:cs="宋体"/>
          <w:color w:val="auto"/>
          <w:kern w:val="0"/>
          <w:sz w:val="24"/>
          <w:highlight w:val="none"/>
          <w:lang w:val="en-US" w:eastAsia="zh-CN"/>
        </w:rPr>
        <w:t>每期</w:t>
      </w:r>
      <w:r>
        <w:rPr>
          <w:rFonts w:hint="eastAsia" w:ascii="宋体" w:hAnsi="宋体" w:eastAsia="宋体" w:cs="宋体"/>
          <w:color w:val="auto"/>
          <w:kern w:val="0"/>
          <w:sz w:val="24"/>
          <w:highlight w:val="none"/>
        </w:rPr>
        <w:t>结算时按下浮后的综合单价包干、工程量按实计算。</w:t>
      </w:r>
    </w:p>
    <w:p w14:paraId="475FFC09">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bookmarkStart w:id="292" w:name="_Hlk82680053"/>
      <w:r>
        <w:rPr>
          <w:rFonts w:hint="eastAsia" w:ascii="宋体" w:hAnsi="宋体" w:eastAsia="宋体" w:cs="宋体"/>
          <w:color w:val="auto"/>
          <w:kern w:val="0"/>
          <w:sz w:val="24"/>
          <w:highlight w:val="none"/>
        </w:rPr>
        <w:t>如非乙方原因发生重大方案决策调整的</w:t>
      </w:r>
      <w:bookmarkEnd w:id="292"/>
      <w:r>
        <w:rPr>
          <w:rFonts w:hint="eastAsia" w:ascii="宋体" w:hAnsi="宋体" w:eastAsia="宋体" w:cs="宋体"/>
          <w:color w:val="auto"/>
          <w:kern w:val="0"/>
          <w:sz w:val="24"/>
          <w:highlight w:val="none"/>
        </w:rPr>
        <w:t xml:space="preserve">，调整内容经甲方和监理单位批准确认并已完善变更手续的，可予以调整价款，最终结算价以甲方审定为准。    </w:t>
      </w:r>
    </w:p>
    <w:p w14:paraId="004AE416">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非乙方原因导致施工过程中必须增加合同范围以外且无法在竣工图纸上反映的实施内容，经甲方和监理单位批准确认并已完善现场签证手续的，可予以调整价款，最终结算价以甲方审定为准。</w:t>
      </w:r>
    </w:p>
    <w:p w14:paraId="71C23D37">
      <w:pPr>
        <w:pStyle w:val="116"/>
        <w:spacing w:line="360" w:lineRule="auto"/>
        <w:ind w:firstLine="241" w:firstLineChars="100"/>
        <w:jc w:val="both"/>
        <w:outlineLvl w:val="9"/>
        <w:rPr>
          <w:rFonts w:hint="eastAsia" w:ascii="宋体" w:hAnsi="宋体" w:eastAsia="宋体" w:cs="宋体"/>
          <w:color w:val="auto"/>
          <w:highlight w:val="none"/>
        </w:rPr>
      </w:pPr>
      <w:bookmarkStart w:id="293" w:name="_Toc287628083"/>
      <w:r>
        <w:rPr>
          <w:rFonts w:hint="eastAsia" w:ascii="宋体" w:hAnsi="宋体" w:eastAsia="宋体" w:cs="宋体"/>
          <w:b/>
          <w:bCs w:val="0"/>
          <w:color w:val="auto"/>
          <w:szCs w:val="24"/>
          <w:highlight w:val="none"/>
        </w:rPr>
        <w:t>★</w:t>
      </w:r>
      <w:r>
        <w:rPr>
          <w:rFonts w:hint="eastAsia" w:ascii="宋体" w:hAnsi="宋体" w:eastAsia="宋体" w:cs="宋体"/>
          <w:color w:val="auto"/>
          <w:highlight w:val="none"/>
        </w:rPr>
        <w:t>84．质量保证金</w:t>
      </w:r>
      <w:bookmarkEnd w:id="293"/>
    </w:p>
    <w:p w14:paraId="320ABB5C">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84.2 质量保证金的约定与扣留</w:t>
      </w:r>
    </w:p>
    <w:p w14:paraId="603EBEF6">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 质量保证金的约定</w:t>
      </w:r>
    </w:p>
    <w:p w14:paraId="42FEA298">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按通用条款的规定为合同价款的</w:t>
      </w:r>
      <w:r>
        <w:rPr>
          <w:rFonts w:hint="eastAsia" w:ascii="宋体" w:hAnsi="宋体" w:eastAsia="宋体" w:cs="宋体"/>
          <w:color w:val="auto"/>
          <w:spacing w:val="-60"/>
          <w:kern w:val="0"/>
          <w:sz w:val="24"/>
          <w:highlight w:val="none"/>
        </w:rPr>
        <w:t xml:space="preserve"> </w:t>
      </w:r>
      <w:r>
        <w:rPr>
          <w:rFonts w:hint="eastAsia" w:ascii="宋体" w:hAnsi="宋体" w:eastAsia="宋体" w:cs="宋体"/>
          <w:color w:val="auto"/>
          <w:kern w:val="0"/>
          <w:sz w:val="24"/>
          <w:highlight w:val="none"/>
        </w:rPr>
        <w:t>3 %，即</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元。</w:t>
      </w:r>
    </w:p>
    <w:p w14:paraId="77F3AD25">
      <w:pPr>
        <w:tabs>
          <w:tab w:val="left" w:pos="3700"/>
        </w:tabs>
        <w:autoSpaceDE w:val="0"/>
        <w:autoSpaceDN w:val="0"/>
        <w:adjustRightInd w:val="0"/>
        <w:spacing w:line="360" w:lineRule="auto"/>
        <w:ind w:firstLine="480" w:firstLineChars="200"/>
        <w:rPr>
          <w:rFonts w:hint="eastAsia"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 另有约定：</w:t>
      </w:r>
      <w:r>
        <w:rPr>
          <w:rFonts w:hint="eastAsia" w:ascii="宋体" w:hAnsi="宋体" w:eastAsia="宋体" w:cs="宋体"/>
          <w:color w:val="auto"/>
          <w:kern w:val="0"/>
          <w:sz w:val="24"/>
          <w:highlight w:val="none"/>
          <w:u w:val="single"/>
          <w:lang w:val="en-US" w:eastAsia="zh-CN"/>
        </w:rPr>
        <w:t>每期</w:t>
      </w:r>
      <w:r>
        <w:rPr>
          <w:rFonts w:hint="eastAsia" w:ascii="宋体" w:hAnsi="宋体" w:eastAsia="宋体" w:cs="宋体"/>
          <w:color w:val="auto"/>
          <w:kern w:val="0"/>
          <w:sz w:val="24"/>
          <w:highlight w:val="none"/>
          <w:u w:val="single"/>
        </w:rPr>
        <w:t>结算总价款的3%</w:t>
      </w:r>
      <w:r>
        <w:rPr>
          <w:rFonts w:hint="eastAsia" w:ascii="宋体" w:hAnsi="宋体" w:eastAsia="宋体" w:cs="宋体"/>
          <w:color w:val="auto"/>
          <w:kern w:val="0"/>
          <w:sz w:val="24"/>
          <w:highlight w:val="none"/>
          <w:u w:val="single"/>
          <w:lang w:val="en-US" w:eastAsia="zh-CN"/>
        </w:rPr>
        <w:t>或等额的质量保函</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u w:val="single"/>
          <w:lang w:val="en-US" w:eastAsia="zh-CN"/>
        </w:rPr>
        <w:t>由甲方最终决定</w:t>
      </w:r>
      <w:r>
        <w:rPr>
          <w:rFonts w:hint="eastAsia" w:ascii="宋体" w:hAnsi="宋体" w:eastAsia="宋体" w:cs="宋体"/>
          <w:color w:val="auto"/>
          <w:kern w:val="0"/>
          <w:sz w:val="24"/>
          <w:highlight w:val="none"/>
        </w:rPr>
        <w:t>。</w:t>
      </w:r>
    </w:p>
    <w:p w14:paraId="731C1885">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 质量保证金的扣留</w:t>
      </w:r>
    </w:p>
    <w:p w14:paraId="1351E29E">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按通用条款的规定，按每支付期应支付给乙方的进度款和结算款的3%扣留。</w:t>
      </w:r>
    </w:p>
    <w:p w14:paraId="384B252D">
      <w:pPr>
        <w:autoSpaceDE w:val="0"/>
        <w:autoSpaceDN w:val="0"/>
        <w:adjustRightInd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另有约定：</w:t>
      </w:r>
      <w:r>
        <w:rPr>
          <w:rFonts w:hint="eastAsia" w:ascii="宋体" w:hAnsi="宋体" w:eastAsia="宋体" w:cs="宋体"/>
          <w:color w:val="auto"/>
          <w:kern w:val="0"/>
          <w:sz w:val="24"/>
          <w:highlight w:val="none"/>
          <w:u w:val="single"/>
        </w:rPr>
        <w:t>在工程竣工结算款中扣除。</w:t>
      </w:r>
    </w:p>
    <w:p w14:paraId="2917116E">
      <w:pPr>
        <w:autoSpaceDE w:val="0"/>
        <w:autoSpaceDN w:val="0"/>
        <w:adjustRightInd w:val="0"/>
        <w:spacing w:line="360" w:lineRule="auto"/>
        <w:ind w:firstLine="480" w:firstLineChars="20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84.3 补充约定：质量保证金的返还时间：工程竣工验收合格满2年后10工作日内，如无质量问题，将质保金无息返还乙方。若有质量问题，甲方每次返还质保金时需扣除发生的维保费用。在缺陷责任期内如出现工程缺陷情况，乙方须于收到甲方的指令起计24小时内派员进行修复有关缺陷，并于修复工程完成后向甲方提交修复报告。若乙方拒绝执行有关工作或逾期未执行，则甲方在发函催告之日起的3个日历天后，可另行雇用其它施工单位执行有关工作，由此涉及的所有开支将由乙方承担并相应扣减其保修金额，甲方不再另行通知。</w:t>
      </w:r>
    </w:p>
    <w:p w14:paraId="5723DD65">
      <w:pPr>
        <w:pStyle w:val="116"/>
        <w:spacing w:line="360" w:lineRule="auto"/>
        <w:ind w:firstLine="480" w:firstLineChars="200"/>
        <w:jc w:val="both"/>
        <w:outlineLvl w:val="9"/>
        <w:rPr>
          <w:rFonts w:hint="eastAsia" w:ascii="宋体" w:hAnsi="宋体" w:eastAsia="宋体" w:cs="宋体"/>
          <w:color w:val="auto"/>
          <w:highlight w:val="none"/>
        </w:rPr>
      </w:pPr>
      <w:bookmarkStart w:id="294" w:name="_Toc287628084"/>
      <w:r>
        <w:rPr>
          <w:rFonts w:hint="eastAsia" w:ascii="宋体" w:hAnsi="宋体" w:eastAsia="宋体" w:cs="宋体"/>
          <w:color w:val="auto"/>
          <w:highlight w:val="none"/>
        </w:rPr>
        <w:t>85．最终清算款</w:t>
      </w:r>
      <w:bookmarkEnd w:id="294"/>
    </w:p>
    <w:p w14:paraId="60ED419F">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85.1 提交最终清算支付申请</w:t>
      </w:r>
    </w:p>
    <w:p w14:paraId="07F9A5B9">
      <w:pPr>
        <w:tabs>
          <w:tab w:val="left" w:pos="1240"/>
        </w:tabs>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 最终清算支付申请</w:t>
      </w:r>
    </w:p>
    <w:p w14:paraId="2AD548D0">
      <w:pPr>
        <w:tabs>
          <w:tab w:val="left" w:pos="1240"/>
        </w:tabs>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提交份数：</w:t>
      </w:r>
      <w:r>
        <w:rPr>
          <w:rFonts w:hint="eastAsia" w:ascii="宋体" w:hAnsi="宋体" w:eastAsia="宋体" w:cs="宋体"/>
          <w:color w:val="auto"/>
          <w:kern w:val="0"/>
          <w:sz w:val="24"/>
          <w:highlight w:val="none"/>
          <w:u w:val="single"/>
        </w:rPr>
        <w:t xml:space="preserve">  一式四份。  </w:t>
      </w:r>
    </w:p>
    <w:p w14:paraId="7AC979F5">
      <w:pPr>
        <w:autoSpaceDE w:val="0"/>
        <w:autoSpaceDN w:val="0"/>
        <w:adjustRightInd w:val="0"/>
        <w:spacing w:line="360" w:lineRule="auto"/>
        <w:ind w:firstLine="480" w:firstLineChars="200"/>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24"/>
          <w:highlight w:val="none"/>
        </w:rPr>
        <w:t>提交期限：</w:t>
      </w:r>
      <w:r>
        <w:rPr>
          <w:rFonts w:hint="eastAsia" w:ascii="宋体" w:hAnsi="宋体" w:eastAsia="宋体" w:cs="宋体"/>
          <w:color w:val="auto"/>
          <w:kern w:val="0"/>
          <w:sz w:val="24"/>
          <w:highlight w:val="none"/>
          <w:u w:val="single"/>
        </w:rPr>
        <w:t xml:space="preserve">  缺陷责任期满30日内。  </w:t>
      </w:r>
    </w:p>
    <w:p w14:paraId="560AD210">
      <w:pPr>
        <w:tabs>
          <w:tab w:val="left" w:pos="1240"/>
        </w:tabs>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 最终清算支付时限</w:t>
      </w:r>
    </w:p>
    <w:p w14:paraId="67CD4916">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按通用条款的规定，在造价工程师签发最终清算支付证书后的14天内。</w:t>
      </w:r>
    </w:p>
    <w:p w14:paraId="447FF518">
      <w:pPr>
        <w:tabs>
          <w:tab w:val="left" w:pos="1240"/>
        </w:tabs>
        <w:autoSpaceDE w:val="0"/>
        <w:autoSpaceDN w:val="0"/>
        <w:adjustRightInd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另有约定：</w:t>
      </w:r>
      <w:r>
        <w:rPr>
          <w:rFonts w:hint="eastAsia" w:ascii="宋体" w:hAnsi="宋体" w:eastAsia="宋体" w:cs="宋体"/>
          <w:color w:val="auto"/>
          <w:kern w:val="0"/>
          <w:sz w:val="24"/>
          <w:highlight w:val="none"/>
          <w:u w:val="single"/>
        </w:rPr>
        <w:t>缺陷责任期期满，并取得缺陷责任期终止证书后，按工程款支付办法向乙方支付工程结算余款（无息）。</w:t>
      </w:r>
    </w:p>
    <w:p w14:paraId="09A19251">
      <w:pPr>
        <w:autoSpaceDE w:val="0"/>
        <w:autoSpaceDN w:val="0"/>
        <w:adjustRightInd w:val="0"/>
        <w:spacing w:line="360" w:lineRule="auto"/>
        <w:ind w:firstLine="400" w:firstLineChars="200"/>
        <w:rPr>
          <w:rFonts w:hint="eastAsia" w:ascii="宋体" w:hAnsi="宋体" w:eastAsia="宋体" w:cs="宋体"/>
          <w:color w:val="auto"/>
          <w:kern w:val="0"/>
          <w:sz w:val="20"/>
          <w:szCs w:val="20"/>
          <w:highlight w:val="none"/>
        </w:rPr>
      </w:pPr>
      <w:bookmarkStart w:id="295" w:name="_Toc287628085"/>
    </w:p>
    <w:p w14:paraId="27FE9AD8">
      <w:pPr>
        <w:pStyle w:val="116"/>
        <w:spacing w:line="360" w:lineRule="auto"/>
        <w:ind w:firstLine="480" w:firstLineChars="20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86．合同争议</w:t>
      </w:r>
      <w:bookmarkEnd w:id="295"/>
    </w:p>
    <w:p w14:paraId="125B5BB7">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86.4 调解或认定</w:t>
      </w:r>
    </w:p>
    <w:p w14:paraId="2260F97C">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争议调解或认定机构：</w:t>
      </w:r>
    </w:p>
    <w:p w14:paraId="6328A9E4">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sym w:font="Wingdings 2" w:char="00A3"/>
      </w:r>
      <w:r>
        <w:rPr>
          <w:rFonts w:hint="eastAsia" w:ascii="宋体" w:hAnsi="宋体" w:eastAsia="宋体" w:cs="宋体"/>
          <w:color w:val="auto"/>
          <w:kern w:val="0"/>
          <w:sz w:val="24"/>
          <w:highlight w:val="none"/>
        </w:rPr>
        <w:t>按通用条款的规定。</w:t>
      </w:r>
    </w:p>
    <w:p w14:paraId="52D39DCE">
      <w:pPr>
        <w:autoSpaceDE w:val="0"/>
        <w:autoSpaceDN w:val="0"/>
        <w:adjustRightInd w:val="0"/>
        <w:spacing w:line="360" w:lineRule="auto"/>
        <w:ind w:firstLine="480" w:firstLineChars="200"/>
        <w:rPr>
          <w:rFonts w:hint="eastAsia" w:ascii="宋体" w:hAnsi="宋体" w:eastAsia="等线" w:cs="宋体"/>
          <w:color w:val="auto"/>
          <w:kern w:val="0"/>
          <w:sz w:val="24"/>
          <w:highlight w:val="none"/>
          <w:lang w:eastAsia="zh-CN"/>
        </w:rPr>
      </w:pPr>
      <w:r>
        <w:rPr>
          <w:rFonts w:hint="eastAsia" w:ascii="宋体" w:hAnsi="宋体" w:eastAsia="宋体" w:cs="宋体"/>
          <w:color w:val="auto"/>
          <w:kern w:val="0"/>
          <w:sz w:val="24"/>
          <w:highlight w:val="none"/>
        </w:rPr>
        <w:t>■ 另有约定：</w:t>
      </w:r>
    </w:p>
    <w:p w14:paraId="551F376E">
      <w:pPr>
        <w:pStyle w:val="6"/>
        <w:spacing w:line="360" w:lineRule="auto"/>
        <w:ind w:firstLine="480"/>
        <w:rPr>
          <w:rFonts w:hint="eastAsia" w:ascii="宋体" w:hAnsi="宋体" w:eastAsia="宋体" w:cs="宋体"/>
          <w:color w:val="auto"/>
          <w:highlight w:val="none"/>
          <w:lang w:eastAsia="zh-CN"/>
        </w:rPr>
      </w:pPr>
    </w:p>
    <w:p w14:paraId="73A97DD2">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86.6 仲裁或诉讼</w:t>
      </w:r>
    </w:p>
    <w:p w14:paraId="7FA41EAC">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解决争议的最终方式：</w:t>
      </w:r>
    </w:p>
    <w:p w14:paraId="0DF4A49D">
      <w:pPr>
        <w:autoSpaceDE w:val="0"/>
        <w:autoSpaceDN w:val="0"/>
        <w:adjustRightInd w:val="0"/>
        <w:spacing w:line="360" w:lineRule="auto"/>
        <w:ind w:firstLine="480" w:firstLineChars="200"/>
        <w:rPr>
          <w:rFonts w:hint="eastAsia"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 向</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（仲裁机构）申请仲裁。</w:t>
      </w:r>
    </w:p>
    <w:p w14:paraId="4832E1EB">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向有管辖权的人民法院提起诉讼。</w:t>
      </w:r>
    </w:p>
    <w:p w14:paraId="1E753C22">
      <w:pPr>
        <w:autoSpaceDE w:val="0"/>
        <w:autoSpaceDN w:val="0"/>
        <w:adjustRightInd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另有约定</w:t>
      </w:r>
      <w:r>
        <w:rPr>
          <w:rFonts w:hint="eastAsia" w:ascii="宋体" w:hAnsi="宋体" w:eastAsia="宋体" w:cs="宋体"/>
          <w:color w:val="auto"/>
          <w:kern w:val="0"/>
          <w:sz w:val="24"/>
          <w:highlight w:val="none"/>
          <w:u w:val="single"/>
        </w:rPr>
        <w:t>：向广州市番禺区人民法院提起诉讼。</w:t>
      </w:r>
    </w:p>
    <w:p w14:paraId="5268C974">
      <w:pPr>
        <w:pStyle w:val="17"/>
        <w:rPr>
          <w:rFonts w:hint="eastAsia" w:ascii="宋体" w:hAnsi="宋体" w:eastAsia="宋体" w:cs="宋体"/>
          <w:color w:val="auto"/>
          <w:kern w:val="0"/>
          <w:sz w:val="24"/>
          <w:highlight w:val="none"/>
          <w:u w:val="single"/>
          <w:lang w:val="en-US" w:eastAsia="zh-CN"/>
        </w:rPr>
      </w:pPr>
      <w:r>
        <w:rPr>
          <w:rFonts w:hint="eastAsia" w:ascii="宋体" w:hAnsi="宋体" w:eastAsia="宋体" w:cs="宋体"/>
          <w:color w:val="auto"/>
          <w:kern w:val="0"/>
          <w:sz w:val="24"/>
          <w:highlight w:val="none"/>
          <w:u w:val="single"/>
          <w:lang w:val="en-US" w:eastAsia="zh-CN"/>
        </w:rPr>
        <w:t>87.4 因甲方的原因解除合同</w:t>
      </w:r>
    </w:p>
    <w:p w14:paraId="0C86AC27">
      <w:pPr>
        <w:pStyle w:val="17"/>
        <w:spacing w:line="360" w:lineRule="auto"/>
        <w:ind w:firstLine="420" w:firstLineChars="175"/>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甲方未按合同约定时间和（或）约定比例支付工程款的行为达90日历天（不含宽限期），乙方有权单方面停工；如达120日历天（不含宽限期），乙方有权单方面解除本合同，无论是否停工还是解除合同，乙方无需承担任何违约责任。</w:t>
      </w:r>
    </w:p>
    <w:p w14:paraId="2DBCEE3D">
      <w:pPr>
        <w:pStyle w:val="17"/>
        <w:keepNext w:val="0"/>
        <w:keepLines w:val="0"/>
        <w:widowControl/>
        <w:suppressLineNumbers w:val="0"/>
        <w:wordWrap/>
        <w:topLinePunct w:val="0"/>
        <w:adjustRightInd w:val="0"/>
        <w:snapToGrid w:val="0"/>
        <w:spacing w:before="0" w:beforeAutospacing="0" w:after="0" w:afterAutospacing="0" w:line="360" w:lineRule="auto"/>
        <w:ind w:left="0" w:right="0" w:firstLine="420" w:firstLineChars="175"/>
        <w:jc w:val="both"/>
        <w:rPr>
          <w:rFonts w:hint="eastAsia" w:ascii="宋体" w:hAnsi="宋体" w:eastAsia="宋体" w:cs="宋体"/>
          <w:color w:val="auto"/>
          <w:kern w:val="0"/>
          <w:sz w:val="24"/>
          <w:szCs w:val="24"/>
          <w:highlight w:val="none"/>
          <w:u w:val="none"/>
          <w:lang w:val="en-US"/>
        </w:rPr>
      </w:pPr>
      <w:r>
        <w:rPr>
          <w:rFonts w:hint="eastAsia" w:ascii="宋体" w:hAnsi="宋体" w:eastAsia="宋体" w:cs="宋体"/>
          <w:snapToGrid/>
          <w:color w:val="auto"/>
          <w:kern w:val="0"/>
          <w:sz w:val="24"/>
          <w:szCs w:val="24"/>
          <w:highlight w:val="none"/>
          <w:u w:val="none"/>
          <w:lang w:val="en-US" w:eastAsia="zh-CN" w:bidi="ar-SA"/>
        </w:rPr>
        <w:t>甲方应在承包人提出解除合同和提交退场结算申请书后30天内据实对乙方已完工程价款、投入的所有物资（包括但不限于已采购和已订货但未施工的材料、设备等物资）、劳务工人费用、管理人员费用及办公费用等乙方为履约本合同而投入的所有费用进行结算。</w:t>
      </w:r>
    </w:p>
    <w:p w14:paraId="35FEE285">
      <w:pPr>
        <w:pStyle w:val="17"/>
        <w:spacing w:line="360" w:lineRule="auto"/>
        <w:ind w:firstLine="420" w:firstLineChars="175"/>
        <w:rPr>
          <w:rFonts w:hint="eastAsia" w:ascii="宋体" w:hAnsi="宋体" w:eastAsia="宋体" w:cs="宋体"/>
          <w:snapToGrid/>
          <w:color w:val="auto"/>
          <w:kern w:val="0"/>
          <w:sz w:val="24"/>
          <w:szCs w:val="24"/>
          <w:highlight w:val="none"/>
          <w:u w:val="none"/>
          <w:lang w:val="en-US" w:eastAsia="zh-CN" w:bidi="ar-SA"/>
        </w:rPr>
      </w:pPr>
      <w:r>
        <w:rPr>
          <w:rFonts w:hint="eastAsia" w:ascii="宋体" w:hAnsi="宋体" w:eastAsia="宋体" w:cs="宋体"/>
          <w:snapToGrid/>
          <w:color w:val="auto"/>
          <w:kern w:val="0"/>
          <w:sz w:val="24"/>
          <w:szCs w:val="24"/>
          <w:highlight w:val="none"/>
          <w:u w:val="none"/>
          <w:lang w:val="en-US" w:eastAsia="zh-CN" w:bidi="ar-SA"/>
        </w:rPr>
        <w:t>甲方应在双方确定结算金额后60日历天内付清所有款项。如甲方逾期审核结算，则视为同意乙方提交的结算。自合同解除之日起，乙方不再对工程承担照管和维护义务。</w:t>
      </w:r>
    </w:p>
    <w:p w14:paraId="75C01829">
      <w:pPr>
        <w:pStyle w:val="17"/>
        <w:spacing w:line="360" w:lineRule="auto"/>
        <w:ind w:firstLine="420" w:firstLineChars="175"/>
        <w:rPr>
          <w:rFonts w:hint="default" w:ascii="宋体" w:hAnsi="宋体" w:eastAsia="宋体" w:cs="宋体"/>
          <w:snapToGrid/>
          <w:color w:val="auto"/>
          <w:kern w:val="0"/>
          <w:sz w:val="24"/>
          <w:szCs w:val="24"/>
          <w:highlight w:val="none"/>
          <w:u w:val="none"/>
          <w:lang w:val="en-US" w:eastAsia="zh-CN" w:bidi="ar-SA"/>
        </w:rPr>
      </w:pPr>
    </w:p>
    <w:p w14:paraId="4C135E2D">
      <w:pPr>
        <w:pStyle w:val="3"/>
        <w:spacing w:after="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违约责任补充：</w:t>
      </w:r>
    </w:p>
    <w:p w14:paraId="5E5ABC61">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90.3若乙方有需要向甲方返还费用、赔偿和/或支付违约金的，甲方有权从应付款项中直接扣除对应损失金额。若不足抵付甲方损失的, 乙方还应负责赔偿。</w:t>
      </w:r>
    </w:p>
    <w:p w14:paraId="3F56497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90.4乙方承担违约责任的方式包括但不限于：</w:t>
      </w:r>
    </w:p>
    <w:p w14:paraId="1F208D29">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①书面警告。乙方不履行或不完全履行合同或不执行总监理工程师或甲方（含主管人员）的指令时，甲方有权向乙方发出书面警告。乙方必须在书面警告限定的时间内履行义务或执行指令，否则应承担1次一般违约责任。</w:t>
      </w:r>
    </w:p>
    <w:p w14:paraId="70695ACD">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②一般违约责任。乙方违反本合同的约定须承担一般违约责任时，必须向甲方支付违约金10000元/次。</w:t>
      </w:r>
    </w:p>
    <w:p w14:paraId="3B22603B">
      <w:pPr>
        <w:numPr>
          <w:ilvl w:val="0"/>
          <w:numId w:val="31"/>
        </w:num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严重违约责任。乙方违反本合同的约定须承担严重违约责任时，必须向甲方支付违约金</w:t>
      </w:r>
      <w:r>
        <w:rPr>
          <w:rFonts w:ascii="宋体" w:hAnsi="宋体" w:eastAsia="宋体" w:cs="宋体"/>
          <w:color w:val="auto"/>
          <w:kern w:val="0"/>
          <w:sz w:val="24"/>
          <w:highlight w:val="none"/>
        </w:rPr>
        <w:t>5</w:t>
      </w:r>
      <w:r>
        <w:rPr>
          <w:rFonts w:hint="eastAsia" w:ascii="宋体" w:hAnsi="宋体" w:eastAsia="宋体" w:cs="宋体"/>
          <w:color w:val="auto"/>
          <w:kern w:val="0"/>
          <w:sz w:val="24"/>
          <w:highlight w:val="none"/>
        </w:rPr>
        <w:t>0000元/次。</w:t>
      </w:r>
    </w:p>
    <w:p w14:paraId="175B1C61">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④部分解除合同。当乙方违反本合同的约定符合部分解除合同的条件时，甲方有权向乙方发出书面部分解除合同的通知，该通知在送达乙方时即生效。甲方有权从本合同价款中直接扣除被解除部分工程所需的全部费用，同时，乙方应在部分解除合同之日起七日内向甲方支付被解除部分工程合同价款</w:t>
      </w:r>
      <w:r>
        <w:rPr>
          <w:rFonts w:hint="eastAsia" w:ascii="宋体" w:hAnsi="宋体" w:eastAsia="宋体" w:cs="宋体"/>
          <w:color w:val="auto"/>
          <w:kern w:val="0"/>
          <w:sz w:val="24"/>
          <w:highlight w:val="none"/>
          <w:lang w:val="en-US" w:eastAsia="zh-CN"/>
        </w:rPr>
        <w:t>15%</w:t>
      </w:r>
      <w:r>
        <w:rPr>
          <w:rFonts w:hint="eastAsia" w:ascii="宋体" w:hAnsi="宋体" w:eastAsia="宋体" w:cs="宋体"/>
          <w:color w:val="auto"/>
          <w:kern w:val="0"/>
          <w:sz w:val="24"/>
          <w:highlight w:val="none"/>
        </w:rPr>
        <w:t>的违约金并赔偿甲方的实际损失。</w:t>
      </w:r>
    </w:p>
    <w:p w14:paraId="508F7986">
      <w:pPr>
        <w:spacing w:line="360" w:lineRule="auto"/>
        <w:ind w:firstLine="480" w:firstLineChars="200"/>
        <w:rPr>
          <w:color w:val="auto"/>
          <w:highlight w:val="none"/>
        </w:rPr>
      </w:pPr>
      <w:r>
        <w:rPr>
          <w:rFonts w:hint="eastAsia" w:ascii="宋体" w:hAnsi="宋体" w:eastAsia="宋体" w:cs="宋体"/>
          <w:color w:val="auto"/>
          <w:kern w:val="0"/>
          <w:sz w:val="24"/>
          <w:highlight w:val="none"/>
        </w:rPr>
        <w:t>⑤解除合同。当乙方违反本合同的约定符合解除合同的条件时，甲方有权向乙方发出书面解除合同的通知，该通知在送达乙方时即生效，乙方应在解除合同之日起七日内向甲方支付项目</w:t>
      </w:r>
      <w:r>
        <w:rPr>
          <w:rFonts w:hint="eastAsia" w:ascii="宋体" w:hAnsi="宋体" w:eastAsia="宋体" w:cs="宋体"/>
          <w:color w:val="auto"/>
          <w:kern w:val="0"/>
          <w:sz w:val="24"/>
          <w:highlight w:val="none"/>
          <w:lang w:val="en-US" w:eastAsia="zh-CN"/>
        </w:rPr>
        <w:t>当期合同金额的15%</w:t>
      </w:r>
      <w:r>
        <w:rPr>
          <w:rFonts w:hint="eastAsia" w:ascii="宋体" w:hAnsi="宋体" w:eastAsia="宋体" w:cs="宋体"/>
          <w:color w:val="auto"/>
          <w:kern w:val="0"/>
          <w:sz w:val="24"/>
          <w:highlight w:val="none"/>
        </w:rPr>
        <w:t>的违约金并赔偿甲方的实际损失。</w:t>
      </w:r>
    </w:p>
    <w:p w14:paraId="13549BFC">
      <w:pPr>
        <w:spacing w:line="360" w:lineRule="auto"/>
        <w:ind w:firstLine="0" w:firstLineChars="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⑥赔偿损失。因乙方原因造成甲方经济损失的，乙方应赔偿甲方的全部直接和间接经济损失。</w:t>
      </w:r>
    </w:p>
    <w:p w14:paraId="24BD8192">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⑦完全由专业乙方和专业分包人造成违约，也不免除乙方的违约责任。</w:t>
      </w:r>
    </w:p>
    <w:p w14:paraId="4CABF338">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乙方按本合同约定应支付的违约金和赔偿金应分别计算。</w:t>
      </w:r>
    </w:p>
    <w:p w14:paraId="0873BC70">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90.6在本合同有效期内，累计三次书面警告另追加一次一般违约责任；累计三次一般违约责任另追加一次严重违约责任；累计三次严重违约责任，甲方有权单方面部分或全部解除合同。</w:t>
      </w:r>
    </w:p>
    <w:p w14:paraId="603295BB">
      <w:pPr>
        <w:spacing w:line="360" w:lineRule="auto"/>
        <w:ind w:firstLine="480" w:firstLineChars="200"/>
        <w:rPr>
          <w:rFonts w:hint="eastAsia" w:ascii="宋体" w:hAnsi="宋体" w:eastAsia="宋体" w:cs="宋体"/>
          <w:color w:val="auto"/>
          <w:kern w:val="0"/>
          <w:sz w:val="24"/>
          <w:highlight w:val="none"/>
        </w:rPr>
      </w:pPr>
      <w:bookmarkStart w:id="296" w:name="_Toc503856446"/>
      <w:r>
        <w:rPr>
          <w:rFonts w:hint="eastAsia" w:ascii="宋体" w:hAnsi="宋体" w:eastAsia="宋体" w:cs="宋体"/>
          <w:color w:val="auto"/>
          <w:kern w:val="0"/>
          <w:sz w:val="24"/>
          <w:highlight w:val="none"/>
        </w:rPr>
        <w:t>90.7工程组织管理方面的违约责任</w:t>
      </w:r>
      <w:bookmarkEnd w:id="296"/>
    </w:p>
    <w:p w14:paraId="73ED8B8F">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①乙方不服从甲方及监理单位的管理，对甲方、监理单位的指令和书面通知公开或变相拒不执行的，甲方视情节严重程度有权要求其发生一次承担1次一般违约责任或者1次严重违约责任，并由乙方承担由此造成的一切经济损失。情节较轻的，可给予书面警告；情节特别严重的，甲方有权单方面部分解除合同或解除合同。</w:t>
      </w:r>
    </w:p>
    <w:p w14:paraId="77442A55">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②乙方不遵守甲方所制订的各项制度、规定的，由乙方按所触犯制度、规定的有关规定承担违约责任。若对于所触犯制度、规定的责任无明确规定的，按本合同专用条款约定处理。</w:t>
      </w:r>
    </w:p>
    <w:p w14:paraId="0D1EB9E1">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③乙方不按约定投入技术管理人员、施工作业人员、施工机械设备，或者擅自变更资源投入计划或者擅自对已投入的资源进行调整的（即使征得甲方同意更换的，乙方仍应承担违反投标承诺的违约责任），乙方必须按照总监理工程师或者甲方的指令限期改正；乙方拒不限期改正的，甲方有权要求其发生一次承担1次严重违约责任。情节较轻的，可给予书面警告；情节特别严重的（指同一事件连续3次发出书面警告），甲方有权单方面部分解除合同或解除合同。现场管理机构各部主要技术管理人员的实际工作能力和工作效果达不到招标文件的明确要求或投标文件的承诺，或其工作态度存在严重不足，不适应现场工作需要的，甲方向乙方提出撤换，所调换来人员的资质、资历、学历、职称、业绩、实际工作能力不得低于原投标文件中所承诺人员的素质；甲方要求乙方撤换不合格人员，如乙方既不立即撤换，也不及时提出整改意见，则视同拒绝执行甲方的指令，甲方有权要求其发生一次承担1次严重违约责任。情节较轻的，可给予书面警告；情节特别严重的（指同一事件连续3次发出书面警告），甲方有权单方面部分解除合同或解除合同。甲方要求乙方以实际工作能力较高的人员调换实际工作能力较低的现场人员，或者乙方主动要求以实际工作能力较高的人员调换实际工作能力较低的现场人员，不免除乙方需承担的违约责任。</w:t>
      </w:r>
    </w:p>
    <w:p w14:paraId="07E8B9B2">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④经甲方或监理单位抽查发现乙方其技术管理人员或施工作业人员没有按要求佩带相关身份卡的，由乙方按每人次500元的标准向甲方支付违约金并立即改正。</w:t>
      </w:r>
    </w:p>
    <w:p w14:paraId="06A9B7DC">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⑤乙方的项目负责人、技术负责人等主要技术管理人员必须参加监理单位或甲方主持的工程例会和其他要求的专题会议，除获得监理单位或甲方批准外，每缺席1人次，乙方须承担1次一般违约责任。情节较轻的，可给予书面警告；乙方的项目负责人及专业负责人需驻场，其出勤率需达到80%/月，若甲方在检查的过程中发现项目负责人或其技术负责人不在场，1次则给予书面警告，连续2次（含2次）以上或一个月发现3次（含3次）以上，则每一次都按一般违约责任处理。</w:t>
      </w:r>
    </w:p>
    <w:p w14:paraId="4E338EB4">
      <w:pPr>
        <w:keepNext/>
        <w:keepLines/>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⑥乙方不按本合同规定做好施工总承包管理或配合工作，经总监理工程师或甲方发出限期改正通知后3天内，乙方仍未能整改至令总监理工程师或甲方满意的，甲方视情节严重程度有权要求其承担1次一般违约责任或者1次严重违约责任。</w:t>
      </w:r>
    </w:p>
    <w:p w14:paraId="3C871B7C">
      <w:pPr>
        <w:keepNext/>
        <w:keepLines/>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⑦除甲方未按合同约定支付工程款的，由于乙方或其管理的分包单位、劳务合作单位拖欠民工工资，致使甲方被投诉或起诉并被判令先行垫付民工工资的，甲方除追究乙方和其它相关责任单位的违约责任外，还将在工程结算时双倍扣回甲方先行垫付的民工工资金额作为补偿。</w:t>
      </w:r>
    </w:p>
    <w:p w14:paraId="29D63F69">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⑧乙方不按合同约定或甲方要求提交竣工资料的，每发生一次，承担一次一般违约责任。</w:t>
      </w:r>
    </w:p>
    <w:p w14:paraId="06E28F0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⑨乙方单方面擅自终止或解除本合同的，应向甲方支付违约金及赔偿损失。</w:t>
      </w:r>
    </w:p>
    <w:p w14:paraId="0C31F344">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⑩甲方及监理单位将不定期抽查乙方及其所管辖的专业承包单位和分包单位实行平安卡管理制度的情况，如发现违反本合同有关约定的，由乙方按相关条款的约定承担违约责任。如发现有冒名顶替或人不到场而代为刷卡等弄虚作假现象的，由乙方按相关条款的约定承担违约责任。</w:t>
      </w:r>
    </w:p>
    <w:p w14:paraId="0AEC3DF7">
      <w:pPr>
        <w:keepNext/>
        <w:keepLines/>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⑪乙方必须向本项目的所有施工人员购买意外伤害保险。对于乙方或其分包人所雇用的工人出现的伤亡事故或损失，应由乙方自行负责（但由于甲方或监理单位的行为失误所造成的除外）。对于这类伤亡或损失，甲方不负责任，不负担涉及这类伤亡或损失的索赔、诉讼、损害赔偿及其他费用。对分包单位出现的工人意外事故或伤害，由于分包单位原因造成的，乙方需承担连带责任。</w:t>
      </w:r>
    </w:p>
    <w:p w14:paraId="2F269A66">
      <w:pPr>
        <w:keepNext/>
        <w:keepLines/>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eq \o\ac(○,12)</w:instrText>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乙方负责本项目施工的整体管理，包括对甲方单独发包的专业分包单位的管理，如乙方管理不善或不配合甲方单独发包的专业分包单位而对本工程造成不利影响的，包括但不限于环境污染、工期延误、违规（额外）收费、文明施工混乱、劳资纠纷、质量缺陷等，每发现一次，乙方向甲方支付违约金50000元/次。</w:t>
      </w:r>
    </w:p>
    <w:p w14:paraId="0A90811A">
      <w:pPr>
        <w:spacing w:line="360" w:lineRule="auto"/>
        <w:ind w:firstLine="480" w:firstLineChars="200"/>
        <w:rPr>
          <w:rFonts w:hint="eastAsia" w:ascii="宋体" w:hAnsi="宋体" w:eastAsia="宋体" w:cs="宋体"/>
          <w:color w:val="auto"/>
          <w:kern w:val="0"/>
          <w:sz w:val="24"/>
          <w:highlight w:val="none"/>
        </w:rPr>
      </w:pPr>
      <w:bookmarkStart w:id="297" w:name="_Toc503856447"/>
      <w:r>
        <w:rPr>
          <w:rFonts w:hint="eastAsia" w:ascii="宋体" w:hAnsi="宋体" w:eastAsia="宋体" w:cs="宋体"/>
          <w:color w:val="auto"/>
          <w:kern w:val="0"/>
          <w:sz w:val="24"/>
          <w:highlight w:val="none"/>
        </w:rPr>
        <w:t>90.8材料设备管理及工程质量方面的违约责任</w:t>
      </w:r>
      <w:bookmarkEnd w:id="297"/>
    </w:p>
    <w:p w14:paraId="7C3ACCD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①甲方（包括甲方委托的材料设备检验机构）或总监理工程师抽查乙方的工程材料设备，发现所检查的材料与合同约定标准的任何一项不符合时，乙方除必须全部退货、返工，并赔偿甲方由此遭受的实际损失外，还应当按照该批次材料的价值，按照如下约定承担违约责任：</w:t>
      </w:r>
    </w:p>
    <w:p w14:paraId="01DCFDA4">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A、对于单宗或批次材料价值不高于10万元的（含10万元），但累计抽检不合格达3次，乙方承担1次一般违约责任。</w:t>
      </w:r>
    </w:p>
    <w:p w14:paraId="1B93CECD">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B、单宗或批次材料价值在10万元以上100万元以下（含100万元），乙方承担1次一般违约责任。</w:t>
      </w:r>
    </w:p>
    <w:p w14:paraId="78CD70EB">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C、单宗或批次材料价值100-200万元（含200万元），乙方承担1次严重违约责任。</w:t>
      </w:r>
    </w:p>
    <w:p w14:paraId="7FFB6EBF">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D、单宗或批次材料价值在200万元以上的，乙方承担违约金</w:t>
      </w:r>
      <w:r>
        <w:rPr>
          <w:rFonts w:hint="eastAsia" w:ascii="宋体" w:hAnsi="宋体" w:eastAsia="宋体" w:cs="宋体"/>
          <w:color w:val="auto"/>
          <w:kern w:val="0"/>
          <w:sz w:val="24"/>
          <w:highlight w:val="none"/>
          <w:lang w:val="en-US" w:eastAsia="zh-CN"/>
        </w:rPr>
        <w:t>10</w:t>
      </w:r>
      <w:r>
        <w:rPr>
          <w:rFonts w:hint="eastAsia" w:ascii="宋体" w:hAnsi="宋体" w:eastAsia="宋体" w:cs="宋体"/>
          <w:color w:val="auto"/>
          <w:kern w:val="0"/>
          <w:sz w:val="24"/>
          <w:highlight w:val="none"/>
        </w:rPr>
        <w:t>万元。</w:t>
      </w:r>
    </w:p>
    <w:p w14:paraId="7171091F">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②乙方必须保证用于本合同工程所有的材料设备的品牌、型号、规格、质量等符合本合同及招投标文件的要求，严禁假冒伪劣产品，严禁以次充好，严禁未经甲方批准即以其他产品（包括乙方的产品）顶替本合同及招投标文件中规定的产品。如发生上述情况，乙方必须无条件在甲方限定的时间内全部更换为符合要求的产品，因此给甲方造成实际损失的，由乙方负责赔偿，并承担相应违约责任；同时，甲方有权将乙方的上述行为通过媒体公开披露，并移送有关主管部门依法处理。如因此致使甲方需要另行采购符合本合同及招投标文件要求的货物的，由乙方按另行采购的货物总价款的两倍向甲方支付违约金。</w:t>
      </w:r>
    </w:p>
    <w:p w14:paraId="47246233">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③乙方不按合同专用条款约定对用于本合同工程的材料设备进行管理的，视同不服从甲方及监理单位管理，应视情节严重程度，按本条款的约定承担违约责任；同时甲方有权暂停支付本合同工程进度款，直到乙方完成相关工作为止。</w:t>
      </w:r>
    </w:p>
    <w:p w14:paraId="6216E387">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④乙方必须对各工序报验核查质量控制点。乙方申请报验后，经总监理工程师或甲方检查发现存在较大质量问题（存在质量问题的部分超过检查部分工程的10%），则该工序质量为不合格，乙方必须对不合格部分进行返工，返工后经检查合格才准进入下一工序，工期不予顺延。复检的结果，按每一分项工程计算，总计发现3次或连续发现2次质量控制点不合格的，乙方承担1次一般违约责任；总计发现3次以上（不含本数）或连续发现2次以上（不含本数）质量控制点不合格的，乙方承担1次严重违约责任；乙方采取整改措施后效果仍不明显的，甲方有权部分解除合同，将该分项工程另行发包，且不免除乙方应承担的违约赔偿责任。</w:t>
      </w:r>
    </w:p>
    <w:p w14:paraId="3733A104">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⑤工程竣工验收不符合国家强制性标准及规范要求，乙方除应向甲方支付所在</w:t>
      </w:r>
      <w:r>
        <w:rPr>
          <w:rFonts w:hint="eastAsia" w:ascii="宋体" w:hAnsi="宋体" w:eastAsia="宋体" w:cs="宋体"/>
          <w:color w:val="auto"/>
          <w:kern w:val="0"/>
          <w:sz w:val="24"/>
          <w:highlight w:val="none"/>
          <w:lang w:val="en-US" w:eastAsia="zh-CN"/>
        </w:rPr>
        <w:t>分项</w:t>
      </w:r>
      <w:r>
        <w:rPr>
          <w:rFonts w:hint="eastAsia" w:ascii="宋体" w:hAnsi="宋体" w:eastAsia="宋体" w:cs="宋体"/>
          <w:color w:val="auto"/>
          <w:kern w:val="0"/>
          <w:sz w:val="24"/>
          <w:highlight w:val="none"/>
        </w:rPr>
        <w:t>工程总造价违约金</w:t>
      </w:r>
      <w:r>
        <w:rPr>
          <w:rFonts w:hint="eastAsia" w:ascii="宋体" w:hAnsi="宋体" w:eastAsia="宋体" w:cs="宋体"/>
          <w:color w:val="auto"/>
          <w:kern w:val="0"/>
          <w:sz w:val="24"/>
          <w:highlight w:val="none"/>
          <w:lang w:eastAsia="zh-CN"/>
        </w:rPr>
        <w:t>，</w:t>
      </w:r>
      <w:r>
        <w:rPr>
          <w:rStyle w:val="48"/>
          <w:rFonts w:ascii="Segoe UI" w:hAnsi="Segoe UI" w:eastAsia="Segoe UI" w:cs="Segoe UI"/>
          <w:b/>
          <w:bCs/>
          <w:i w:val="0"/>
          <w:iCs w:val="0"/>
          <w:caps w:val="0"/>
          <w:color w:val="auto"/>
          <w:spacing w:val="0"/>
          <w:sz w:val="24"/>
          <w:szCs w:val="24"/>
          <w:highlight w:val="none"/>
          <w:shd w:val="clear" w:fill="FFFFFF"/>
        </w:rPr>
        <w:t>违约金不超过</w:t>
      </w:r>
      <w:r>
        <w:rPr>
          <w:rFonts w:hint="eastAsia" w:ascii="宋体" w:hAnsi="宋体" w:eastAsia="宋体" w:cs="宋体"/>
          <w:color w:val="auto"/>
          <w:kern w:val="0"/>
          <w:sz w:val="24"/>
          <w:highlight w:val="none"/>
          <w:lang w:val="en-US" w:eastAsia="zh-CN"/>
        </w:rPr>
        <w:t>分项</w:t>
      </w:r>
      <w:r>
        <w:rPr>
          <w:rStyle w:val="48"/>
          <w:rFonts w:ascii="Segoe UI" w:hAnsi="Segoe UI" w:eastAsia="Segoe UI" w:cs="Segoe UI"/>
          <w:b/>
          <w:bCs/>
          <w:i w:val="0"/>
          <w:iCs w:val="0"/>
          <w:caps w:val="0"/>
          <w:color w:val="auto"/>
          <w:spacing w:val="0"/>
          <w:sz w:val="24"/>
          <w:szCs w:val="24"/>
          <w:highlight w:val="none"/>
          <w:shd w:val="clear" w:fill="FFFFFF"/>
        </w:rPr>
        <w:t>工程总造价的</w:t>
      </w:r>
      <w:r>
        <w:rPr>
          <w:rStyle w:val="48"/>
          <w:rFonts w:hint="eastAsia" w:ascii="Segoe UI" w:hAnsi="Segoe UI" w:eastAsia="宋体" w:cs="Segoe UI"/>
          <w:b/>
          <w:bCs/>
          <w:i w:val="0"/>
          <w:iCs w:val="0"/>
          <w:caps w:val="0"/>
          <w:color w:val="auto"/>
          <w:spacing w:val="0"/>
          <w:sz w:val="24"/>
          <w:szCs w:val="24"/>
          <w:highlight w:val="none"/>
          <w:shd w:val="clear" w:fill="FFFFFF"/>
          <w:lang w:val="en-US" w:eastAsia="zh-CN"/>
        </w:rPr>
        <w:t>15%</w:t>
      </w:r>
      <w:r>
        <w:rPr>
          <w:rStyle w:val="48"/>
          <w:rFonts w:hint="eastAsia" w:ascii="Segoe UI" w:hAnsi="Segoe UI" w:eastAsia="宋体" w:cs="Segoe UI"/>
          <w:b/>
          <w:bCs/>
          <w:i w:val="0"/>
          <w:iCs w:val="0"/>
          <w:caps w:val="0"/>
          <w:color w:val="auto"/>
          <w:spacing w:val="0"/>
          <w:sz w:val="24"/>
          <w:szCs w:val="24"/>
          <w:highlight w:val="none"/>
          <w:shd w:val="clear" w:fill="FFFFFF"/>
          <w:lang w:eastAsia="zh-CN"/>
        </w:rPr>
        <w:t>，</w:t>
      </w:r>
      <w:r>
        <w:rPr>
          <w:rFonts w:hint="eastAsia" w:ascii="宋体" w:hAnsi="宋体" w:eastAsia="宋体" w:cs="宋体"/>
          <w:color w:val="auto"/>
          <w:kern w:val="0"/>
          <w:sz w:val="24"/>
          <w:highlight w:val="none"/>
        </w:rPr>
        <w:t>并无偿采取补救措施及赔偿甲方的实际损失外，还应承担由此引起的一切责任。乙方不能在甲方要求期限内整改至符合约定标准的，甲方有权单方解除合同。</w:t>
      </w:r>
    </w:p>
    <w:p w14:paraId="1554913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⑥工程质量未达到本合同协议书约定质量标准的，乙方向甲方支付单位工程审定结算总价的违约金，</w:t>
      </w:r>
      <w:r>
        <w:rPr>
          <w:rFonts w:hint="eastAsia" w:ascii="宋体" w:hAnsi="宋体" w:eastAsia="宋体" w:cs="宋体"/>
          <w:color w:val="auto"/>
          <w:kern w:val="0"/>
          <w:sz w:val="24"/>
          <w:highlight w:val="none"/>
          <w:lang w:val="en-US" w:eastAsia="zh-CN"/>
        </w:rPr>
        <w:t>累计</w:t>
      </w:r>
      <w:r>
        <w:rPr>
          <w:rStyle w:val="48"/>
          <w:rFonts w:ascii="Segoe UI" w:hAnsi="Segoe UI" w:eastAsia="Segoe UI" w:cs="Segoe UI"/>
          <w:b/>
          <w:bCs/>
          <w:i w:val="0"/>
          <w:iCs w:val="0"/>
          <w:caps w:val="0"/>
          <w:color w:val="auto"/>
          <w:spacing w:val="0"/>
          <w:sz w:val="24"/>
          <w:szCs w:val="24"/>
          <w:highlight w:val="none"/>
          <w:shd w:val="clear" w:fill="FFFFFF"/>
        </w:rPr>
        <w:t>违约金不超过工程总造价的</w:t>
      </w:r>
      <w:r>
        <w:rPr>
          <w:rStyle w:val="48"/>
          <w:rFonts w:hint="default" w:ascii="Segoe UI" w:hAnsi="Segoe UI" w:eastAsia="宋体" w:cs="Segoe UI"/>
          <w:b/>
          <w:bCs/>
          <w:i w:val="0"/>
          <w:iCs w:val="0"/>
          <w:caps w:val="0"/>
          <w:color w:val="auto"/>
          <w:spacing w:val="0"/>
          <w:sz w:val="24"/>
          <w:szCs w:val="24"/>
          <w:highlight w:val="none"/>
          <w:shd w:val="clear" w:fill="FFFFFF"/>
          <w:lang w:val="en-US" w:eastAsia="zh-CN"/>
        </w:rPr>
        <w:t>15%</w:t>
      </w:r>
      <w:r>
        <w:rPr>
          <w:rStyle w:val="48"/>
          <w:rFonts w:hint="eastAsia" w:ascii="Segoe UI" w:hAnsi="Segoe UI" w:eastAsia="宋体" w:cs="Segoe UI"/>
          <w:b/>
          <w:bCs/>
          <w:i w:val="0"/>
          <w:iCs w:val="0"/>
          <w:caps w:val="0"/>
          <w:color w:val="auto"/>
          <w:spacing w:val="0"/>
          <w:sz w:val="24"/>
          <w:szCs w:val="24"/>
          <w:highlight w:val="none"/>
          <w:shd w:val="clear" w:fill="FFFFFF"/>
          <w:lang w:eastAsia="zh-CN"/>
        </w:rPr>
        <w:t>，</w:t>
      </w:r>
      <w:r>
        <w:rPr>
          <w:rFonts w:hint="eastAsia" w:ascii="宋体" w:hAnsi="宋体" w:eastAsia="宋体" w:cs="宋体"/>
          <w:color w:val="auto"/>
          <w:kern w:val="0"/>
          <w:sz w:val="24"/>
          <w:highlight w:val="none"/>
        </w:rPr>
        <w:t>并按甲方要求期限整改至约定质量标准，乙方不能在甲方要求期限内整改至符合约定标准的，甲方有权单方解除合同。</w:t>
      </w:r>
    </w:p>
    <w:p w14:paraId="4A9A8E90">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⑦在本合同工程质量保修期内发现有重大质量不合格问题的（该重大质量问题应界定为达不到要求的质量标准，属质量保修的问题除外），乙方必须在规定的期限内返工达到合同约定的质量等级并赔偿由此给甲方造成的损失，同时按该不合格项目所处分项工程总造价向甲方支付违约金</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累计</w:t>
      </w:r>
      <w:r>
        <w:rPr>
          <w:rStyle w:val="48"/>
          <w:rFonts w:ascii="Segoe UI" w:hAnsi="Segoe UI" w:eastAsia="Segoe UI" w:cs="Segoe UI"/>
          <w:b/>
          <w:bCs/>
          <w:i w:val="0"/>
          <w:iCs w:val="0"/>
          <w:caps w:val="0"/>
          <w:color w:val="auto"/>
          <w:spacing w:val="0"/>
          <w:sz w:val="24"/>
          <w:szCs w:val="24"/>
          <w:highlight w:val="none"/>
          <w:shd w:val="clear" w:fill="FFFFFF"/>
        </w:rPr>
        <w:t>违约金不超过</w:t>
      </w:r>
      <w:r>
        <w:rPr>
          <w:rStyle w:val="48"/>
          <w:rFonts w:hint="eastAsia" w:ascii="Segoe UI" w:hAnsi="Segoe UI" w:eastAsia="宋体" w:cs="Segoe UI"/>
          <w:b/>
          <w:bCs/>
          <w:i w:val="0"/>
          <w:iCs w:val="0"/>
          <w:caps w:val="0"/>
          <w:color w:val="auto"/>
          <w:spacing w:val="0"/>
          <w:sz w:val="24"/>
          <w:szCs w:val="24"/>
          <w:highlight w:val="none"/>
          <w:shd w:val="clear" w:fill="FFFFFF"/>
          <w:lang w:val="en-US" w:eastAsia="zh-CN"/>
        </w:rPr>
        <w:t>分项工程</w:t>
      </w:r>
      <w:r>
        <w:rPr>
          <w:rStyle w:val="48"/>
          <w:rFonts w:ascii="Segoe UI" w:hAnsi="Segoe UI" w:eastAsia="Segoe UI" w:cs="Segoe UI"/>
          <w:b/>
          <w:bCs/>
          <w:i w:val="0"/>
          <w:iCs w:val="0"/>
          <w:caps w:val="0"/>
          <w:color w:val="auto"/>
          <w:spacing w:val="0"/>
          <w:sz w:val="24"/>
          <w:szCs w:val="24"/>
          <w:highlight w:val="none"/>
          <w:shd w:val="clear" w:fill="FFFFFF"/>
        </w:rPr>
        <w:t>造价的</w:t>
      </w:r>
      <w:r>
        <w:rPr>
          <w:rStyle w:val="48"/>
          <w:rFonts w:hint="default" w:ascii="Segoe UI" w:hAnsi="Segoe UI" w:eastAsia="宋体" w:cs="Segoe UI"/>
          <w:b/>
          <w:bCs/>
          <w:i w:val="0"/>
          <w:iCs w:val="0"/>
          <w:caps w:val="0"/>
          <w:color w:val="auto"/>
          <w:spacing w:val="0"/>
          <w:sz w:val="24"/>
          <w:szCs w:val="24"/>
          <w:highlight w:val="none"/>
          <w:shd w:val="clear" w:fill="FFFFFF"/>
          <w:lang w:val="en-US" w:eastAsia="zh-CN"/>
        </w:rPr>
        <w:t>15%</w:t>
      </w:r>
      <w:r>
        <w:rPr>
          <w:rFonts w:hint="eastAsia" w:ascii="宋体" w:hAnsi="宋体" w:eastAsia="宋体" w:cs="宋体"/>
          <w:color w:val="auto"/>
          <w:kern w:val="0"/>
          <w:sz w:val="24"/>
          <w:highlight w:val="none"/>
        </w:rPr>
        <w:t>。乙方不能在甲方要求期限内整改至符合约定标准的，甲方有权委托其他单位实施，费用由乙方承担。</w:t>
      </w:r>
    </w:p>
    <w:p w14:paraId="66EF0704">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90.9安全生产方面的违约责任</w:t>
      </w:r>
    </w:p>
    <w:p w14:paraId="2020B063">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①乙方在政府行政主管部门组织的安全生产检查中，被发现存在严重的安全隐患，被通报批评，或被新闻媒体曝光造成不良影响的，被通报或被曝光1次，乙方必须承担1次严重违约责任；造成严重社会影响或累计被通报或被曝光3次以上（含本数）的，甲方有权解除合同。</w:t>
      </w:r>
    </w:p>
    <w:p w14:paraId="63EBA5ED">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②乙方在甲方、总监理工程师进行的日常安全生产检查中，被发现存在安全隐患的，乙方应限期改正。若同样问题被发现2次或累计类似问题被发现3次的，乙方必须承担1次一般违约责任。此类问题的认定，以甲方、总监理工程师书面通知、指令、通报或会议纪要为准。</w:t>
      </w:r>
    </w:p>
    <w:p w14:paraId="4758E2A1">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③乙方因自身原因造成安全事故（含工程质量事故）的，除按国家规定由主管部门处罚外，乙方需承担违约处罚。发生安全事故，甲方每一次给予乙方一次严重违约处罚，直至部分或全部解除合同。</w:t>
      </w:r>
    </w:p>
    <w:p w14:paraId="13EB1C0E">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④发生事故的：</w:t>
      </w:r>
    </w:p>
    <w:p w14:paraId="40FEF1DC">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A、发生特别重大事故，如造成人员死亡的，乙方须向甲方支付违约金，违约金从人民币1000万元起计，死亡的人数多于30人时，每增加死亡1人，乙方除支付上述违约金外还须再向甲方支付违约金人民币50万元／人；</w:t>
      </w:r>
    </w:p>
    <w:p w14:paraId="58321B2E">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B、发生重大事故，如造成人员死亡的，乙方须向甲方支付违约金，违约金从人民币500万元起计，死亡的人数多于10人时，每增加死亡1人，乙方除支付上述违约金外还须再向甲方支付违约金人民币50万元／人；</w:t>
      </w:r>
    </w:p>
    <w:p w14:paraId="08F02DE5">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C、发生较大事故，如造成人员死亡或重伤的，乙方须向甲方支付违约金，违约金从人民币300万元起计，死亡的人数多于3人或重伤人数多于20人时，每增加死亡1人或重伤3人，乙方除支付上述违约金外还须再向甲方支付违约金人民币50万元；</w:t>
      </w:r>
    </w:p>
    <w:p w14:paraId="5ABF9891">
      <w:pPr>
        <w:keepNext/>
        <w:keepLines/>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D、发生一般事故，如造成人员死亡或重伤的，乙方须向甲方支付违约金，违约金从人民币100万元起计，死亡的人数多于1人或重伤人数多于3人时，每增加死亡1人或重伤3人，乙方除支付上述违约金外还须再向甲方支付违约金人民币50万元。</w:t>
      </w:r>
    </w:p>
    <w:p w14:paraId="4FEF6FB7">
      <w:pPr>
        <w:keepNext/>
        <w:keepLines/>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E、安全事故及质量事故等级界定按国家现行有关规定执行。</w:t>
      </w:r>
    </w:p>
    <w:p w14:paraId="3B841163">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乙方依照支付违约金后，所支付的违约金不足以弥补由此给甲方造成的损失的，乙方还须补偿甲方的其他损失。</w:t>
      </w:r>
    </w:p>
    <w:p w14:paraId="5178F7B4">
      <w:pPr>
        <w:spacing w:line="360" w:lineRule="auto"/>
        <w:ind w:firstLine="480" w:firstLineChars="200"/>
        <w:rPr>
          <w:rFonts w:hint="eastAsia" w:ascii="宋体" w:hAnsi="宋体" w:eastAsia="宋体" w:cs="宋体"/>
          <w:color w:val="auto"/>
          <w:kern w:val="0"/>
          <w:sz w:val="24"/>
          <w:highlight w:val="none"/>
        </w:rPr>
      </w:pPr>
      <w:bookmarkStart w:id="298" w:name="_Toc503856448"/>
      <w:r>
        <w:rPr>
          <w:rFonts w:hint="eastAsia" w:ascii="宋体" w:hAnsi="宋体" w:eastAsia="宋体" w:cs="宋体"/>
          <w:color w:val="auto"/>
          <w:kern w:val="0"/>
          <w:sz w:val="24"/>
          <w:highlight w:val="none"/>
        </w:rPr>
        <w:t>90.10文明施工、环境保护方面的违约责任</w:t>
      </w:r>
      <w:bookmarkEnd w:id="298"/>
    </w:p>
    <w:p w14:paraId="49B35E4B">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①甲方、总监理工程师对乙方文明施工措施进行对照检查。经检查发现乙方因自身原因未能落实的，乙方必须承担1次一般违约责任，并限期改正；如限期届满未改正的，乙方须承担1次严重违约责任。</w:t>
      </w:r>
    </w:p>
    <w:p w14:paraId="7F09C0CD">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②在行业主管部门的检查中，乙方的施工场地被评为不合格工地或者被通报批评或者被新闻媒体曝光的，乙方必须承担1次严重违约责任，并立即采取切实有效措施予以整改；拒不采取切实有效措施整改的，或整改效果不明显的，甲方有权部分或全部解除合同。</w:t>
      </w:r>
    </w:p>
    <w:p w14:paraId="5682BF7B">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③乙方在施工过程中因其自身原因造成周围环境卫生状况较差，被其他施工单位或周围居民投诉的，乙方必须在当天内整改。若故意拖延或类似问题累计被投诉2次以上且经查实的，乙方必须承担1次严重违约责任。</w:t>
      </w:r>
    </w:p>
    <w:p w14:paraId="68AE1F61">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90.11工程转包、分包方面的违约责任</w:t>
      </w:r>
    </w:p>
    <w:p w14:paraId="09103DF5">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①乙方不按约定进行分包管理的，视同不服从甲方及监理单位管理，应承担违约责任；同时甲方有权暂停支付本合同工程进度款，直到乙方完成相关工作为止。</w:t>
      </w:r>
    </w:p>
    <w:p w14:paraId="2EA199F7">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②乙方转包工程或者违反法律法规及本合同约定分包工程的，甲方有权单方面部分解除合同或解除合同，并由乙方承担由此产生的一切责任及损失。</w:t>
      </w:r>
    </w:p>
    <w:p w14:paraId="2F46A1AD">
      <w:pPr>
        <w:widowControl/>
        <w:spacing w:line="360" w:lineRule="auto"/>
        <w:ind w:firstLine="42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③乙方及其项目负责人不能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w:t>
      </w:r>
      <w:r>
        <w:rPr>
          <w:rFonts w:hint="eastAsia" w:ascii="宋体" w:hAnsi="宋体" w:eastAsia="宋体" w:cs="宋体"/>
          <w:color w:val="auto"/>
          <w:kern w:val="0"/>
          <w:sz w:val="24"/>
          <w:highlight w:val="none"/>
          <w:lang w:val="en-US" w:eastAsia="zh-CN"/>
        </w:rPr>
        <w:t>番禺区</w:t>
      </w:r>
      <w:r>
        <w:rPr>
          <w:rFonts w:hint="eastAsia" w:ascii="宋体" w:hAnsi="宋体" w:eastAsia="宋体" w:cs="宋体"/>
          <w:color w:val="auto"/>
          <w:kern w:val="0"/>
          <w:sz w:val="24"/>
          <w:highlight w:val="none"/>
        </w:rPr>
        <w:t>、广州</w:t>
      </w:r>
      <w:r>
        <w:rPr>
          <w:rFonts w:hint="eastAsia" w:ascii="宋体" w:hAnsi="宋体" w:eastAsia="宋体" w:cs="宋体"/>
          <w:color w:val="auto"/>
          <w:kern w:val="0"/>
          <w:sz w:val="24"/>
          <w:highlight w:val="none"/>
          <w:lang w:val="en-US" w:eastAsia="zh-CN"/>
        </w:rPr>
        <w:t>番禺</w:t>
      </w:r>
      <w:r>
        <w:rPr>
          <w:rFonts w:hint="eastAsia" w:ascii="宋体" w:hAnsi="宋体" w:eastAsia="宋体" w:cs="宋体"/>
          <w:color w:val="auto"/>
          <w:kern w:val="0"/>
          <w:sz w:val="24"/>
          <w:highlight w:val="none"/>
        </w:rPr>
        <w:t>区公安、城管、住建、交通、水务、规自等部门列入黑名单、不良行为记录（处罚有效期内）。</w:t>
      </w:r>
    </w:p>
    <w:p w14:paraId="5358A1CC">
      <w:pPr>
        <w:widowControl/>
        <w:spacing w:line="360" w:lineRule="auto"/>
        <w:ind w:firstLine="42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④乙方不得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w:t>
      </w:r>
    </w:p>
    <w:p w14:paraId="18B240FC">
      <w:pPr>
        <w:widowControl/>
        <w:spacing w:line="360" w:lineRule="auto"/>
        <w:ind w:firstLine="42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如甲方核实存在上述③、④顶任一情况，有权要求乙方支付5万元/项的违约金或单方解除合同。</w:t>
      </w:r>
    </w:p>
    <w:p w14:paraId="7A8B6609">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90.12农民工工资支付方面的违约责任</w:t>
      </w:r>
    </w:p>
    <w:p w14:paraId="4A6F41C6">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①乙方违反约定，被农民工投诉或上访属实的，乙方必须在 3 天内发放拖欠的款项。若继续拖延被投诉 2 次及以上，经查实，乙方每一次必须承担 1 次严重违约责任，并立即采取切实有效措施予以整改；拒不采取切实有效措施整改的，或整改效果不明显的，甲方有权部分或全部解除合同。同时，甲方有权从应付乙方工程款中抵减相应款项用于支付所拖欠工资。</w:t>
      </w:r>
    </w:p>
    <w:p w14:paraId="6F00B04B">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②除甲方违约外，由于乙方或其管理的分包单位（包括施工专业分包、供货分包及劳务分包单位等）拖欠农民工工资致使甲方被投诉或起诉并被判令先行垫付农民工工资的，乙方除每一次承担1次严重违约责任外，还应向甲方支付甲方先行垫付的农民工工资金额的两倍作为补偿。</w:t>
      </w:r>
    </w:p>
    <w:p w14:paraId="4BAAF916">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③因乙方违约导致甲方暂停支付工程款时，乙方不得以此为理由拖欠农民工工资，在甲方和乙方就暂停支付工程款问题解决之前，乙方有义务先行支付其所属工人工资。 </w:t>
      </w:r>
    </w:p>
    <w:p w14:paraId="643A0751">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④乙方不按合同及有关规定按时、足额支付分包单位合同价款及民工工资致使民工集体上访、集聚围阻而造成社会不良影响的，乙方须承担每一次20万元的违约金，并上报省、市主管部门建议取消其参加广州地区省、市重大项目的投标资格，并由甲方予以公告。如属恶意煽动并造成社会不良影响的，甲方将提请司法部门追究其法律责任。</w:t>
      </w:r>
    </w:p>
    <w:p w14:paraId="104A2FB5">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90.13除上述约定之外，乙方不履行或不完全履行合同其他义务的，均构成违约，应当承担1次一般违约责任。情节较重的，应当承担1次严重违约责任。并立即采取切实有效措施予以整改；拒不采取切实有效措施整改的，或整改效果不明显的，甲方有权部分或全部解除合同。</w:t>
      </w:r>
    </w:p>
    <w:p w14:paraId="19ADF652">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90.14乙方违约责任的认定方式及送达程序：</w:t>
      </w:r>
    </w:p>
    <w:p w14:paraId="5FF3362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①认定方式：以甲方发出的通知、通报、会议纪要等书面文件确定的内容为准。</w:t>
      </w:r>
    </w:p>
    <w:p w14:paraId="487DD296">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②送达程序：甲方以下列方式之一将书面违约处理决定送达乙方：</w:t>
      </w:r>
    </w:p>
    <w:p w14:paraId="2DB63C0D">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A、乙方现场项目负责人或负责收发文人员签收。</w:t>
      </w:r>
    </w:p>
    <w:p w14:paraId="10EE83F7">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B、甲方邮寄送达（以甲方邮寄凭证为准，视为乙方已签收）。</w:t>
      </w:r>
    </w:p>
    <w:p w14:paraId="57F0439C">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C、甲方派两名以上（含两名）工作人员送达乙方公司，即视为乙方已确认收到。</w:t>
      </w:r>
    </w:p>
    <w:p w14:paraId="410F1AC9">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D、其他法律法规规定的送达确认方式。</w:t>
      </w:r>
    </w:p>
    <w:p w14:paraId="67CC2262">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③甲方以书面形式作出的违约处理决定一经送达乙方立即生效。乙方如有足够证据证明不应由其承担违约责任的，应在收到违约处理决定后3天内以书面形式向甲方提出异议并附上有关证据；甲方在收到乙方的异议后 15 天内审核完毕且作出书面决定并通知乙方。在异议审核期间，乙方须照常施工，不得以审核未确定为由拖延或者中止工程施工。</w:t>
      </w:r>
    </w:p>
    <w:p w14:paraId="3C1343C3">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注：以上条款如未注明违约或赔偿责任的，甲方有权根据乙方违约情况所造成的损失及后果，要求乙方承担相应的赔偿责任。</w:t>
      </w:r>
    </w:p>
    <w:p w14:paraId="6F01CFB7">
      <w:pPr>
        <w:rPr>
          <w:rFonts w:hint="eastAsia"/>
          <w:color w:val="auto"/>
          <w:highlight w:val="none"/>
        </w:rPr>
      </w:pPr>
    </w:p>
    <w:p w14:paraId="70B133A5">
      <w:pPr>
        <w:pStyle w:val="116"/>
        <w:spacing w:line="360" w:lineRule="auto"/>
        <w:ind w:firstLine="480" w:firstLineChars="200"/>
        <w:jc w:val="both"/>
        <w:outlineLvl w:val="9"/>
        <w:rPr>
          <w:rFonts w:hint="eastAsia" w:ascii="宋体" w:hAnsi="宋体" w:eastAsia="宋体" w:cs="宋体"/>
          <w:color w:val="auto"/>
          <w:highlight w:val="none"/>
        </w:rPr>
      </w:pPr>
      <w:bookmarkStart w:id="299" w:name="_Toc287628086"/>
      <w:r>
        <w:rPr>
          <w:rFonts w:hint="eastAsia" w:ascii="宋体" w:hAnsi="宋体" w:eastAsia="宋体" w:cs="宋体"/>
          <w:color w:val="auto"/>
          <w:highlight w:val="none"/>
        </w:rPr>
        <w:t>94．保密要求</w:t>
      </w:r>
      <w:bookmarkEnd w:id="299"/>
    </w:p>
    <w:p w14:paraId="03D03662">
      <w:pPr>
        <w:autoSpaceDE w:val="0"/>
        <w:autoSpaceDN w:val="0"/>
        <w:adjustRightInd w:val="0"/>
        <w:spacing w:line="360" w:lineRule="auto"/>
        <w:ind w:firstLine="48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highlight w:val="none"/>
        </w:rPr>
        <w:t>94.1 提供保密信息的期限：</w:t>
      </w:r>
      <w:r>
        <w:rPr>
          <w:rFonts w:hint="eastAsia" w:ascii="宋体" w:hAnsi="宋体" w:eastAsia="宋体" w:cs="宋体"/>
          <w:color w:val="auto"/>
          <w:kern w:val="0"/>
          <w:sz w:val="24"/>
          <w:highlight w:val="none"/>
          <w:u w:val="single"/>
        </w:rPr>
        <w:t xml:space="preserve"> 不因本合同终止而结束，应长期保密。 </w:t>
      </w:r>
    </w:p>
    <w:p w14:paraId="62EA11A4">
      <w:pPr>
        <w:pStyle w:val="116"/>
        <w:spacing w:line="360" w:lineRule="auto"/>
        <w:ind w:firstLine="480" w:firstLineChars="200"/>
        <w:jc w:val="both"/>
        <w:outlineLvl w:val="9"/>
        <w:rPr>
          <w:rFonts w:hint="eastAsia" w:ascii="宋体" w:hAnsi="宋体" w:eastAsia="宋体" w:cs="宋体"/>
          <w:color w:val="auto"/>
          <w:highlight w:val="none"/>
        </w:rPr>
      </w:pPr>
      <w:bookmarkStart w:id="300" w:name="_Toc287628087"/>
      <w:r>
        <w:rPr>
          <w:rFonts w:hint="eastAsia" w:ascii="宋体" w:hAnsi="宋体" w:eastAsia="宋体" w:cs="宋体"/>
          <w:color w:val="auto"/>
          <w:highlight w:val="none"/>
        </w:rPr>
        <w:t>97．合同份数</w:t>
      </w:r>
      <w:bookmarkEnd w:id="300"/>
    </w:p>
    <w:p w14:paraId="57392A88">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97.1 约定提供合同文件</w:t>
      </w:r>
    </w:p>
    <w:p w14:paraId="5BFC4864">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提供合同文本：</w:t>
      </w:r>
    </w:p>
    <w:p w14:paraId="4950E115">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按通用条款的规定，由甲方向乙方提供。</w:t>
      </w:r>
    </w:p>
    <w:p w14:paraId="49EE68EB">
      <w:pPr>
        <w:autoSpaceDE w:val="0"/>
        <w:autoSpaceDN w:val="0"/>
        <w:adjustRightInd w:val="0"/>
        <w:spacing w:line="360" w:lineRule="auto"/>
        <w:ind w:firstLine="480" w:firstLineChars="200"/>
        <w:rPr>
          <w:rFonts w:hint="eastAsia" w:ascii="宋体" w:hAnsi="宋体" w:eastAsia="宋体" w:cs="宋体"/>
          <w:b/>
          <w:bCs/>
          <w:color w:val="auto"/>
          <w:sz w:val="36"/>
          <w:szCs w:val="36"/>
          <w:highlight w:val="none"/>
        </w:rPr>
      </w:pPr>
      <w:r>
        <w:rPr>
          <w:rFonts w:hint="eastAsia" w:ascii="宋体" w:hAnsi="宋体" w:eastAsia="宋体" w:cs="宋体"/>
          <w:color w:val="auto"/>
          <w:kern w:val="0"/>
          <w:sz w:val="24"/>
          <w:highlight w:val="none"/>
        </w:rPr>
        <w:t>■ 另有约定：</w:t>
      </w:r>
      <w:r>
        <w:rPr>
          <w:rFonts w:hint="eastAsia" w:ascii="宋体" w:hAnsi="宋体" w:eastAsia="宋体" w:cs="宋体"/>
          <w:color w:val="auto"/>
          <w:kern w:val="0"/>
          <w:sz w:val="24"/>
          <w:highlight w:val="none"/>
          <w:u w:val="single"/>
        </w:rPr>
        <w:t>由甲方提供合同范本给乙方，乙方按照第一篇合同协议书第十五条约定份数向甲方免费提供正式合同文本。</w:t>
      </w:r>
    </w:p>
    <w:p w14:paraId="163CA7AF">
      <w:pPr>
        <w:rPr>
          <w:rFonts w:hint="eastAsia" w:ascii="宋体" w:hAnsi="宋体" w:eastAsia="宋体" w:cs="宋体"/>
          <w:color w:val="auto"/>
          <w:highlight w:val="none"/>
        </w:rPr>
        <w:sectPr>
          <w:pgSz w:w="11906" w:h="16838"/>
          <w:pgMar w:top="1440" w:right="1797" w:bottom="1440" w:left="1800" w:header="851" w:footer="992" w:gutter="0"/>
          <w:pgNumType w:fmt="numberInDash"/>
          <w:cols w:space="720" w:num="1"/>
          <w:docGrid w:linePitch="312" w:charSpace="0"/>
        </w:sectPr>
      </w:pPr>
    </w:p>
    <w:p w14:paraId="6DD894F6">
      <w:pPr>
        <w:pStyle w:val="128"/>
        <w:jc w:val="center"/>
        <w:rPr>
          <w:rFonts w:hint="eastAsia" w:ascii="宋体" w:hAnsi="宋体" w:eastAsia="宋体" w:cs="宋体"/>
          <w:color w:val="auto"/>
          <w:highlight w:val="none"/>
          <w:lang w:eastAsia="zh-CN"/>
        </w:rPr>
      </w:pPr>
      <w:r>
        <w:rPr>
          <w:rFonts w:hint="eastAsia" w:ascii="宋体" w:hAnsi="宋体" w:eastAsia="宋体" w:cs="宋体"/>
          <w:b/>
          <w:bCs/>
          <w:color w:val="auto"/>
          <w:sz w:val="36"/>
          <w:szCs w:val="36"/>
          <w:highlight w:val="none"/>
          <w:lang w:eastAsia="zh-CN"/>
        </w:rPr>
        <w:t>第</w:t>
      </w:r>
      <w:r>
        <w:rPr>
          <w:rFonts w:hint="eastAsia" w:ascii="宋体" w:hAnsi="宋体" w:eastAsia="宋体" w:cs="宋体"/>
          <w:b/>
          <w:color w:val="auto"/>
          <w:sz w:val="36"/>
          <w:szCs w:val="36"/>
          <w:highlight w:val="none"/>
          <w:lang w:eastAsia="zh-CN"/>
        </w:rPr>
        <w:t>三章</w:t>
      </w:r>
      <w:r>
        <w:rPr>
          <w:rFonts w:hint="eastAsia" w:ascii="宋体" w:hAnsi="宋体" w:eastAsia="宋体" w:cs="宋体"/>
          <w:b/>
          <w:bCs/>
          <w:color w:val="auto"/>
          <w:sz w:val="36"/>
          <w:szCs w:val="36"/>
          <w:highlight w:val="none"/>
          <w:lang w:eastAsia="zh-CN"/>
        </w:rPr>
        <w:t xml:space="preserve">   补充条款</w:t>
      </w:r>
    </w:p>
    <w:p w14:paraId="395A9246">
      <w:pPr>
        <w:pStyle w:val="6"/>
        <w:spacing w:line="360" w:lineRule="auto"/>
        <w:ind w:firstLine="0" w:firstLineChars="0"/>
        <w:rPr>
          <w:rFonts w:hint="eastAsia" w:ascii="宋体" w:hAnsi="宋体" w:eastAsia="宋体" w:cs="宋体"/>
          <w:color w:val="auto"/>
          <w:sz w:val="24"/>
          <w:highlight w:val="none"/>
        </w:rPr>
      </w:pPr>
      <w:bookmarkStart w:id="301" w:name="_Toc287628088"/>
    </w:p>
    <w:p w14:paraId="329B550B">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1.本工程合同价款内已包含但不限于下列费用：</w:t>
      </w:r>
    </w:p>
    <w:p w14:paraId="1751B633">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（1）临时施工道路的维护、临时施工便道及临时征地。</w:t>
      </w:r>
    </w:p>
    <w:p w14:paraId="74AD97A9">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（2）施工占用道路的，按规定办理手续后乙方负责道路交通维护疏导、保洁等。</w:t>
      </w:r>
    </w:p>
    <w:p w14:paraId="4B7423D6">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（3）工程建设临时占用红线外场地使用费，相应场地设施、地下管网保护和修复。</w:t>
      </w:r>
    </w:p>
    <w:p w14:paraId="5775506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（4）基坑支护的深化设计、编制施工方案、评审及施工验收等。</w:t>
      </w:r>
    </w:p>
    <w:p w14:paraId="2FF84B7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（5）乙方原因造成的市政设施、绿化、农用地等损坏或灭失后的原状恢复。</w:t>
      </w:r>
    </w:p>
    <w:p w14:paraId="6FF3E36B">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2.由于乙方施工方案缺陷而造成的经济损失，包括但不限于调整施工方案所增加的费用，以及对甲方造成的经济损失均由乙方负责，情况严重时甲方可单方面解除合同。</w:t>
      </w:r>
    </w:p>
    <w:p w14:paraId="5A28A09E">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3.工程建设实施过程中，甲方有权减少实施已标价工程量清单内项目，或要求分步分期实施等，但不补偿乙方任何费用</w:t>
      </w:r>
      <w:r>
        <w:rPr>
          <w:rFonts w:hint="eastAsia" w:ascii="宋体" w:hAnsi="宋体" w:eastAsia="宋体" w:cs="宋体"/>
          <w:color w:val="auto"/>
          <w:sz w:val="24"/>
          <w:highlight w:val="none"/>
          <w:lang w:val="en-US" w:eastAsia="zh-CN"/>
        </w:rPr>
        <w:t>。如出现</w:t>
      </w:r>
      <w:r>
        <w:rPr>
          <w:rFonts w:hint="eastAsia" w:ascii="宋体" w:hAnsi="宋体" w:eastAsia="宋体" w:cs="宋体"/>
          <w:color w:val="auto"/>
          <w:sz w:val="24"/>
          <w:highlight w:val="none"/>
        </w:rPr>
        <w:t>暂缓施工</w:t>
      </w:r>
      <w:r>
        <w:rPr>
          <w:rFonts w:hint="eastAsia" w:ascii="宋体" w:hAnsi="宋体" w:eastAsia="宋体" w:cs="宋体"/>
          <w:color w:val="auto"/>
          <w:sz w:val="24"/>
          <w:highlight w:val="none"/>
          <w:lang w:val="en-US" w:eastAsia="zh-CN"/>
        </w:rPr>
        <w:t>由双方协商。</w:t>
      </w:r>
    </w:p>
    <w:p w14:paraId="4442FD6A">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 本项目为EPCO模式，乙方对施工图、项目概算、施工图预算及工程量清单负责。工程量清单漏项漏量、工程变更、签证等引起工程结算造价增加的（不含人、材、机调整价差），工程施工部分的项目总结算价不得超过甲方确认的施工图预算以及第一篇协议中合同总价的施工部分总价。</w:t>
      </w:r>
    </w:p>
    <w:p w14:paraId="136CF509">
      <w:pPr>
        <w:tabs>
          <w:tab w:val="left" w:pos="0"/>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.施工期间乙方应遵守并执行国家、省、市有关防火、爆破和施工安全以及文明卫生施工、环卫、环保噪音等规定，建立规章制度和防护措施。否则，因此造成的损失或被有关部门处罚，均由乙方负责。</w:t>
      </w:r>
    </w:p>
    <w:p w14:paraId="3587CE05">
      <w:pPr>
        <w:pStyle w:val="100"/>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.工程初步验收报告经甲方认可后</w:t>
      </w:r>
      <w:r>
        <w:rPr>
          <w:rFonts w:hint="eastAsia" w:ascii="宋体" w:hAnsi="宋体" w:eastAsia="宋体" w:cs="宋体"/>
          <w:color w:val="auto"/>
          <w:highlight w:val="none"/>
          <w:lang w:val="en-US" w:eastAsia="zh-CN"/>
        </w:rPr>
        <w:t>60日历天</w:t>
      </w:r>
      <w:r>
        <w:rPr>
          <w:rFonts w:hint="eastAsia" w:ascii="宋体" w:hAnsi="宋体" w:eastAsia="宋体" w:cs="宋体"/>
          <w:color w:val="auto"/>
          <w:highlight w:val="none"/>
          <w:lang w:eastAsia="zh-CN"/>
        </w:rPr>
        <w:t>内，乙方未提交完整结算资料的，由乙方承担全部责任。</w:t>
      </w:r>
    </w:p>
    <w:p w14:paraId="06DF488D">
      <w:pPr>
        <w:pStyle w:val="100"/>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工程施工扬尘污染防治措施、绿色施工措施费和用工实名管理费用，已包含于合同价款内，甲方不再另行承担和支付，且结算时不作调增。乙方仍应按照有关文件的规定采取工程施工扬尘污染防治措施，采取绿色施工措施和进行用工实名管理。</w:t>
      </w:r>
    </w:p>
    <w:p w14:paraId="4065DB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ascii="宋体" w:hAnsi="宋体" w:eastAsia="宋体" w:cs="宋体"/>
          <w:color w:val="auto"/>
          <w:sz w:val="24"/>
          <w:highlight w:val="none"/>
        </w:rPr>
        <w:t>、工人工资支付分账管理</w:t>
      </w:r>
    </w:p>
    <w:p w14:paraId="3E3F04CD">
      <w:pPr>
        <w:pStyle w:val="100"/>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lang w:eastAsia="zh-CN"/>
        </w:rPr>
        <w:t>.1 根据《广东省建设领域工人工资支付分账管理暂行办法》(粤人社规〔2015〕3号)、《广州市建设领域工人工资支付分账管理实施细则》（穗建规字〔2017〕10号）等有关规定，就本项目工人工资支付分账管理事宜协商一致，签订本补充条款。</w:t>
      </w:r>
    </w:p>
    <w:p w14:paraId="3F3FBA81">
      <w:pPr>
        <w:pStyle w:val="100"/>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lang w:eastAsia="zh-CN"/>
        </w:rPr>
        <w:t>.2 甲方负责监督乙方的工人工资支付情况，协调本项目的工人工资支付事宜。乙方服从甲方有关工人工资支付的监督管理，否则由此导致拖欠或克扣工人工资造成群体性事件或其他不良行为的，由乙方承担责任，直接列入甲方黑名单，在一定期限内拒绝其投标。</w:t>
      </w:r>
    </w:p>
    <w:p w14:paraId="375D24CE">
      <w:pPr>
        <w:pStyle w:val="100"/>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lang w:eastAsia="zh-CN"/>
        </w:rPr>
        <w:t>.3 乙方须在签订合同后14天内，对本项目工程款中的工人工资开立工人工资支付专用账户，严禁挪作他用，确保专款专用，具体账户信息以公函形式报甲方确认。</w:t>
      </w:r>
    </w:p>
    <w:p w14:paraId="11E536A0">
      <w:pPr>
        <w:pStyle w:val="100"/>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乙方办理工人工资支付专用账户撤销手续的，应当取得甲方对本项目完工且乙方已结清工人工资的确认意见。</w:t>
      </w:r>
    </w:p>
    <w:p w14:paraId="3037F5E7">
      <w:pPr>
        <w:pStyle w:val="100"/>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lang w:eastAsia="zh-CN"/>
        </w:rPr>
        <w:t>.4 工人工资的支付包括但不限于以银行转账支票的方式办理。乙方自收到各期工程款之日起7日内支付工人工资。</w:t>
      </w:r>
    </w:p>
    <w:p w14:paraId="7B0E5D1F">
      <w:pPr>
        <w:pStyle w:val="100"/>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lang w:eastAsia="zh-CN"/>
        </w:rPr>
        <w:t>.5 乙方按照合同约定申请工程款时，每一期工程款都必须按照规定比例将工程款项中的工人工资单列，以便甲方进行分账支付。如因乙方错误提供工人工资单列金额而导致相关工人工资无法支付的，由乙方承担由此引起的一切法律责任。</w:t>
      </w:r>
    </w:p>
    <w:p w14:paraId="389990D4">
      <w:pPr>
        <w:pStyle w:val="100"/>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工人工资款比例暂定为15%，由甲方按照合同约定按时足额支付至项目乙方工人工资专用账户，工人工资款最终以实际结算金额为准。</w:t>
      </w:r>
    </w:p>
    <w:p w14:paraId="220702F3">
      <w:pPr>
        <w:pStyle w:val="100"/>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lang w:eastAsia="zh-CN"/>
        </w:rPr>
        <w:t>.6 乙方须建立工人考勤、工资结算和支付等管理台账，并于每次申请工程款时向甲方报备。</w:t>
      </w:r>
    </w:p>
    <w:p w14:paraId="6988069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.工程量清单项目特征漏项未标注的内容，已审批预算计价文件已计价的，不视为清单漏项，仍按已标价工程程量清单对应综合单价办理结算。</w:t>
      </w:r>
    </w:p>
    <w:p w14:paraId="24344FF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.非因乙方原因的工程延期，由乙方提出申请，经批准后工期顺延，但不补偿乙方任何损失和费用。</w:t>
      </w:r>
    </w:p>
    <w:p w14:paraId="133A7EEE">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.工程开工后投标文件项目经理应驻场组织项目的施工，至工程竣工验收通过。未经建设管理单位批准，投标文件项目经理未驻场或擅自离开工地，按每缺勤一天罚款1000元计算。</w:t>
      </w:r>
    </w:p>
    <w:p w14:paraId="758C7A4C">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.工程变更均需取得监理单位、甲方的审批确认。否则，不得计入工程结算。</w:t>
      </w:r>
    </w:p>
    <w:p w14:paraId="0475A7B0">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.根据穗建造价[2018]64号和粤建标函﹝2018﹞106号，本项目已计算了扬尘防治措施费和用工实名管理费用，乙方未按有关文件规定实施或未达到要求的，甲方有权在工程进度请款和结算计价时扣除相应费用。</w:t>
      </w:r>
    </w:p>
    <w:p w14:paraId="77E7F255">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余泥外运运距取费按20公里以内考虑，超出20公里部分不再调整。乙方应按照相关法律法规及政策要求，及时办理余泥排放证、消纳证等相关证件。未办理余泥排放证、消纳证及开具相关发票，结算不予计量余泥外运及消纳费用。</w:t>
      </w:r>
    </w:p>
    <w:p w14:paraId="45031B97">
      <w:pPr>
        <w:pStyle w:val="93"/>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本合同签订后或开工通知发出后，因征地拆迁、管线迁改、临时施工借地等其他涉及非乙方原因，导致工程延期的，在乙方提出工程延期申请报告，经监理单位、甲方审仳后，工期可以顺延，但甲方不赔偿乙方任何损失。</w:t>
      </w:r>
    </w:p>
    <w:p w14:paraId="24D22E5F">
      <w:pPr>
        <w:pStyle w:val="93"/>
        <w:autoSpaceDE w:val="0"/>
        <w:autoSpaceDN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w:t>
      </w:r>
      <w:bookmarkStart w:id="302" w:name="_Hlk54957660"/>
      <w:r>
        <w:rPr>
          <w:rFonts w:hint="eastAsia" w:ascii="宋体" w:hAnsi="宋体" w:eastAsia="宋体" w:cs="宋体"/>
          <w:color w:val="auto"/>
          <w:sz w:val="24"/>
          <w:highlight w:val="none"/>
        </w:rPr>
        <w:t>乙方应在本合同签订后，在办理第一</w:t>
      </w:r>
      <w:r>
        <w:rPr>
          <w:rFonts w:hint="eastAsia" w:ascii="宋体" w:hAnsi="宋体" w:eastAsia="宋体" w:cs="宋体"/>
          <w:color w:val="auto"/>
          <w:kern w:val="0"/>
          <w:sz w:val="24"/>
          <w:highlight w:val="none"/>
        </w:rPr>
        <w:t>期进度款请款</w:t>
      </w:r>
      <w:r>
        <w:rPr>
          <w:rFonts w:hint="eastAsia" w:ascii="宋体" w:hAnsi="宋体" w:eastAsia="宋体" w:cs="宋体"/>
          <w:color w:val="auto"/>
          <w:sz w:val="24"/>
          <w:highlight w:val="none"/>
        </w:rPr>
        <w:t>前办理安全生产责任保险。乙方需按照甲方</w:t>
      </w:r>
      <w:r>
        <w:rPr>
          <w:rFonts w:hint="eastAsia" w:ascii="宋体" w:hAnsi="宋体" w:eastAsia="宋体" w:cs="宋体"/>
          <w:color w:val="auto"/>
          <w:kern w:val="0"/>
          <w:sz w:val="24"/>
          <w:highlight w:val="none"/>
        </w:rPr>
        <w:t>《安全文明措施费使用管理办法》</w:t>
      </w:r>
      <w:r>
        <w:rPr>
          <w:rFonts w:hint="eastAsia" w:ascii="宋体" w:hAnsi="宋体" w:eastAsia="宋体" w:cs="宋体"/>
          <w:color w:val="auto"/>
          <w:sz w:val="24"/>
          <w:highlight w:val="none"/>
        </w:rPr>
        <w:t>（云城开投〔2020〕92号，详见附件十四）文件执行，做到绿色施工安全防护措施费专款、足额投入，申请绿色施工安全防护措施费需要按照文件要求，提供相应证明材料。并确认甲方的《安全文明措施费使用管理办法》为本协议组成部分，乙方确认已经完全知晓。</w:t>
      </w:r>
    </w:p>
    <w:bookmarkEnd w:id="302"/>
    <w:p w14:paraId="5E3CA2DD">
      <w:pPr>
        <w:pStyle w:val="93"/>
        <w:autoSpaceDE w:val="0"/>
        <w:autoSpaceDN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为规范项目建设管理，乙方需遵守甲方《服务供应商不规范行为管理办法（另册），并确认《服务供应商不规范行为管理办法》为本协议组成部分，乙方确认已经完全知晓《服务供应商不规范行为管理办法》内容，并无条件认可甲方按照《服务供应商不规范行为管理办法》及甲方的管理制度对其处罚，对乙方行为实行“黑、白名单”管理。如乙方履行合同存在严重不履约行为，甲方发出项目监管函每次扣罚乙方5000元，甲方发出本项目约谈法定代表人通知书每次扣罚乙方10000元。甲方连续向乙方发出3份约谈法定代表人通知书，自第三份约谈通知书发出之日起暂停乙方对甲方后续项目的投标资格半年，并在番禺区范围内通报。后续再每多发出一份约谈法定代表人通知书，自通知书发出之日起自动停标半年，停标时间如有重合，自动顺延。罚款在工程费用中直接扣减。</w:t>
      </w:r>
    </w:p>
    <w:p w14:paraId="73B388C2">
      <w:pPr>
        <w:pStyle w:val="93"/>
        <w:autoSpaceDE w:val="0"/>
        <w:autoSpaceDN w:val="0"/>
        <w:adjustRightInd w:val="0"/>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如乙方有违背本合同条款的行为，相关条款中未涉及处理措施的，则每次扣罚50000元，直接在当期工程款和结算款中扣除，如有涉及处理措施低于本条处罚标准的，按照本条处罚标准执行，但不能抵消乙方应该履行的赔偿责任</w:t>
      </w:r>
      <w:r>
        <w:rPr>
          <w:rFonts w:hint="default" w:ascii="宋体" w:hAnsi="宋体" w:eastAsia="宋体" w:cs="宋体"/>
          <w:color w:val="auto"/>
          <w:sz w:val="24"/>
          <w:highlight w:val="none"/>
          <w:lang w:val="en-US"/>
        </w:rPr>
        <w:t>,</w:t>
      </w:r>
      <w:r>
        <w:rPr>
          <w:rFonts w:hint="eastAsia" w:ascii="宋体" w:hAnsi="宋体" w:eastAsia="宋体" w:cs="宋体"/>
          <w:color w:val="auto"/>
          <w:sz w:val="24"/>
          <w:highlight w:val="none"/>
          <w:lang w:val="en-US" w:eastAsia="zh-CN"/>
        </w:rPr>
        <w:t>以及乙方应当对违约行为所造成的后果尽修复、整改责任。</w:t>
      </w:r>
    </w:p>
    <w:p w14:paraId="6A884980">
      <w:pPr>
        <w:pStyle w:val="93"/>
        <w:autoSpaceDE w:val="0"/>
        <w:autoSpaceDN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.乙方应遵守甲方发布的一系列履约监管办法。若在合同履行过程中甲方有新发布的履约监管办法，甲方将发文予以告知，乙方应该知晓并遵守。</w:t>
      </w:r>
    </w:p>
    <w:p w14:paraId="58A4548C">
      <w:pPr>
        <w:pStyle w:val="93"/>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r>
        <w:rPr>
          <w:rFonts w:hint="eastAsia" w:ascii="宋体" w:hAnsi="宋体" w:eastAsia="宋体" w:cs="宋体"/>
          <w:bCs/>
          <w:color w:val="auto"/>
          <w:sz w:val="24"/>
          <w:highlight w:val="none"/>
          <w:lang w:val="en-US" w:eastAsia="zh-CN"/>
        </w:rPr>
        <w:t>0</w:t>
      </w:r>
      <w:r>
        <w:rPr>
          <w:rFonts w:hint="eastAsia" w:ascii="宋体" w:hAnsi="宋体" w:eastAsia="宋体" w:cs="宋体"/>
          <w:bCs/>
          <w:color w:val="auto"/>
          <w:sz w:val="24"/>
          <w:highlight w:val="none"/>
        </w:rPr>
        <w:t>.无论通用条款、专用条款、其他条款是否约定，或法律法规是否规定，包括索赔事件、工程变更、以及现场与工程相关的费用等涉及工程价款调整的，均需得到项目监理单位、甲方的书面审批确认并加盖单位公章，否则，不调整合同价款。</w:t>
      </w:r>
    </w:p>
    <w:p w14:paraId="2697526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.乙方合同印花税及工程款发票的开具须在工程所在地的税务部门办理,否则甲方有权拒绝审批工程进度款。</w:t>
      </w:r>
    </w:p>
    <w:p w14:paraId="617AE307">
      <w:pPr>
        <w:autoSpaceDE w:val="0"/>
        <w:autoSpaceDN w:val="0"/>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.同一事件，若合同有多个处罚条款，按处罚高的条款处理。</w:t>
      </w:r>
    </w:p>
    <w:p w14:paraId="47F85EB0">
      <w:pPr>
        <w:pStyle w:val="81"/>
        <w:ind w:firstLine="480" w:firstLineChars="200"/>
        <w:jc w:val="both"/>
        <w:rPr>
          <w:rFonts w:hint="eastAsia" w:ascii="宋体" w:hAnsi="宋体" w:eastAsia="宋体" w:cs="宋体"/>
          <w:b/>
          <w:color w:val="auto"/>
          <w:szCs w:val="36"/>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.本合同未尽事宜，由本合同双方协商签订补充协议。</w:t>
      </w:r>
    </w:p>
    <w:p w14:paraId="32788DA6">
      <w:pP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p>
    <w:p w14:paraId="77BB96A1">
      <w:pPr>
        <w:keepNext w:val="0"/>
        <w:keepLines w:val="0"/>
        <w:pageBreakBefore w:val="0"/>
        <w:kinsoku/>
        <w:overflowPunct/>
        <w:topLinePunct w:val="0"/>
        <w:autoSpaceDE/>
        <w:autoSpaceDN/>
        <w:bidi w:val="0"/>
        <w:adjustRightInd/>
        <w:snapToGrid/>
        <w:spacing w:line="560" w:lineRule="exact"/>
        <w:jc w:val="center"/>
        <w:textAlignment w:val="auto"/>
        <w:rPr>
          <w:b/>
          <w:color w:val="auto"/>
          <w:sz w:val="30"/>
          <w:szCs w:val="30"/>
          <w:highlight w:val="none"/>
        </w:rPr>
      </w:pPr>
      <w:r>
        <w:rPr>
          <w:rFonts w:hint="eastAsia" w:ascii="宋体" w:hAnsi="宋体" w:eastAsia="宋体" w:cs="宋体"/>
          <w:b/>
          <w:color w:val="auto"/>
          <w:szCs w:val="36"/>
          <w:highlight w:val="none"/>
        </w:rPr>
        <w:t xml:space="preserve">第五篇 </w:t>
      </w:r>
      <w:r>
        <w:rPr>
          <w:rFonts w:hint="eastAsia"/>
          <w:b/>
          <w:color w:val="auto"/>
          <w:sz w:val="30"/>
          <w:szCs w:val="30"/>
          <w:highlight w:val="none"/>
        </w:rPr>
        <w:t>产业园整体租赁合同</w:t>
      </w:r>
    </w:p>
    <w:p w14:paraId="3DFF6A21">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针对番禺区石碁镇桥山村村镇工业集聚区更新改造试点项目“EPC+O”中的运营管理部分，根据桥山村村镇工业集聚区更新改造试点项目工程建设的实际情况，甲方将竣工后的村工业集聚区产业园区租赁给乙方，甲乙方将发挥各自优势特长将桥山村村镇工业集聚区打造为区域产业更新改造示范标杆。经双方友好协商，特约定如下：</w:t>
      </w:r>
    </w:p>
    <w:p w14:paraId="6412F13E">
      <w:pPr>
        <w:keepNext w:val="0"/>
        <w:keepLines w:val="0"/>
        <w:pageBreakBefore w:val="0"/>
        <w:kinsoku/>
        <w:overflowPunct/>
        <w:topLinePunct w:val="0"/>
        <w:autoSpaceDE/>
        <w:autoSpaceDN/>
        <w:bidi w:val="0"/>
        <w:adjustRightInd/>
        <w:snapToGrid/>
        <w:spacing w:line="560" w:lineRule="exact"/>
        <w:textAlignment w:val="auto"/>
        <w:rPr>
          <w:rFonts w:hint="eastAsia" w:ascii="宋体" w:hAnsi="宋体"/>
          <w:color w:val="auto"/>
          <w:sz w:val="24"/>
          <w:highlight w:val="none"/>
        </w:rPr>
      </w:pPr>
      <w:r>
        <w:rPr>
          <w:rFonts w:hint="eastAsia" w:ascii="宋体" w:hAnsi="宋体"/>
          <w:color w:val="auto"/>
          <w:sz w:val="24"/>
          <w:highlight w:val="none"/>
        </w:rPr>
        <w:t xml:space="preserve">                                    </w:t>
      </w:r>
    </w:p>
    <w:p w14:paraId="7CB93004">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甲方（出租人）：</w:t>
      </w:r>
      <w:r>
        <w:rPr>
          <w:rFonts w:hint="eastAsia" w:ascii="宋体" w:hAnsi="宋体" w:cs="宋体"/>
          <w:color w:val="auto"/>
          <w:sz w:val="24"/>
          <w:highlight w:val="none"/>
        </w:rPr>
        <w:t>广州市番禺区石碁镇桥山村股份合作经济社</w:t>
      </w:r>
      <w:r>
        <w:rPr>
          <w:rFonts w:hint="eastAsia" w:ascii="宋体" w:hAnsi="宋体"/>
          <w:color w:val="auto"/>
          <w:sz w:val="24"/>
          <w:highlight w:val="none"/>
        </w:rPr>
        <w:t xml:space="preserve"> </w:t>
      </w:r>
    </w:p>
    <w:p w14:paraId="39DF035F">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 xml:space="preserve">住  所： </w:t>
      </w:r>
    </w:p>
    <w:p w14:paraId="6956CF44">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 xml:space="preserve">通讯地址： </w:t>
      </w:r>
    </w:p>
    <w:p w14:paraId="5B6651D9">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 xml:space="preserve">乙方（承租人）： </w:t>
      </w:r>
    </w:p>
    <w:p w14:paraId="3DB1CDF6">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 xml:space="preserve">住所： </w:t>
      </w:r>
    </w:p>
    <w:p w14:paraId="3E6B2A15">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 xml:space="preserve">通讯地址： </w:t>
      </w:r>
    </w:p>
    <w:p w14:paraId="4E7F76F4">
      <w:pPr>
        <w:keepNext w:val="0"/>
        <w:keepLines w:val="0"/>
        <w:pageBreakBefore w:val="0"/>
        <w:kinsoku/>
        <w:overflowPunct/>
        <w:topLinePunct w:val="0"/>
        <w:autoSpaceDE/>
        <w:autoSpaceDN/>
        <w:bidi w:val="0"/>
        <w:adjustRightInd/>
        <w:snapToGrid/>
        <w:spacing w:line="560" w:lineRule="exact"/>
        <w:textAlignment w:val="auto"/>
        <w:rPr>
          <w:rFonts w:hint="eastAsia" w:ascii="宋体" w:hAnsi="宋体"/>
          <w:color w:val="auto"/>
          <w:sz w:val="24"/>
          <w:highlight w:val="none"/>
        </w:rPr>
      </w:pPr>
    </w:p>
    <w:p w14:paraId="50D72DAF">
      <w:pPr>
        <w:keepNext w:val="0"/>
        <w:keepLines w:val="0"/>
        <w:pageBreakBefore w:val="0"/>
        <w:numPr>
          <w:ilvl w:val="0"/>
          <w:numId w:val="32"/>
        </w:numPr>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乙双方就包括厂房、宿舍（含首层商铺）以及配套设施如配电房、弱电机房、消防水池、场地、道路等整体物业租赁事宜，协商一致，签订本合同。</w:t>
      </w:r>
    </w:p>
    <w:p w14:paraId="1E750F8D">
      <w:pPr>
        <w:pStyle w:val="17"/>
        <w:keepNext w:val="0"/>
        <w:keepLines w:val="0"/>
        <w:pageBreakBefore w:val="0"/>
        <w:kinsoku/>
        <w:overflowPunct/>
        <w:topLinePunct w:val="0"/>
        <w:autoSpaceDE/>
        <w:autoSpaceDN/>
        <w:bidi w:val="0"/>
        <w:adjustRightInd/>
        <w:snapToGrid/>
        <w:spacing w:line="560" w:lineRule="exact"/>
        <w:textAlignment w:val="auto"/>
        <w:rPr>
          <w:rFonts w:hint="eastAsia" w:ascii="宋体" w:hAnsi="宋体"/>
          <w:color w:val="auto"/>
          <w:sz w:val="24"/>
          <w:highlight w:val="none"/>
        </w:rPr>
      </w:pPr>
    </w:p>
    <w:p w14:paraId="109541BB">
      <w:pPr>
        <w:keepNext w:val="0"/>
        <w:keepLines w:val="0"/>
        <w:pageBreakBefore w:val="0"/>
        <w:kinsoku/>
        <w:overflowPunct/>
        <w:topLinePunct w:val="0"/>
        <w:autoSpaceDE/>
        <w:autoSpaceDN/>
        <w:bidi w:val="0"/>
        <w:adjustRightInd/>
        <w:snapToGrid/>
        <w:spacing w:line="560" w:lineRule="exact"/>
        <w:ind w:firstLine="57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释义：</w:t>
      </w:r>
    </w:p>
    <w:p w14:paraId="470B6446">
      <w:pPr>
        <w:keepNext w:val="0"/>
        <w:keepLines w:val="0"/>
        <w:pageBreakBefore w:val="0"/>
        <w:kinsoku/>
        <w:overflowPunct/>
        <w:topLinePunct w:val="0"/>
        <w:autoSpaceDE/>
        <w:autoSpaceDN/>
        <w:bidi w:val="0"/>
        <w:adjustRightInd/>
        <w:snapToGrid/>
        <w:spacing w:line="560" w:lineRule="exact"/>
        <w:ind w:firstLine="570"/>
        <w:textAlignment w:val="auto"/>
        <w:rPr>
          <w:rFonts w:hint="eastAsia" w:ascii="宋体" w:hAnsi="宋体" w:cs="宋体"/>
          <w:color w:val="auto"/>
          <w:sz w:val="24"/>
          <w:highlight w:val="none"/>
          <w:lang w:val="en-US" w:eastAsia="zh-CN"/>
        </w:rPr>
      </w:pPr>
      <w:r>
        <w:rPr>
          <w:rFonts w:hint="eastAsia" w:ascii="宋体" w:hAnsi="宋体"/>
          <w:color w:val="auto"/>
          <w:sz w:val="24"/>
          <w:highlight w:val="none"/>
          <w:lang w:val="en-US" w:eastAsia="zh-CN"/>
        </w:rPr>
        <w:t>1、</w:t>
      </w:r>
      <w:r>
        <w:rPr>
          <w:rFonts w:hint="eastAsia" w:ascii="宋体" w:hAnsi="宋体" w:cs="宋体"/>
          <w:color w:val="auto"/>
          <w:sz w:val="24"/>
          <w:highlight w:val="none"/>
          <w:lang w:val="en-US" w:eastAsia="zh-CN"/>
        </w:rPr>
        <w:t>如没有特别说明，本合同所指“年”是周期年（周期年指从物业交付之日开始计算的一年时间，如此类推），并非自然年（自然年指每年1月1日至12月31日的完整周期）；</w:t>
      </w:r>
    </w:p>
    <w:p w14:paraId="5F0AB92F">
      <w:pPr>
        <w:keepNext w:val="0"/>
        <w:keepLines w:val="0"/>
        <w:pageBreakBefore w:val="0"/>
        <w:numPr>
          <w:ilvl w:val="0"/>
          <w:numId w:val="0"/>
        </w:numPr>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2、本合同所指“月”是周期月（周期月是指从物业交付之日开始计算的一个月，如此类推）；</w:t>
      </w:r>
    </w:p>
    <w:p w14:paraId="407E8219">
      <w:pPr>
        <w:keepNext w:val="0"/>
        <w:keepLines w:val="0"/>
        <w:pageBreakBefore w:val="0"/>
        <w:numPr>
          <w:ilvl w:val="0"/>
          <w:numId w:val="0"/>
        </w:numPr>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3、本合同所指“项目”</w:t>
      </w:r>
      <w:r>
        <w:rPr>
          <w:rFonts w:hint="default" w:ascii="宋体" w:hAnsi="宋体"/>
          <w:color w:val="auto"/>
          <w:sz w:val="24"/>
          <w:highlight w:val="none"/>
          <w:lang w:val="en-US" w:eastAsia="zh-CN"/>
        </w:rPr>
        <w:t>/</w:t>
      </w:r>
      <w:r>
        <w:rPr>
          <w:rFonts w:hint="eastAsia" w:ascii="宋体" w:hAnsi="宋体"/>
          <w:color w:val="auto"/>
          <w:sz w:val="24"/>
          <w:highlight w:val="none"/>
          <w:lang w:val="en-US" w:eastAsia="zh-CN"/>
        </w:rPr>
        <w:t>“本项目”指番禺区桥山村村镇工业集聚区更新改造试点管理运营项目；</w:t>
      </w:r>
    </w:p>
    <w:p w14:paraId="710B09C4">
      <w:pPr>
        <w:keepNext w:val="0"/>
        <w:keepLines w:val="0"/>
        <w:pageBreakBefore w:val="0"/>
        <w:numPr>
          <w:ilvl w:val="0"/>
          <w:numId w:val="0"/>
        </w:numPr>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4、除有特别说明，本项目“各期”均指本项目一期、二期、三期；</w:t>
      </w:r>
    </w:p>
    <w:p w14:paraId="7E43F5AC">
      <w:pPr>
        <w:pStyle w:val="17"/>
        <w:keepNext w:val="0"/>
        <w:keepLines w:val="0"/>
        <w:pageBreakBefore w:val="0"/>
        <w:numPr>
          <w:ilvl w:val="0"/>
          <w:numId w:val="0"/>
        </w:numPr>
        <w:kinsoku/>
        <w:overflowPunct/>
        <w:topLinePunct w:val="0"/>
        <w:autoSpaceDE/>
        <w:autoSpaceDN/>
        <w:bidi w:val="0"/>
        <w:adjustRightInd/>
        <w:snapToGrid/>
        <w:spacing w:line="560" w:lineRule="exact"/>
        <w:ind w:left="570" w:leftChars="0"/>
        <w:textAlignment w:val="auto"/>
        <w:rPr>
          <w:rFonts w:hint="eastAsia" w:ascii="宋体" w:hAnsi="宋体" w:cs="宋体"/>
          <w:color w:val="auto"/>
          <w:kern w:val="2"/>
          <w:sz w:val="24"/>
          <w:szCs w:val="24"/>
          <w:highlight w:val="none"/>
          <w:lang w:val="en-US" w:eastAsia="zh-CN" w:bidi="ar-SA"/>
        </w:rPr>
      </w:pPr>
    </w:p>
    <w:p w14:paraId="2E994EE0">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b/>
          <w:color w:val="auto"/>
          <w:sz w:val="24"/>
          <w:highlight w:val="none"/>
        </w:rPr>
      </w:pPr>
    </w:p>
    <w:p w14:paraId="247D547C">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b/>
          <w:color w:val="auto"/>
          <w:sz w:val="24"/>
          <w:highlight w:val="none"/>
        </w:rPr>
      </w:pPr>
      <w:r>
        <w:rPr>
          <w:rFonts w:hint="eastAsia" w:ascii="宋体" w:hAnsi="宋体"/>
          <w:b/>
          <w:color w:val="auto"/>
          <w:sz w:val="24"/>
          <w:highlight w:val="none"/>
        </w:rPr>
        <w:t>第一部份：项目概况、产业园位置、范围、面积、交付标准</w:t>
      </w:r>
    </w:p>
    <w:p w14:paraId="3BA9B08C">
      <w:pPr>
        <w:pStyle w:val="37"/>
        <w:keepNext w:val="0"/>
        <w:keepLines w:val="0"/>
        <w:pageBreakBefore w:val="0"/>
        <w:kinsoku/>
        <w:overflowPunct/>
        <w:topLinePunct w:val="0"/>
        <w:autoSpaceDE/>
        <w:autoSpaceDN/>
        <w:bidi w:val="0"/>
        <w:adjustRightInd/>
        <w:snapToGrid/>
        <w:spacing w:line="560" w:lineRule="exact"/>
        <w:textAlignment w:val="auto"/>
        <w:rPr>
          <w:rFonts w:hint="eastAsia" w:ascii="宋体" w:hAnsi="宋体"/>
          <w:b/>
          <w:color w:val="auto"/>
          <w:sz w:val="24"/>
          <w:highlight w:val="none"/>
        </w:rPr>
      </w:pPr>
    </w:p>
    <w:p w14:paraId="3EC0BFA0">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黑体" w:hAnsi="黑体" w:eastAsia="黑体" w:cs="黑体"/>
          <w:color w:val="auto"/>
          <w:sz w:val="24"/>
          <w:highlight w:val="none"/>
        </w:rPr>
      </w:pPr>
      <w:r>
        <w:rPr>
          <w:rFonts w:hint="eastAsia" w:ascii="宋体" w:hAnsi="宋体"/>
          <w:b/>
          <w:bCs/>
          <w:color w:val="auto"/>
          <w:sz w:val="24"/>
          <w:highlight w:val="none"/>
        </w:rPr>
        <w:t xml:space="preserve">第一条 项目概况 </w:t>
      </w:r>
      <w:r>
        <w:rPr>
          <w:rFonts w:hint="eastAsia" w:ascii="黑体" w:hAnsi="黑体" w:eastAsia="黑体" w:cs="黑体"/>
          <w:color w:val="auto"/>
          <w:sz w:val="24"/>
          <w:highlight w:val="none"/>
        </w:rPr>
        <w:t>　　</w:t>
      </w:r>
    </w:p>
    <w:p w14:paraId="38BA3124">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s="宋体"/>
          <w:color w:val="auto"/>
          <w:sz w:val="24"/>
          <w:highlight w:val="none"/>
          <w:u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、项目名称：</w:t>
      </w:r>
      <w:r>
        <w:rPr>
          <w:rFonts w:hint="eastAsia" w:ascii="宋体" w:hAnsi="宋体" w:cs="宋体"/>
          <w:color w:val="auto"/>
          <w:sz w:val="24"/>
          <w:highlight w:val="none"/>
          <w:u w:val="none"/>
        </w:rPr>
        <w:t>番禺区桥山村村镇工业集聚区更新改造试点管理运营项目</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lang w:val="en-US" w:eastAsia="zh-CN"/>
        </w:rPr>
        <w:t>下称本项目</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rPr>
        <w:t>。</w:t>
      </w:r>
    </w:p>
    <w:p w14:paraId="5FE424D0">
      <w:pPr>
        <w:keepNext w:val="0"/>
        <w:keepLines w:val="0"/>
        <w:pageBreakBefore w:val="0"/>
        <w:kinsoku/>
        <w:overflowPunct/>
        <w:topLinePunct w:val="0"/>
        <w:autoSpaceDE/>
        <w:autoSpaceDN/>
        <w:bidi w:val="0"/>
        <w:adjustRightInd/>
        <w:snapToGrid/>
        <w:spacing w:before="246" w:beforeLines="79" w:after="14" w:line="5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、园区产权所有人：广州市番禺区石碁镇桥山村股份合作经济社。</w:t>
      </w:r>
    </w:p>
    <w:p w14:paraId="27F6EC18">
      <w:pPr>
        <w:keepNext w:val="0"/>
        <w:keepLines w:val="0"/>
        <w:pageBreakBefore w:val="0"/>
        <w:numPr>
          <w:ilvl w:val="0"/>
          <w:numId w:val="33"/>
        </w:numPr>
        <w:kinsoku/>
        <w:overflowPunct/>
        <w:topLinePunct w:val="0"/>
        <w:autoSpaceDE/>
        <w:autoSpaceDN/>
        <w:bidi w:val="0"/>
        <w:adjustRightInd/>
        <w:snapToGrid/>
        <w:spacing w:before="246" w:beforeLines="79" w:after="14" w:line="56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项目基本情况：甲方在本项目</w:t>
      </w:r>
      <w:r>
        <w:rPr>
          <w:rFonts w:hint="eastAsia" w:ascii="宋体" w:hAnsi="宋体" w:eastAsia="宋体" w:cs="宋体"/>
          <w:b w:val="0"/>
          <w:bCs w:val="0"/>
          <w:color w:val="auto"/>
          <w:sz w:val="24"/>
          <w:szCs w:val="24"/>
          <w:highlight w:val="none"/>
          <w:lang w:val="en-US" w:eastAsia="zh-CN"/>
        </w:rPr>
        <w:t>总投资约70000.00万元，甲方自有资金占总投资比例约为【20】%，银行贷款占总投资比例不超过【80】%</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其中，甲方当前自有资金为2000万元，其余部分的自有资金通过乙方提前支付租金形式获得，乙方提前支付租金不低于1亿元。乙方同意履行向甲方提前支付租金的义务，保证甲方完成20%自有资金的筹措，协助甲方推进项目建设。</w:t>
      </w:r>
    </w:p>
    <w:p w14:paraId="081BEE05">
      <w:pPr>
        <w:keepNext w:val="0"/>
        <w:keepLines w:val="0"/>
        <w:pageBreakBefore w:val="0"/>
        <w:numPr>
          <w:ilvl w:val="0"/>
          <w:numId w:val="33"/>
        </w:numPr>
        <w:kinsoku/>
        <w:overflowPunct/>
        <w:topLinePunct w:val="0"/>
        <w:autoSpaceDE/>
        <w:autoSpaceDN/>
        <w:bidi w:val="0"/>
        <w:adjustRightInd/>
        <w:snapToGrid/>
        <w:spacing w:before="246" w:beforeLines="79" w:after="14" w:line="56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项目类型、功能及用途：</w:t>
      </w:r>
    </w:p>
    <w:p w14:paraId="451BC1C4">
      <w:pPr>
        <w:keepNext w:val="0"/>
        <w:keepLines w:val="0"/>
        <w:pageBreakBefore w:val="0"/>
        <w:numPr>
          <w:ilvl w:val="-1"/>
          <w:numId w:val="0"/>
        </w:numPr>
        <w:kinsoku/>
        <w:overflowPunct/>
        <w:topLinePunct w:val="0"/>
        <w:autoSpaceDE/>
        <w:autoSpaceDN/>
        <w:bidi w:val="0"/>
        <w:adjustRightInd/>
        <w:snapToGrid/>
        <w:spacing w:line="560" w:lineRule="exact"/>
        <w:ind w:firstLine="360" w:firstLineChars="150"/>
        <w:textAlignment w:val="auto"/>
        <w:rPr>
          <w:rFonts w:hint="eastAsia" w:ascii="宋体" w:hAnsi="宋体" w:cs="宋体"/>
          <w:color w:val="auto"/>
          <w:sz w:val="24"/>
          <w:highlight w:val="none"/>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本项目类型定位为产业园区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下称“园区”</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，可用于工业、办公、仓储、商业、服务业等。乙方</w:t>
      </w:r>
      <w:r>
        <w:rPr>
          <w:rFonts w:hint="eastAsia" w:ascii="宋体" w:hAnsi="宋体" w:cs="宋体"/>
          <w:color w:val="auto"/>
          <w:sz w:val="24"/>
          <w:highlight w:val="none"/>
          <w:lang w:val="en-US" w:eastAsia="zh-CN"/>
        </w:rPr>
        <w:t>须按照规划用途、房屋性质依法使用园区，</w:t>
      </w:r>
      <w:r>
        <w:rPr>
          <w:rFonts w:hint="eastAsia" w:ascii="宋体" w:hAnsi="宋体" w:eastAsia="宋体" w:cs="宋体"/>
          <w:color w:val="auto"/>
          <w:sz w:val="24"/>
          <w:highlight w:val="none"/>
          <w:lang w:eastAsia="zh-CN"/>
        </w:rPr>
        <w:t>如需变更、增加使用用途、功能时，须经甲方书面同意，并按有关法律、法规办理改变用途的报批手续，甲方提供协助，但报批所需费用均由乙方承担。</w:t>
      </w:r>
    </w:p>
    <w:p w14:paraId="48E7AD21">
      <w:pPr>
        <w:pStyle w:val="128"/>
        <w:keepNext w:val="0"/>
        <w:keepLines w:val="0"/>
        <w:pageBreakBefore w:val="0"/>
        <w:kinsoku/>
        <w:overflowPunct/>
        <w:topLinePunct w:val="0"/>
        <w:autoSpaceDE/>
        <w:autoSpaceDN/>
        <w:bidi w:val="0"/>
        <w:adjustRightInd/>
        <w:snapToGrid/>
        <w:spacing w:before="246" w:beforeLines="79" w:after="14" w:line="560" w:lineRule="exact"/>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乙方应保证园区进驻企业在园区内进行经营活动时，符合环保、消防等相关法律政策规定。按法律法规的规定向有关部门申请并取得必要的执照、批准证书或许可证等，并应按照该等执照、批准证书或许可证的规定进行合法经营活动，不得进行对甲方的商誉及信誉有不良影响的行为。</w:t>
      </w:r>
      <w:r>
        <w:rPr>
          <w:rFonts w:hint="eastAsia" w:ascii="宋体" w:hAnsi="宋体" w:eastAsia="宋体" w:cs="宋体"/>
          <w:color w:val="auto"/>
          <w:sz w:val="24"/>
          <w:highlight w:val="none"/>
          <w:lang w:eastAsia="zh-CN"/>
        </w:rPr>
        <w:t>对园区入驻企业及域内违反有关治安、环保、物业装饰装修和使用等方面法律、法规、规章的行为，应当及时告知、建议、劝阻，并向有关部门报告。围绕地下停车场、园区空地等有效空间，积极拓展园区增值服务，为入驻企业提供各项便利。</w:t>
      </w:r>
    </w:p>
    <w:p w14:paraId="47CB1388">
      <w:pPr>
        <w:pStyle w:val="128"/>
        <w:keepNext w:val="0"/>
        <w:keepLines w:val="0"/>
        <w:pageBreakBefore w:val="0"/>
        <w:kinsoku/>
        <w:overflowPunct/>
        <w:topLinePunct w:val="0"/>
        <w:autoSpaceDE/>
        <w:autoSpaceDN/>
        <w:bidi w:val="0"/>
        <w:adjustRightInd/>
        <w:snapToGrid/>
        <w:spacing w:before="246" w:beforeLines="79" w:after="14" w:line="560" w:lineRule="exact"/>
        <w:ind w:firstLine="480" w:firstLineChars="200"/>
        <w:textAlignment w:val="auto"/>
        <w:rPr>
          <w:rFonts w:hint="default" w:ascii="宋体" w:hAnsi="宋体" w:eastAsia="宋体" w:cs="宋体"/>
          <w:bCs/>
          <w:color w:val="auto"/>
          <w:highlight w:val="none"/>
          <w:lang w:val="en-US" w:eastAsia="zh-CN"/>
        </w:rPr>
      </w:pPr>
      <w:r>
        <w:rPr>
          <w:rFonts w:hint="default" w:ascii="宋体" w:hAnsi="宋体" w:eastAsia="宋体" w:cs="宋体"/>
          <w:color w:val="auto"/>
          <w:highlight w:val="none"/>
          <w:lang w:val="en-US" w:eastAsia="zh-CN"/>
        </w:rPr>
        <w:t>5</w:t>
      </w:r>
      <w:r>
        <w:rPr>
          <w:rFonts w:hint="eastAsia" w:ascii="宋体" w:hAnsi="宋体" w:eastAsia="宋体" w:cs="宋体"/>
          <w:color w:val="auto"/>
          <w:highlight w:val="none"/>
          <w:lang w:eastAsia="zh-CN"/>
        </w:rPr>
        <w:t>、合作模式：在</w:t>
      </w:r>
      <w:r>
        <w:rPr>
          <w:rFonts w:hint="eastAsia" w:ascii="宋体" w:hAnsi="宋体" w:eastAsia="宋体" w:cs="宋体"/>
          <w:color w:val="auto"/>
          <w:highlight w:val="none"/>
          <w:lang w:val="en-US" w:eastAsia="zh-CN"/>
        </w:rPr>
        <w:t>租赁期</w:t>
      </w:r>
      <w:r>
        <w:rPr>
          <w:rFonts w:hint="eastAsia" w:ascii="宋体" w:hAnsi="宋体" w:eastAsia="宋体" w:cs="宋体"/>
          <w:color w:val="auto"/>
          <w:highlight w:val="none"/>
          <w:lang w:eastAsia="zh-CN"/>
        </w:rPr>
        <w:t>内，乙方拥有园区运营管理权，</w:t>
      </w:r>
      <w:r>
        <w:rPr>
          <w:rFonts w:hint="eastAsia" w:ascii="宋体" w:hAnsi="宋体" w:eastAsia="宋体" w:cs="宋体"/>
          <w:color w:val="auto"/>
          <w:highlight w:val="none"/>
          <w:lang w:val="en-US" w:eastAsia="zh-CN"/>
        </w:rPr>
        <w:t>乙方须按照本合同约定</w:t>
      </w:r>
      <w:r>
        <w:rPr>
          <w:rFonts w:hint="eastAsia" w:ascii="宋体" w:hAnsi="宋体" w:eastAsia="宋体" w:cs="宋体"/>
          <w:color w:val="auto"/>
          <w:highlight w:val="none"/>
          <w:lang w:eastAsia="zh-CN"/>
        </w:rPr>
        <w:t>向甲方支付租金、</w:t>
      </w:r>
      <w:r>
        <w:rPr>
          <w:rFonts w:hint="eastAsia" w:ascii="宋体" w:hAnsi="宋体" w:eastAsia="宋体" w:cs="宋体"/>
          <w:color w:val="auto"/>
          <w:highlight w:val="none"/>
          <w:lang w:val="en-US" w:eastAsia="zh-CN"/>
        </w:rPr>
        <w:t>管理费以及其他应付收益等</w:t>
      </w:r>
      <w:r>
        <w:rPr>
          <w:rFonts w:hint="eastAsia" w:ascii="宋体" w:hAnsi="宋体" w:eastAsia="宋体" w:cs="宋体"/>
          <w:color w:val="auto"/>
          <w:highlight w:val="none"/>
          <w:lang w:eastAsia="zh-CN"/>
        </w:rPr>
        <w:t>。由乙方以</w:t>
      </w:r>
      <w:r>
        <w:rPr>
          <w:rFonts w:hint="eastAsia" w:ascii="Times New Roman" w:hAnsi="Times New Roman" w:eastAsia="宋体"/>
          <w:color w:val="auto"/>
          <w:highlight w:val="none"/>
          <w:lang w:eastAsia="zh-CN"/>
        </w:rPr>
        <w:t>项目经营主体的名义</w:t>
      </w:r>
      <w:r>
        <w:rPr>
          <w:rFonts w:hint="eastAsia" w:ascii="宋体" w:hAnsi="宋体" w:eastAsia="宋体" w:cs="宋体"/>
          <w:color w:val="auto"/>
          <w:highlight w:val="none"/>
          <w:lang w:eastAsia="zh-CN"/>
        </w:rPr>
        <w:t>运营管理竣工后的村工业集聚区产业园区，包括但不限于提供园区产业定位及规划、园区品牌运营及推广、园区入驻企业招商及管理、园区服务业引入管理、园区物业管理等服务。</w:t>
      </w:r>
      <w:r>
        <w:rPr>
          <w:rFonts w:hint="eastAsia" w:ascii="宋体" w:hAnsi="宋体" w:eastAsia="宋体" w:cs="宋体"/>
          <w:color w:val="auto"/>
          <w:sz w:val="24"/>
          <w:szCs w:val="24"/>
          <w:highlight w:val="none"/>
          <w:u w:val="none"/>
          <w:lang w:val="en-US" w:eastAsia="zh-CN"/>
        </w:rPr>
        <w:t>重点发展引进高端装备制造及节能环保设备两大产业发展方向</w:t>
      </w:r>
      <w:r>
        <w:rPr>
          <w:rFonts w:hint="eastAsia" w:ascii="宋体" w:hAnsi="宋体" w:eastAsia="宋体" w:cs="宋体"/>
          <w:color w:val="auto"/>
          <w:sz w:val="24"/>
          <w:szCs w:val="24"/>
          <w:highlight w:val="none"/>
          <w:u w:val="none"/>
          <w:lang w:eastAsia="zh-CN"/>
        </w:rPr>
        <w:t>，引入具有发展潜力的</w:t>
      </w:r>
      <w:r>
        <w:rPr>
          <w:rFonts w:hint="eastAsia" w:ascii="宋体" w:hAnsi="宋体" w:eastAsia="宋体" w:cs="宋体"/>
          <w:color w:val="auto"/>
          <w:sz w:val="24"/>
          <w:szCs w:val="24"/>
          <w:highlight w:val="none"/>
          <w:u w:val="none"/>
          <w:lang w:val="en-US" w:eastAsia="zh-CN"/>
        </w:rPr>
        <w:t>高新技术及专精特新制造</w:t>
      </w:r>
      <w:r>
        <w:rPr>
          <w:rFonts w:hint="eastAsia" w:ascii="宋体" w:hAnsi="宋体" w:eastAsia="宋体" w:cs="宋体"/>
          <w:color w:val="auto"/>
          <w:sz w:val="24"/>
          <w:szCs w:val="24"/>
          <w:highlight w:val="none"/>
          <w:u w:val="none"/>
          <w:lang w:eastAsia="zh-CN"/>
        </w:rPr>
        <w:t>企业，实现新形式的产业上楼，推进新型工业化、</w:t>
      </w:r>
      <w:r>
        <w:rPr>
          <w:rFonts w:hint="eastAsia" w:ascii="宋体" w:hAnsi="宋体" w:eastAsia="宋体" w:cs="宋体"/>
          <w:color w:val="auto"/>
          <w:sz w:val="24"/>
          <w:szCs w:val="24"/>
          <w:highlight w:val="none"/>
          <w:u w:val="none"/>
          <w:lang w:val="en-US" w:eastAsia="zh-CN"/>
        </w:rPr>
        <w:t>高标准规划建设新型产业综合体园区</w:t>
      </w:r>
      <w:r>
        <w:rPr>
          <w:rFonts w:hint="eastAsia" w:ascii="宋体" w:hAnsi="宋体" w:eastAsia="宋体" w:cs="宋体"/>
          <w:color w:val="auto"/>
          <w:sz w:val="24"/>
          <w:szCs w:val="24"/>
          <w:highlight w:val="none"/>
          <w:u w:val="none"/>
          <w:lang w:eastAsia="zh-CN"/>
        </w:rPr>
        <w:t>。乙方在参加本项目投标所作出的引进专精特新企业、国高企业的招商引进承诺作为本合同义务条款执行。</w:t>
      </w:r>
    </w:p>
    <w:p w14:paraId="7F288296">
      <w:pPr>
        <w:pStyle w:val="128"/>
        <w:keepNext w:val="0"/>
        <w:keepLines w:val="0"/>
        <w:pageBreakBefore w:val="0"/>
        <w:kinsoku/>
        <w:overflowPunct/>
        <w:topLinePunct w:val="0"/>
        <w:autoSpaceDE/>
        <w:autoSpaceDN/>
        <w:bidi w:val="0"/>
        <w:adjustRightInd/>
        <w:snapToGrid/>
        <w:spacing w:before="246" w:beforeLines="79" w:after="14" w:line="560" w:lineRule="exact"/>
        <w:ind w:firstLine="480" w:firstLineChars="200"/>
        <w:textAlignment w:val="auto"/>
        <w:rPr>
          <w:rFonts w:hint="eastAsia" w:ascii="宋体" w:hAnsi="宋体"/>
          <w:b/>
          <w:color w:val="auto"/>
          <w:highlight w:val="none"/>
          <w:lang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、项目运营管理服务范围及面积：项目所在用地红线范围内的建筑物、空地、外广场、屋顶、外立面、架空层等（具体以双方确认的《项目运营范围》以及《项目建筑面积测绘表》为准），</w:t>
      </w:r>
      <w:r>
        <w:rPr>
          <w:rFonts w:hint="eastAsia" w:ascii="宋体" w:hAnsi="宋体" w:eastAsia="宋体" w:cs="宋体"/>
          <w:color w:val="auto"/>
          <w:highlight w:val="none"/>
          <w:lang w:val="en-US" w:eastAsia="zh-CN"/>
        </w:rPr>
        <w:t>地下停车场不属于本合同租赁范围，地下停车场由甲方自主运营，因经营产生的成本由甲方承担，甲方与乙方相互配合协调地下停车场运营与园区管理的相关事宜。</w:t>
      </w:r>
    </w:p>
    <w:p w14:paraId="13D0A6EB">
      <w:pPr>
        <w:keepNext w:val="0"/>
        <w:keepLines w:val="0"/>
        <w:pageBreakBefore w:val="0"/>
        <w:kinsoku/>
        <w:overflowPunct/>
        <w:topLinePunct w:val="0"/>
        <w:autoSpaceDE/>
        <w:autoSpaceDN/>
        <w:bidi w:val="0"/>
        <w:adjustRightInd/>
        <w:snapToGrid/>
        <w:spacing w:line="560" w:lineRule="exact"/>
        <w:textAlignment w:val="auto"/>
        <w:rPr>
          <w:color w:val="auto"/>
          <w:highlight w:val="none"/>
        </w:rPr>
      </w:pPr>
    </w:p>
    <w:p w14:paraId="2C580152">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Times New Roman"/>
          <w:bCs/>
          <w:color w:val="auto"/>
          <w:sz w:val="24"/>
          <w:szCs w:val="24"/>
          <w:highlight w:val="none"/>
          <w:u w:val="single"/>
          <w:lang w:val="en-US" w:eastAsia="zh-CN"/>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第二条 </w:t>
      </w:r>
      <w:r>
        <w:rPr>
          <w:rFonts w:hint="eastAsia" w:ascii="宋体" w:hAnsi="宋体"/>
          <w:color w:val="auto"/>
          <w:sz w:val="24"/>
          <w:highlight w:val="none"/>
        </w:rPr>
        <w:t>甲方同意将座落于番禺区石碁镇金龙路桥山村村镇工业集聚区更新改造试点项目产业园整体物业租赁给乙方。</w:t>
      </w:r>
      <w:r>
        <w:rPr>
          <w:rFonts w:hint="eastAsia" w:ascii="宋体" w:hAnsi="宋体" w:eastAsia="宋体" w:cs="Times New Roman"/>
          <w:bCs/>
          <w:color w:val="auto"/>
          <w:sz w:val="24"/>
          <w:szCs w:val="24"/>
          <w:highlight w:val="none"/>
          <w:u w:val="single"/>
          <w:lang w:val="en-US" w:eastAsia="zh-CN"/>
        </w:rPr>
        <w:t>项目规划总用地面积约111084平方米，建筑占地约80332平方米。</w:t>
      </w:r>
      <w:r>
        <w:rPr>
          <w:rFonts w:hint="eastAsia" w:ascii="宋体" w:hAnsi="宋体" w:cs="Times New Roman"/>
          <w:bCs/>
          <w:color w:val="auto"/>
          <w:sz w:val="24"/>
          <w:szCs w:val="24"/>
          <w:highlight w:val="none"/>
          <w:u w:val="single"/>
          <w:lang w:val="en-US" w:eastAsia="zh-CN"/>
        </w:rPr>
        <w:t>本项目</w:t>
      </w:r>
      <w:r>
        <w:rPr>
          <w:rFonts w:hint="eastAsia" w:ascii="宋体" w:hAnsi="宋体" w:eastAsia="宋体" w:cs="Times New Roman"/>
          <w:bCs/>
          <w:color w:val="auto"/>
          <w:sz w:val="24"/>
          <w:szCs w:val="24"/>
          <w:highlight w:val="none"/>
          <w:u w:val="single"/>
          <w:lang w:val="en-US" w:eastAsia="zh-CN"/>
        </w:rPr>
        <w:t>分一、二、三期完成全部建设</w:t>
      </w:r>
      <w:r>
        <w:rPr>
          <w:rFonts w:hint="eastAsia" w:ascii="宋体" w:hAnsi="宋体" w:cs="Times New Roman"/>
          <w:bCs/>
          <w:color w:val="auto"/>
          <w:sz w:val="24"/>
          <w:szCs w:val="24"/>
          <w:highlight w:val="none"/>
          <w:u w:val="single"/>
          <w:lang w:val="en-US" w:eastAsia="zh-CN"/>
        </w:rPr>
        <w:t>，各期按照项目建设情况独立交付物业，独立核算租金、管理费</w:t>
      </w:r>
      <w:r>
        <w:rPr>
          <w:rFonts w:hint="eastAsia" w:ascii="宋体" w:hAnsi="宋体" w:eastAsia="宋体" w:cs="Times New Roman"/>
          <w:bCs/>
          <w:color w:val="auto"/>
          <w:sz w:val="24"/>
          <w:szCs w:val="24"/>
          <w:highlight w:val="none"/>
          <w:u w:val="single"/>
          <w:lang w:val="en-US" w:eastAsia="zh-CN"/>
        </w:rPr>
        <w:t>。</w:t>
      </w:r>
    </w:p>
    <w:p w14:paraId="24F0BC50">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Times New Roman"/>
          <w:bCs/>
          <w:color w:val="auto"/>
          <w:sz w:val="24"/>
          <w:szCs w:val="24"/>
          <w:highlight w:val="none"/>
          <w:u w:val="single"/>
          <w:lang w:val="en-US" w:eastAsia="zh-CN"/>
        </w:rPr>
      </w:pPr>
      <w:r>
        <w:rPr>
          <w:rFonts w:hint="eastAsia" w:ascii="宋体" w:hAnsi="宋体" w:eastAsia="宋体" w:cs="Times New Roman"/>
          <w:bCs/>
          <w:color w:val="auto"/>
          <w:sz w:val="24"/>
          <w:szCs w:val="24"/>
          <w:highlight w:val="none"/>
          <w:u w:val="single"/>
          <w:lang w:val="en-US" w:eastAsia="zh-CN"/>
        </w:rPr>
        <w:t>项目（一期）规划总用地面积为36219.95㎡（约合54.3亩），总建筑面积10</w:t>
      </w:r>
      <w:r>
        <w:rPr>
          <w:rFonts w:hint="eastAsia" w:ascii="宋体" w:hAnsi="宋体" w:cs="Times New Roman"/>
          <w:bCs/>
          <w:color w:val="auto"/>
          <w:sz w:val="24"/>
          <w:szCs w:val="24"/>
          <w:highlight w:val="none"/>
          <w:u w:val="single"/>
          <w:lang w:val="en-US" w:eastAsia="zh-CN"/>
        </w:rPr>
        <w:t>8202.93</w:t>
      </w:r>
      <w:r>
        <w:rPr>
          <w:rFonts w:hint="eastAsia" w:ascii="宋体" w:hAnsi="宋体" w:eastAsia="宋体" w:cs="Times New Roman"/>
          <w:bCs/>
          <w:color w:val="auto"/>
          <w:sz w:val="24"/>
          <w:szCs w:val="24"/>
          <w:highlight w:val="none"/>
          <w:u w:val="single"/>
          <w:lang w:val="en-US" w:eastAsia="zh-CN"/>
        </w:rPr>
        <w:t>㎡（含地上建筑面积10</w:t>
      </w:r>
      <w:r>
        <w:rPr>
          <w:rFonts w:hint="eastAsia" w:ascii="宋体" w:hAnsi="宋体" w:cs="Times New Roman"/>
          <w:bCs/>
          <w:color w:val="auto"/>
          <w:sz w:val="24"/>
          <w:szCs w:val="24"/>
          <w:highlight w:val="none"/>
          <w:u w:val="single"/>
          <w:lang w:val="en-US" w:eastAsia="zh-CN"/>
        </w:rPr>
        <w:t>5526.93</w:t>
      </w:r>
      <w:r>
        <w:rPr>
          <w:rFonts w:hint="eastAsia" w:ascii="宋体" w:hAnsi="宋体" w:eastAsia="宋体" w:cs="Times New Roman"/>
          <w:bCs/>
          <w:color w:val="auto"/>
          <w:sz w:val="24"/>
          <w:szCs w:val="24"/>
          <w:highlight w:val="none"/>
          <w:u w:val="single"/>
          <w:lang w:val="en-US" w:eastAsia="zh-CN"/>
        </w:rPr>
        <w:t>㎡，地下2676㎡），地块规划15栋建筑物（含12栋厂房、1栋宿舍、1栋社区卫生服务中心、1栋商业）；</w:t>
      </w:r>
    </w:p>
    <w:p w14:paraId="22710966">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Times New Roman"/>
          <w:bCs/>
          <w:color w:val="auto"/>
          <w:sz w:val="24"/>
          <w:szCs w:val="24"/>
          <w:highlight w:val="none"/>
          <w:u w:val="single"/>
          <w:lang w:val="en-US" w:eastAsia="zh-CN"/>
        </w:rPr>
      </w:pPr>
      <w:r>
        <w:rPr>
          <w:rFonts w:hint="eastAsia" w:ascii="宋体" w:hAnsi="宋体" w:eastAsia="宋体" w:cs="Times New Roman"/>
          <w:bCs/>
          <w:color w:val="auto"/>
          <w:sz w:val="24"/>
          <w:szCs w:val="24"/>
          <w:highlight w:val="none"/>
          <w:u w:val="single"/>
          <w:lang w:val="en-US" w:eastAsia="zh-CN"/>
        </w:rPr>
        <w:t>项目（二期）规划总用地面积为25370.73㎡（约合38.06亩），总建筑面积78320㎡（含地上建筑面积</w:t>
      </w:r>
      <w:r>
        <w:rPr>
          <w:rFonts w:hint="eastAsia" w:ascii="宋体" w:hAnsi="宋体" w:cs="Times New Roman"/>
          <w:bCs/>
          <w:color w:val="auto"/>
          <w:sz w:val="24"/>
          <w:szCs w:val="24"/>
          <w:highlight w:val="none"/>
          <w:u w:val="single"/>
          <w:lang w:val="en-US" w:eastAsia="zh-CN"/>
        </w:rPr>
        <w:t>78320</w:t>
      </w:r>
      <w:r>
        <w:rPr>
          <w:rFonts w:hint="eastAsia" w:ascii="宋体" w:hAnsi="宋体" w:eastAsia="宋体" w:cs="Times New Roman"/>
          <w:bCs/>
          <w:color w:val="auto"/>
          <w:sz w:val="24"/>
          <w:szCs w:val="24"/>
          <w:highlight w:val="none"/>
          <w:u w:val="single"/>
          <w:lang w:val="en-US" w:eastAsia="zh-CN"/>
        </w:rPr>
        <w:t>㎡，地下2000㎡），地块规划5栋建筑物（含2栋多层厂房、3栋高层厂房）；</w:t>
      </w:r>
    </w:p>
    <w:p w14:paraId="0FA52DD0">
      <w:pPr>
        <w:keepNext w:val="0"/>
        <w:keepLines w:val="0"/>
        <w:pageBreakBefore w:val="0"/>
        <w:numPr>
          <w:ilvl w:val="0"/>
          <w:numId w:val="0"/>
        </w:numPr>
        <w:kinsoku/>
        <w:overflowPunct/>
        <w:topLinePunct w:val="0"/>
        <w:autoSpaceDE/>
        <w:autoSpaceDN/>
        <w:bidi w:val="0"/>
        <w:adjustRightInd/>
        <w:snapToGrid/>
        <w:spacing w:line="560" w:lineRule="exact"/>
        <w:ind w:firstLine="480" w:firstLineChars="200"/>
        <w:textAlignment w:val="auto"/>
        <w:rPr>
          <w:rFonts w:hint="default" w:eastAsia="宋体"/>
          <w:color w:val="auto"/>
          <w:highlight w:val="none"/>
          <w:lang w:val="en-US" w:eastAsia="zh-CN"/>
        </w:rPr>
      </w:pPr>
      <w:r>
        <w:rPr>
          <w:rFonts w:hint="eastAsia" w:ascii="宋体" w:hAnsi="宋体" w:eastAsia="宋体" w:cs="Times New Roman"/>
          <w:bCs/>
          <w:color w:val="auto"/>
          <w:sz w:val="24"/>
          <w:szCs w:val="24"/>
          <w:highlight w:val="none"/>
          <w:u w:val="single"/>
          <w:lang w:val="en-US" w:eastAsia="zh-CN"/>
        </w:rPr>
        <w:t>项目（三期）规划总用地面积为18740.8㎡（约合28.11亩），总建筑面积58502.5㎡（含地上建筑面积57502.5㎡，地下1000㎡），地块规划6栋建筑物（含5栋厂房、1栋首末站）。</w:t>
      </w:r>
    </w:p>
    <w:p w14:paraId="60DF90A0">
      <w:pPr>
        <w:keepNext w:val="0"/>
        <w:keepLines w:val="0"/>
        <w:pageBreakBefore w:val="0"/>
        <w:kinsoku/>
        <w:overflowPunct/>
        <w:topLinePunct w:val="0"/>
        <w:autoSpaceDE/>
        <w:autoSpaceDN/>
        <w:bidi w:val="0"/>
        <w:adjustRightInd/>
        <w:snapToGrid/>
        <w:spacing w:line="560" w:lineRule="exact"/>
        <w:ind w:firstLine="570"/>
        <w:textAlignment w:val="auto"/>
        <w:rPr>
          <w:rFonts w:hint="eastAsia" w:ascii="宋体" w:hAnsi="宋体"/>
          <w:color w:val="auto"/>
          <w:sz w:val="24"/>
          <w:highlight w:val="none"/>
        </w:rPr>
      </w:pPr>
      <w:r>
        <w:rPr>
          <w:rFonts w:hint="eastAsia" w:ascii="宋体" w:hAnsi="宋体"/>
          <w:color w:val="auto"/>
          <w:sz w:val="24"/>
          <w:highlight w:val="none"/>
        </w:rPr>
        <w:t xml:space="preserve">第三条 </w:t>
      </w:r>
      <w:r>
        <w:rPr>
          <w:rFonts w:hint="eastAsia" w:ascii="宋体" w:hAnsi="宋体"/>
          <w:color w:val="auto"/>
          <w:sz w:val="24"/>
          <w:highlight w:val="none"/>
          <w:lang w:val="en-US" w:eastAsia="zh-CN"/>
        </w:rPr>
        <w:t>物业</w:t>
      </w:r>
      <w:r>
        <w:rPr>
          <w:rFonts w:hint="eastAsia" w:ascii="宋体" w:hAnsi="宋体"/>
          <w:color w:val="auto"/>
          <w:sz w:val="24"/>
          <w:highlight w:val="none"/>
        </w:rPr>
        <w:t>交付标准：：</w:t>
      </w:r>
    </w:p>
    <w:p w14:paraId="7D89634D">
      <w:pPr>
        <w:keepNext w:val="0"/>
        <w:keepLines w:val="0"/>
        <w:pageBreakBefore w:val="0"/>
        <w:kinsoku/>
        <w:overflowPunct/>
        <w:topLinePunct w:val="0"/>
        <w:autoSpaceDE/>
        <w:autoSpaceDN/>
        <w:bidi w:val="0"/>
        <w:adjustRightInd/>
        <w:snapToGrid/>
        <w:spacing w:line="560" w:lineRule="exact"/>
        <w:ind w:firstLine="570"/>
        <w:textAlignment w:val="auto"/>
        <w:rPr>
          <w:rFonts w:hint="eastAsia" w:ascii="宋体" w:hAnsi="宋体"/>
          <w:color w:val="auto"/>
          <w:sz w:val="24"/>
          <w:highlight w:val="none"/>
        </w:rPr>
      </w:pPr>
      <w:r>
        <w:rPr>
          <w:rFonts w:hint="eastAsia" w:ascii="宋体" w:hAnsi="宋体"/>
          <w:color w:val="auto"/>
          <w:sz w:val="24"/>
          <w:highlight w:val="none"/>
        </w:rPr>
        <w:t>1、按照</w:t>
      </w:r>
      <w:r>
        <w:rPr>
          <w:rFonts w:hint="eastAsia" w:ascii="宋体" w:hAnsi="宋体"/>
          <w:color w:val="auto"/>
          <w:sz w:val="24"/>
          <w:highlight w:val="none"/>
          <w:lang w:val="en-US" w:eastAsia="zh-CN"/>
        </w:rPr>
        <w:t>甲方</w:t>
      </w:r>
      <w:r>
        <w:rPr>
          <w:rFonts w:hint="eastAsia" w:ascii="宋体" w:hAnsi="宋体"/>
          <w:color w:val="auto"/>
          <w:sz w:val="24"/>
          <w:highlight w:val="none"/>
        </w:rPr>
        <w:t>申报的建筑标准进行建设，园区的房屋建筑工程及市政基础工程符合申报的标准，并经过政府验收合格；</w:t>
      </w:r>
    </w:p>
    <w:p w14:paraId="74854FE5">
      <w:pPr>
        <w:keepNext w:val="0"/>
        <w:keepLines w:val="0"/>
        <w:pageBreakBefore w:val="0"/>
        <w:kinsoku/>
        <w:overflowPunct/>
        <w:topLinePunct w:val="0"/>
        <w:autoSpaceDE/>
        <w:autoSpaceDN/>
        <w:bidi w:val="0"/>
        <w:adjustRightInd/>
        <w:snapToGrid/>
        <w:spacing w:line="560" w:lineRule="exact"/>
        <w:ind w:firstLine="570"/>
        <w:textAlignment w:val="auto"/>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交付的物业须通过政府</w:t>
      </w:r>
      <w:r>
        <w:rPr>
          <w:rFonts w:hint="eastAsia" w:ascii="宋体" w:hAnsi="宋体"/>
          <w:color w:val="auto"/>
          <w:sz w:val="24"/>
          <w:highlight w:val="none"/>
        </w:rPr>
        <w:t>竣工验收，</w:t>
      </w:r>
      <w:r>
        <w:rPr>
          <w:rFonts w:hint="eastAsia" w:ascii="宋体" w:hAnsi="宋体"/>
          <w:color w:val="auto"/>
          <w:sz w:val="24"/>
          <w:highlight w:val="none"/>
          <w:lang w:val="en-US" w:eastAsia="zh-CN"/>
        </w:rPr>
        <w:t>物业所需</w:t>
      </w:r>
      <w:r>
        <w:rPr>
          <w:rFonts w:hint="eastAsia" w:ascii="宋体" w:hAnsi="宋体"/>
          <w:color w:val="auto"/>
          <w:sz w:val="24"/>
          <w:highlight w:val="none"/>
        </w:rPr>
        <w:t>配套设施设备</w:t>
      </w:r>
      <w:r>
        <w:rPr>
          <w:rFonts w:hint="eastAsia" w:ascii="宋体" w:hAnsi="宋体"/>
          <w:color w:val="auto"/>
          <w:sz w:val="24"/>
          <w:highlight w:val="none"/>
          <w:lang w:val="en-US" w:eastAsia="zh-CN"/>
        </w:rPr>
        <w:t>具备完好使用条件</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具体见附件A），如附件A内没有列明的设备设施则不属于甲方交付范围</w:t>
      </w:r>
      <w:r>
        <w:rPr>
          <w:rFonts w:hint="eastAsia" w:ascii="宋体" w:hAnsi="宋体"/>
          <w:color w:val="auto"/>
          <w:sz w:val="24"/>
          <w:highlight w:val="none"/>
        </w:rPr>
        <w:t>；</w:t>
      </w:r>
    </w:p>
    <w:p w14:paraId="3538A731">
      <w:pPr>
        <w:keepNext w:val="0"/>
        <w:keepLines w:val="0"/>
        <w:pageBreakBefore w:val="0"/>
        <w:kinsoku/>
        <w:overflowPunct/>
        <w:topLinePunct w:val="0"/>
        <w:autoSpaceDE/>
        <w:autoSpaceDN/>
        <w:bidi w:val="0"/>
        <w:adjustRightInd/>
        <w:snapToGrid/>
        <w:spacing w:line="560" w:lineRule="exact"/>
        <w:ind w:firstLine="570"/>
        <w:textAlignment w:val="auto"/>
        <w:rPr>
          <w:rFonts w:hint="eastAsia" w:ascii="宋体" w:hAnsi="宋体"/>
          <w:color w:val="auto"/>
          <w:sz w:val="24"/>
          <w:highlight w:val="none"/>
        </w:rPr>
      </w:pPr>
      <w:r>
        <w:rPr>
          <w:rFonts w:hint="eastAsia" w:ascii="宋体" w:hAnsi="宋体"/>
          <w:color w:val="auto"/>
          <w:sz w:val="24"/>
          <w:highlight w:val="none"/>
        </w:rPr>
        <w:t>3、甲方在交付该</w:t>
      </w:r>
      <w:r>
        <w:rPr>
          <w:rFonts w:hint="eastAsia" w:ascii="宋体" w:hAnsi="宋体"/>
          <w:color w:val="auto"/>
          <w:sz w:val="24"/>
          <w:highlight w:val="none"/>
          <w:lang w:val="en-US" w:eastAsia="zh-CN"/>
        </w:rPr>
        <w:t>物业</w:t>
      </w:r>
      <w:r>
        <w:rPr>
          <w:rFonts w:hint="eastAsia" w:ascii="宋体" w:hAnsi="宋体"/>
          <w:color w:val="auto"/>
          <w:sz w:val="24"/>
          <w:highlight w:val="none"/>
        </w:rPr>
        <w:t>的同时，应同时移交</w:t>
      </w:r>
      <w:r>
        <w:rPr>
          <w:rFonts w:hint="eastAsia" w:ascii="宋体" w:hAnsi="宋体"/>
          <w:color w:val="auto"/>
          <w:sz w:val="24"/>
          <w:highlight w:val="none"/>
          <w:lang w:val="en-US" w:eastAsia="zh-CN"/>
        </w:rPr>
        <w:t>附件2所列</w:t>
      </w:r>
      <w:r>
        <w:rPr>
          <w:rFonts w:hint="eastAsia" w:ascii="宋体" w:hAnsi="宋体"/>
          <w:color w:val="auto"/>
          <w:sz w:val="24"/>
          <w:highlight w:val="none"/>
        </w:rPr>
        <w:t>服务设施设备等，以及正常使用该</w:t>
      </w:r>
      <w:r>
        <w:rPr>
          <w:rFonts w:hint="eastAsia" w:ascii="宋体" w:hAnsi="宋体"/>
          <w:color w:val="auto"/>
          <w:sz w:val="24"/>
          <w:highlight w:val="none"/>
          <w:lang w:val="en-US" w:eastAsia="zh-CN"/>
        </w:rPr>
        <w:t>物业</w:t>
      </w:r>
      <w:r>
        <w:rPr>
          <w:rFonts w:hint="eastAsia" w:ascii="宋体" w:hAnsi="宋体"/>
          <w:color w:val="auto"/>
          <w:sz w:val="24"/>
          <w:highlight w:val="none"/>
        </w:rPr>
        <w:t>及附属设施、设备等所需的钥匙以便乙方能够使用该</w:t>
      </w:r>
      <w:r>
        <w:rPr>
          <w:rFonts w:hint="eastAsia" w:ascii="宋体" w:hAnsi="宋体"/>
          <w:color w:val="auto"/>
          <w:sz w:val="24"/>
          <w:highlight w:val="none"/>
          <w:lang w:val="en-US" w:eastAsia="zh-CN"/>
        </w:rPr>
        <w:t>物业</w:t>
      </w:r>
      <w:r>
        <w:rPr>
          <w:rFonts w:hint="eastAsia" w:ascii="宋体" w:hAnsi="宋体"/>
          <w:color w:val="auto"/>
          <w:sz w:val="24"/>
          <w:highlight w:val="none"/>
          <w:lang w:eastAsia="zh-CN"/>
        </w:rPr>
        <w:t>。</w:t>
      </w:r>
    </w:p>
    <w:p w14:paraId="2AD97448">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b/>
          <w:color w:val="auto"/>
          <w:sz w:val="24"/>
          <w:highlight w:val="none"/>
          <w:lang w:eastAsia="zh-CN"/>
        </w:rPr>
      </w:pPr>
      <w:r>
        <w:rPr>
          <w:rFonts w:hint="eastAsia" w:ascii="宋体" w:hAnsi="宋体"/>
          <w:b/>
          <w:color w:val="auto"/>
          <w:sz w:val="24"/>
          <w:highlight w:val="none"/>
          <w:lang w:eastAsia="zh-CN"/>
        </w:rPr>
        <w:t>、</w:t>
      </w:r>
    </w:p>
    <w:p w14:paraId="29CB6E51">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b/>
          <w:color w:val="auto"/>
          <w:sz w:val="24"/>
          <w:highlight w:val="none"/>
        </w:rPr>
      </w:pPr>
      <w:r>
        <w:rPr>
          <w:rFonts w:hint="eastAsia" w:ascii="宋体" w:hAnsi="宋体"/>
          <w:b/>
          <w:color w:val="auto"/>
          <w:sz w:val="24"/>
          <w:highlight w:val="none"/>
        </w:rPr>
        <w:t>第二部分：租赁方式、期限、交付、免租期</w:t>
      </w:r>
    </w:p>
    <w:p w14:paraId="1559DE70">
      <w:pPr>
        <w:keepNext w:val="0"/>
        <w:keepLines w:val="0"/>
        <w:pageBreakBefore w:val="0"/>
        <w:kinsoku/>
        <w:overflowPunct/>
        <w:topLinePunct w:val="0"/>
        <w:autoSpaceDE/>
        <w:autoSpaceDN/>
        <w:bidi w:val="0"/>
        <w:adjustRightInd/>
        <w:snapToGrid/>
        <w:spacing w:line="560" w:lineRule="exact"/>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rPr>
        <w:t xml:space="preserve">     第四条  本合同所指租赁方式为整体租赁。</w:t>
      </w:r>
    </w:p>
    <w:p w14:paraId="7063D388">
      <w:pPr>
        <w:keepNext w:val="0"/>
        <w:keepLines w:val="0"/>
        <w:pageBreakBefore w:val="0"/>
        <w:kinsoku/>
        <w:overflowPunct/>
        <w:topLinePunct w:val="0"/>
        <w:autoSpaceDE/>
        <w:autoSpaceDN/>
        <w:bidi w:val="0"/>
        <w:adjustRightInd/>
        <w:snapToGrid/>
        <w:spacing w:line="560" w:lineRule="exact"/>
        <w:ind w:firstLine="570"/>
        <w:textAlignment w:val="auto"/>
        <w:rPr>
          <w:rFonts w:hint="eastAsia" w:ascii="宋体" w:hAnsi="宋体" w:cs="宋体"/>
          <w:color w:val="auto"/>
          <w:sz w:val="24"/>
          <w:highlight w:val="none"/>
          <w:lang w:val="en-US" w:eastAsia="zh-CN"/>
        </w:rPr>
      </w:pPr>
      <w:r>
        <w:rPr>
          <w:rFonts w:hint="eastAsia" w:ascii="宋体" w:hAnsi="宋体"/>
          <w:color w:val="auto"/>
          <w:sz w:val="24"/>
          <w:highlight w:val="none"/>
        </w:rPr>
        <w:t xml:space="preserve">第五条  </w:t>
      </w:r>
      <w:r>
        <w:rPr>
          <w:rFonts w:hint="eastAsia" w:ascii="宋体" w:hAnsi="宋体"/>
          <w:color w:val="auto"/>
          <w:sz w:val="24"/>
          <w:highlight w:val="none"/>
          <w:lang w:val="en-US" w:eastAsia="zh-CN"/>
        </w:rPr>
        <w:t>本项目</w:t>
      </w:r>
      <w:r>
        <w:rPr>
          <w:rFonts w:hint="eastAsia" w:ascii="宋体" w:hAnsi="宋体"/>
          <w:color w:val="auto"/>
          <w:sz w:val="24"/>
          <w:highlight w:val="none"/>
        </w:rPr>
        <w:t>分三期建设交付，</w:t>
      </w:r>
      <w:r>
        <w:rPr>
          <w:rFonts w:hint="eastAsia" w:ascii="宋体" w:hAnsi="宋体"/>
          <w:color w:val="auto"/>
          <w:sz w:val="24"/>
          <w:highlight w:val="none"/>
          <w:lang w:val="en-US" w:eastAsia="zh-CN"/>
        </w:rPr>
        <w:t>各期的</w:t>
      </w:r>
      <w:r>
        <w:rPr>
          <w:rFonts w:hint="eastAsia" w:ascii="宋体" w:hAnsi="宋体"/>
          <w:color w:val="auto"/>
          <w:sz w:val="24"/>
          <w:highlight w:val="none"/>
        </w:rPr>
        <w:t>租赁期限（含免租期）均为</w:t>
      </w:r>
      <w:r>
        <w:rPr>
          <w:rFonts w:hint="eastAsia" w:ascii="宋体" w:hAnsi="宋体"/>
          <w:color w:val="auto"/>
          <w:sz w:val="24"/>
          <w:highlight w:val="none"/>
          <w:u w:val="single"/>
        </w:rPr>
        <w:t xml:space="preserve"> 20 </w:t>
      </w:r>
      <w:r>
        <w:rPr>
          <w:rFonts w:hint="eastAsia" w:ascii="宋体" w:hAnsi="宋体"/>
          <w:color w:val="auto"/>
          <w:sz w:val="24"/>
          <w:highlight w:val="none"/>
        </w:rPr>
        <w:t>年，</w:t>
      </w:r>
      <w:r>
        <w:rPr>
          <w:rFonts w:hint="eastAsia" w:ascii="宋体" w:hAnsi="宋体" w:cs="宋体"/>
          <w:color w:val="auto"/>
          <w:sz w:val="24"/>
          <w:highlight w:val="none"/>
        </w:rPr>
        <w:t>自甲方每一期完成竣工验收达到交付标准并交付乙方接管验收</w:t>
      </w:r>
      <w:r>
        <w:rPr>
          <w:rFonts w:hint="eastAsia" w:ascii="宋体" w:hAnsi="宋体" w:cs="宋体"/>
          <w:color w:val="auto"/>
          <w:sz w:val="24"/>
          <w:highlight w:val="none"/>
          <w:lang w:val="en-US" w:eastAsia="zh-CN"/>
        </w:rPr>
        <w:t>当日</w:t>
      </w:r>
      <w:r>
        <w:rPr>
          <w:rFonts w:hint="eastAsia" w:ascii="宋体" w:hAnsi="宋体" w:cs="宋体"/>
          <w:color w:val="auto"/>
          <w:sz w:val="24"/>
          <w:highlight w:val="none"/>
        </w:rPr>
        <w:t>开始计算该期租期</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每期租赁期限独立计算。</w:t>
      </w:r>
    </w:p>
    <w:p w14:paraId="2B8F35F6">
      <w:pPr>
        <w:keepNext w:val="0"/>
        <w:keepLines w:val="0"/>
        <w:pageBreakBefore w:val="0"/>
        <w:kinsoku/>
        <w:overflowPunct/>
        <w:topLinePunct w:val="0"/>
        <w:autoSpaceDE/>
        <w:autoSpaceDN/>
        <w:bidi w:val="0"/>
        <w:adjustRightInd/>
        <w:snapToGrid/>
        <w:spacing w:line="560" w:lineRule="exact"/>
        <w:ind w:firstLine="570"/>
        <w:textAlignment w:val="auto"/>
        <w:rPr>
          <w:rFonts w:hint="default" w:ascii="宋体" w:hAnsi="宋体"/>
          <w:color w:val="auto"/>
          <w:sz w:val="24"/>
          <w:highlight w:val="none"/>
          <w:lang w:val="en-US"/>
        </w:rPr>
      </w:pPr>
      <w:r>
        <w:rPr>
          <w:rFonts w:hint="eastAsia" w:ascii="宋体" w:hAnsi="宋体"/>
          <w:color w:val="auto"/>
          <w:sz w:val="24"/>
          <w:highlight w:val="none"/>
        </w:rPr>
        <w:t>第六条  甲方应将本合同所涉及的</w:t>
      </w:r>
      <w:r>
        <w:rPr>
          <w:rFonts w:hint="eastAsia" w:ascii="宋体" w:hAnsi="宋体"/>
          <w:color w:val="auto"/>
          <w:sz w:val="24"/>
          <w:highlight w:val="none"/>
          <w:lang w:val="en-US" w:eastAsia="zh-CN"/>
        </w:rPr>
        <w:t>园区按照本项目建设进度</w:t>
      </w:r>
      <w:r>
        <w:rPr>
          <w:rFonts w:hint="eastAsia" w:ascii="宋体" w:hAnsi="宋体"/>
          <w:color w:val="auto"/>
          <w:sz w:val="24"/>
          <w:highlight w:val="none"/>
        </w:rPr>
        <w:t>分三期交付，每期一次性整体交付，移交厂房、宿舍（含首层商铺）及配套设施、食堂、场地，及相关文件、资料</w:t>
      </w:r>
      <w:r>
        <w:rPr>
          <w:rFonts w:hint="eastAsia" w:ascii="宋体" w:hAnsi="宋体"/>
          <w:color w:val="auto"/>
          <w:sz w:val="24"/>
          <w:highlight w:val="none"/>
          <w:lang w:val="en-US" w:eastAsia="zh-CN"/>
        </w:rPr>
        <w:t>复印件</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每一期具体移交物业以届时综合验收通过的现状为准，乙方同意按交付现状接收，乙方对此无异议）</w:t>
      </w:r>
      <w:r>
        <w:rPr>
          <w:rFonts w:hint="eastAsia" w:ascii="宋体" w:hAnsi="宋体"/>
          <w:color w:val="auto"/>
          <w:sz w:val="24"/>
          <w:highlight w:val="none"/>
        </w:rPr>
        <w:t>。</w:t>
      </w:r>
      <w:r>
        <w:rPr>
          <w:rFonts w:hint="eastAsia" w:ascii="宋体" w:hAnsi="宋体"/>
          <w:color w:val="auto"/>
          <w:sz w:val="24"/>
          <w:highlight w:val="none"/>
          <w:lang w:val="en-US" w:eastAsia="zh-CN"/>
        </w:rPr>
        <w:t>移交给政府的道路、</w:t>
      </w:r>
      <w:r>
        <w:rPr>
          <w:rFonts w:hint="eastAsia" w:ascii="宋体" w:hAnsi="宋体" w:eastAsia="宋体" w:cs="Times New Roman"/>
          <w:bCs/>
          <w:color w:val="auto"/>
          <w:sz w:val="24"/>
          <w:szCs w:val="24"/>
          <w:highlight w:val="none"/>
          <w:u w:val="none"/>
          <w:lang w:val="en-US" w:eastAsia="zh-CN"/>
        </w:rPr>
        <w:t>社区卫生服务中心</w:t>
      </w:r>
      <w:r>
        <w:rPr>
          <w:rFonts w:hint="eastAsia" w:ascii="宋体" w:hAnsi="宋体" w:cs="Times New Roman"/>
          <w:bCs/>
          <w:color w:val="auto"/>
          <w:sz w:val="24"/>
          <w:szCs w:val="24"/>
          <w:highlight w:val="none"/>
          <w:u w:val="none"/>
          <w:lang w:val="en-US" w:eastAsia="zh-CN"/>
        </w:rPr>
        <w:t>以及社区警务室、市政公用设施（公交首末站、5G基站）不属于本合同租赁范围。</w:t>
      </w:r>
    </w:p>
    <w:p w14:paraId="51A6C03F">
      <w:pPr>
        <w:keepNext w:val="0"/>
        <w:keepLines w:val="0"/>
        <w:pageBreakBefore w:val="0"/>
        <w:kinsoku/>
        <w:overflowPunct/>
        <w:topLinePunct w:val="0"/>
        <w:autoSpaceDE/>
        <w:autoSpaceDN/>
        <w:bidi w:val="0"/>
        <w:adjustRightInd/>
        <w:snapToGrid/>
        <w:spacing w:line="560" w:lineRule="exact"/>
        <w:ind w:firstLine="570"/>
        <w:textAlignment w:val="auto"/>
        <w:rPr>
          <w:rFonts w:hint="eastAsia" w:ascii="宋体" w:hAnsi="宋体"/>
          <w:color w:val="auto"/>
          <w:sz w:val="24"/>
          <w:highlight w:val="none"/>
        </w:rPr>
      </w:pPr>
      <w:r>
        <w:rPr>
          <w:rFonts w:hint="eastAsia" w:ascii="宋体" w:hAnsi="宋体"/>
          <w:color w:val="auto"/>
          <w:sz w:val="24"/>
          <w:highlight w:val="none"/>
        </w:rPr>
        <w:t xml:space="preserve">第七条  </w:t>
      </w:r>
      <w:r>
        <w:rPr>
          <w:rFonts w:hint="eastAsia" w:ascii="宋体" w:hAnsi="宋体"/>
          <w:color w:val="auto"/>
          <w:sz w:val="24"/>
          <w:highlight w:val="none"/>
          <w:lang w:val="en-US" w:eastAsia="zh-CN"/>
        </w:rPr>
        <w:t>在租赁期限内，</w:t>
      </w:r>
      <w:r>
        <w:rPr>
          <w:rFonts w:hint="eastAsia" w:ascii="宋体" w:hAnsi="宋体"/>
          <w:color w:val="auto"/>
          <w:sz w:val="24"/>
          <w:highlight w:val="none"/>
        </w:rPr>
        <w:t>乙方</w:t>
      </w:r>
      <w:r>
        <w:rPr>
          <w:rFonts w:hint="eastAsia" w:ascii="宋体" w:hAnsi="宋体"/>
          <w:color w:val="auto"/>
          <w:sz w:val="24"/>
          <w:highlight w:val="none"/>
          <w:lang w:val="en-US" w:eastAsia="zh-CN"/>
        </w:rPr>
        <w:t>拥有园区</w:t>
      </w:r>
      <w:r>
        <w:rPr>
          <w:rFonts w:hint="eastAsia" w:ascii="宋体" w:hAnsi="宋体"/>
          <w:color w:val="auto"/>
          <w:sz w:val="24"/>
          <w:highlight w:val="none"/>
        </w:rPr>
        <w:t>的物业管理权、经营权、使用权。</w:t>
      </w:r>
    </w:p>
    <w:p w14:paraId="40E46392">
      <w:pPr>
        <w:keepNext w:val="0"/>
        <w:keepLines w:val="0"/>
        <w:pageBreakBefore w:val="0"/>
        <w:kinsoku/>
        <w:overflowPunct/>
        <w:topLinePunct w:val="0"/>
        <w:autoSpaceDE/>
        <w:autoSpaceDN/>
        <w:bidi w:val="0"/>
        <w:adjustRightInd/>
        <w:snapToGrid/>
        <w:spacing w:line="560" w:lineRule="exact"/>
        <w:ind w:firstLine="570"/>
        <w:textAlignment w:val="auto"/>
        <w:rPr>
          <w:rFonts w:hint="eastAsia" w:ascii="宋体" w:hAnsi="宋体"/>
          <w:color w:val="auto"/>
          <w:sz w:val="24"/>
          <w:highlight w:val="none"/>
        </w:rPr>
      </w:pPr>
      <w:r>
        <w:rPr>
          <w:rFonts w:hint="eastAsia" w:ascii="宋体" w:hAnsi="宋体"/>
          <w:color w:val="auto"/>
          <w:sz w:val="24"/>
          <w:highlight w:val="none"/>
        </w:rPr>
        <w:t>第八条  甲方交付</w:t>
      </w:r>
      <w:r>
        <w:rPr>
          <w:rFonts w:hint="eastAsia" w:ascii="宋体" w:hAnsi="宋体"/>
          <w:color w:val="auto"/>
          <w:sz w:val="24"/>
          <w:highlight w:val="none"/>
          <w:lang w:val="en-US" w:eastAsia="zh-CN"/>
        </w:rPr>
        <w:t>的</w:t>
      </w:r>
      <w:r>
        <w:rPr>
          <w:rFonts w:hint="eastAsia" w:ascii="宋体" w:hAnsi="宋体"/>
          <w:color w:val="auto"/>
          <w:sz w:val="24"/>
          <w:highlight w:val="none"/>
        </w:rPr>
        <w:t>厂房、宿舍（含首层商铺）</w:t>
      </w:r>
      <w:r>
        <w:rPr>
          <w:rFonts w:hint="eastAsia" w:ascii="宋体" w:hAnsi="宋体"/>
          <w:color w:val="auto"/>
          <w:sz w:val="24"/>
          <w:highlight w:val="none"/>
          <w:lang w:val="en-US" w:eastAsia="zh-CN"/>
        </w:rPr>
        <w:t>等物业</w:t>
      </w:r>
      <w:r>
        <w:rPr>
          <w:rFonts w:hint="eastAsia" w:ascii="宋体" w:hAnsi="宋体"/>
          <w:color w:val="auto"/>
          <w:sz w:val="24"/>
          <w:highlight w:val="none"/>
        </w:rPr>
        <w:t>应符合法律规定，达到政府主管部门竣工验收标准。乙方在接收时，应对相关的供水、消防等</w:t>
      </w:r>
      <w:r>
        <w:rPr>
          <w:rFonts w:hint="eastAsia" w:ascii="宋体" w:hAnsi="宋体"/>
          <w:color w:val="auto"/>
          <w:sz w:val="24"/>
          <w:highlight w:val="none"/>
          <w:lang w:val="en-US" w:eastAsia="zh-CN"/>
        </w:rPr>
        <w:t>设备设施</w:t>
      </w:r>
      <w:r>
        <w:rPr>
          <w:rFonts w:hint="eastAsia" w:ascii="宋体" w:hAnsi="宋体"/>
          <w:color w:val="auto"/>
          <w:sz w:val="24"/>
          <w:highlight w:val="none"/>
        </w:rPr>
        <w:t>进行验收，确保处于正常使用状态。</w:t>
      </w:r>
    </w:p>
    <w:p w14:paraId="16C2DE3D">
      <w:pPr>
        <w:keepNext w:val="0"/>
        <w:keepLines w:val="0"/>
        <w:pageBreakBefore w:val="0"/>
        <w:kinsoku/>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 xml:space="preserve">第九条 </w:t>
      </w:r>
      <w:r>
        <w:rPr>
          <w:rFonts w:hint="eastAsia" w:ascii="宋体" w:hAnsi="宋体"/>
          <w:color w:val="auto"/>
          <w:sz w:val="24"/>
          <w:highlight w:val="none"/>
        </w:rPr>
        <w:t>交付</w:t>
      </w:r>
      <w:r>
        <w:rPr>
          <w:rFonts w:hint="eastAsia" w:ascii="宋体" w:hAnsi="宋体"/>
          <w:color w:val="auto"/>
          <w:sz w:val="24"/>
          <w:highlight w:val="none"/>
          <w:lang w:val="en-US" w:eastAsia="zh-CN"/>
        </w:rPr>
        <w:t>物业</w:t>
      </w:r>
      <w:r>
        <w:rPr>
          <w:rFonts w:hint="eastAsia" w:ascii="宋体" w:hAnsi="宋体"/>
          <w:color w:val="auto"/>
          <w:sz w:val="24"/>
          <w:highlight w:val="none"/>
        </w:rPr>
        <w:t>时</w:t>
      </w:r>
      <w:r>
        <w:rPr>
          <w:rFonts w:hint="eastAsia" w:ascii="宋体" w:hAnsi="宋体"/>
          <w:color w:val="auto"/>
          <w:sz w:val="24"/>
          <w:highlight w:val="none"/>
          <w:lang w:eastAsia="zh-CN"/>
        </w:rPr>
        <w:t>，</w:t>
      </w:r>
      <w:r>
        <w:rPr>
          <w:rFonts w:hint="eastAsia" w:ascii="宋体" w:hAnsi="宋体"/>
          <w:color w:val="auto"/>
          <w:sz w:val="24"/>
          <w:highlight w:val="none"/>
        </w:rPr>
        <w:t>双方应派代表到现场检查、验收，办理移交手续，签署交付确认</w:t>
      </w:r>
      <w:r>
        <w:rPr>
          <w:rFonts w:hint="eastAsia" w:ascii="宋体" w:hAnsi="宋体"/>
          <w:color w:val="auto"/>
          <w:sz w:val="24"/>
          <w:highlight w:val="none"/>
          <w:lang w:val="en-US" w:eastAsia="zh-CN"/>
        </w:rPr>
        <w:t>书。</w:t>
      </w:r>
    </w:p>
    <w:p w14:paraId="563744C4">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 xml:space="preserve">第十条 </w:t>
      </w:r>
      <w:r>
        <w:rPr>
          <w:rFonts w:hint="eastAsia" w:ascii="宋体" w:hAnsi="宋体"/>
          <w:color w:val="auto"/>
          <w:sz w:val="24"/>
          <w:highlight w:val="none"/>
        </w:rPr>
        <w:t>甲方应将相关物业</w:t>
      </w:r>
      <w:r>
        <w:rPr>
          <w:rFonts w:hint="eastAsia" w:ascii="宋体" w:hAnsi="宋体"/>
          <w:color w:val="auto"/>
          <w:sz w:val="24"/>
          <w:highlight w:val="none"/>
          <w:lang w:eastAsia="zh-CN"/>
        </w:rPr>
        <w:t>（</w:t>
      </w:r>
      <w:r>
        <w:rPr>
          <w:rFonts w:hint="eastAsia" w:ascii="宋体" w:hAnsi="宋体"/>
          <w:color w:val="auto"/>
          <w:sz w:val="24"/>
          <w:highlight w:val="none"/>
        </w:rPr>
        <w:t>包括土地、地上建筑物及供水、供电、排水、排污、物业管理用房、配电房、消防水池等各种配套设施）的产权证明文件、竣工验收合格证明、以及图纸等全套资料的复印件及电子资料提供给乙方，乙方需要原件时，可向甲方借用，甲方应予以配合支持。上述证明文件及资料，甲方最迟在每期交付乙方</w:t>
      </w:r>
      <w:r>
        <w:rPr>
          <w:rFonts w:hint="eastAsia" w:ascii="宋体" w:hAnsi="宋体"/>
          <w:color w:val="auto"/>
          <w:sz w:val="24"/>
          <w:highlight w:val="none"/>
          <w:lang w:val="en-US" w:eastAsia="zh-CN"/>
        </w:rPr>
        <w:t>物业</w:t>
      </w:r>
      <w:r>
        <w:rPr>
          <w:rFonts w:hint="eastAsia" w:ascii="宋体" w:hAnsi="宋体"/>
          <w:color w:val="auto"/>
          <w:sz w:val="24"/>
          <w:highlight w:val="none"/>
        </w:rPr>
        <w:t>后的</w:t>
      </w:r>
      <w:r>
        <w:rPr>
          <w:rFonts w:hint="eastAsia" w:ascii="宋体" w:hAnsi="宋体"/>
          <w:color w:val="auto"/>
          <w:sz w:val="24"/>
          <w:highlight w:val="none"/>
          <w:u w:val="single"/>
        </w:rPr>
        <w:t>三个月内</w:t>
      </w:r>
      <w:r>
        <w:rPr>
          <w:rFonts w:hint="eastAsia" w:ascii="宋体" w:hAnsi="宋体"/>
          <w:color w:val="auto"/>
          <w:sz w:val="24"/>
          <w:highlight w:val="none"/>
        </w:rPr>
        <w:t>向乙方交付完毕</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如相关证明文件尚未办妥，则甲方有权顺延至办妥后提供相应复印件给乙方</w:t>
      </w:r>
      <w:r>
        <w:rPr>
          <w:rFonts w:hint="eastAsia" w:ascii="宋体" w:hAnsi="宋体"/>
          <w:color w:val="auto"/>
          <w:sz w:val="24"/>
          <w:highlight w:val="none"/>
        </w:rPr>
        <w:t>。</w:t>
      </w:r>
    </w:p>
    <w:p w14:paraId="26741697">
      <w:pPr>
        <w:keepNext w:val="0"/>
        <w:keepLines w:val="0"/>
        <w:pageBreakBefore w:val="0"/>
        <w:kinsoku/>
        <w:overflowPunct/>
        <w:topLinePunct w:val="0"/>
        <w:autoSpaceDE/>
        <w:autoSpaceDN/>
        <w:bidi w:val="0"/>
        <w:adjustRightInd/>
        <w:snapToGrid/>
        <w:spacing w:line="560" w:lineRule="exact"/>
        <w:ind w:firstLine="570"/>
        <w:textAlignment w:val="auto"/>
        <w:rPr>
          <w:rFonts w:hint="eastAsia" w:ascii="宋体" w:hAnsi="宋体"/>
          <w:color w:val="auto"/>
          <w:sz w:val="24"/>
          <w:highlight w:val="none"/>
        </w:rPr>
      </w:pPr>
      <w:r>
        <w:rPr>
          <w:rFonts w:hint="eastAsia" w:ascii="宋体" w:hAnsi="宋体"/>
          <w:color w:val="auto"/>
          <w:sz w:val="24"/>
          <w:highlight w:val="none"/>
          <w:lang w:val="en-US" w:eastAsia="zh-CN"/>
        </w:rPr>
        <w:t xml:space="preserve">第十一条 </w:t>
      </w:r>
      <w:r>
        <w:rPr>
          <w:rFonts w:hint="eastAsia" w:ascii="宋体" w:hAnsi="宋体"/>
          <w:color w:val="auto"/>
          <w:sz w:val="24"/>
          <w:highlight w:val="none"/>
          <w:lang w:bidi="ar"/>
        </w:rPr>
        <w:t>甲方交付的</w:t>
      </w:r>
      <w:r>
        <w:rPr>
          <w:rFonts w:hint="eastAsia" w:ascii="宋体" w:hAnsi="宋体"/>
          <w:color w:val="auto"/>
          <w:sz w:val="24"/>
          <w:highlight w:val="none"/>
          <w:lang w:val="en-US" w:eastAsia="zh-CN" w:bidi="ar"/>
        </w:rPr>
        <w:t>物业</w:t>
      </w:r>
      <w:r>
        <w:rPr>
          <w:rFonts w:hint="eastAsia" w:ascii="宋体" w:hAnsi="宋体"/>
          <w:color w:val="auto"/>
          <w:sz w:val="24"/>
          <w:highlight w:val="none"/>
          <w:lang w:bidi="ar"/>
        </w:rPr>
        <w:t>及</w:t>
      </w:r>
      <w:r>
        <w:rPr>
          <w:rFonts w:hint="eastAsia" w:ascii="宋体" w:hAnsi="宋体"/>
          <w:color w:val="auto"/>
          <w:sz w:val="24"/>
          <w:highlight w:val="none"/>
          <w:lang w:val="en-US" w:eastAsia="zh-CN" w:bidi="ar"/>
        </w:rPr>
        <w:t>园区内的</w:t>
      </w:r>
      <w:r>
        <w:rPr>
          <w:rFonts w:hint="default" w:ascii="宋体" w:hAnsi="宋体"/>
          <w:color w:val="auto"/>
          <w:sz w:val="24"/>
          <w:highlight w:val="none"/>
          <w:lang w:val="en-US" w:bidi="ar"/>
        </w:rPr>
        <w:t>道路</w:t>
      </w:r>
      <w:r>
        <w:rPr>
          <w:rFonts w:hint="eastAsia" w:ascii="宋体" w:hAnsi="宋体"/>
          <w:color w:val="auto"/>
          <w:sz w:val="24"/>
          <w:highlight w:val="none"/>
          <w:lang w:bidi="ar"/>
        </w:rPr>
        <w:t>、</w:t>
      </w:r>
      <w:r>
        <w:rPr>
          <w:rFonts w:hint="eastAsia" w:ascii="宋体" w:hAnsi="宋体"/>
          <w:color w:val="auto"/>
          <w:sz w:val="24"/>
          <w:highlight w:val="none"/>
          <w:lang w:val="en-US" w:eastAsia="zh-CN" w:bidi="ar"/>
        </w:rPr>
        <w:t>设备</w:t>
      </w:r>
      <w:r>
        <w:rPr>
          <w:rFonts w:hint="eastAsia" w:ascii="宋体" w:hAnsi="宋体"/>
          <w:color w:val="auto"/>
          <w:sz w:val="24"/>
          <w:highlight w:val="none"/>
          <w:lang w:bidi="ar"/>
        </w:rPr>
        <w:t>设施因质量问题造成损坏的，按以下方式处理：</w:t>
      </w:r>
    </w:p>
    <w:p w14:paraId="2B65D90C">
      <w:pPr>
        <w:keepNext w:val="0"/>
        <w:keepLines w:val="0"/>
        <w:pageBreakBefore w:val="0"/>
        <w:widowControl/>
        <w:numPr>
          <w:ilvl w:val="255"/>
          <w:numId w:val="0"/>
        </w:numPr>
        <w:kinsoku/>
        <w:overflowPunct/>
        <w:topLinePunct w:val="0"/>
        <w:autoSpaceDE/>
        <w:autoSpaceDN/>
        <w:bidi w:val="0"/>
        <w:adjustRightInd/>
        <w:snapToGrid/>
        <w:spacing w:line="560" w:lineRule="exact"/>
        <w:ind w:firstLine="570"/>
        <w:jc w:val="left"/>
        <w:textAlignment w:val="auto"/>
        <w:rPr>
          <w:rFonts w:hint="eastAsia" w:ascii="宋体" w:hAnsi="宋体"/>
          <w:color w:val="auto"/>
          <w:sz w:val="24"/>
          <w:highlight w:val="none"/>
          <w:lang w:bidi="ar"/>
        </w:rPr>
      </w:pPr>
      <w:r>
        <w:rPr>
          <w:rFonts w:hint="eastAsia" w:ascii="宋体" w:hAnsi="宋体"/>
          <w:color w:val="auto"/>
          <w:sz w:val="24"/>
          <w:highlight w:val="none"/>
          <w:lang w:val="en-US" w:eastAsia="zh-CN" w:bidi="ar"/>
        </w:rPr>
        <w:t>1.</w:t>
      </w:r>
      <w:r>
        <w:rPr>
          <w:rFonts w:hint="default" w:ascii="宋体" w:hAnsi="宋体"/>
          <w:color w:val="auto"/>
          <w:sz w:val="24"/>
          <w:highlight w:val="none"/>
          <w:lang w:val="en-US" w:eastAsia="zh-CN" w:bidi="ar"/>
        </w:rPr>
        <w:t xml:space="preserve"> </w:t>
      </w:r>
      <w:r>
        <w:rPr>
          <w:rFonts w:hint="eastAsia" w:ascii="宋体" w:hAnsi="宋体"/>
          <w:color w:val="auto"/>
          <w:sz w:val="24"/>
          <w:highlight w:val="none"/>
          <w:lang w:bidi="ar"/>
        </w:rPr>
        <w:t>质保期内责任：在施工总承包合同约定的质量保修期限内（自该</w:t>
      </w:r>
      <w:r>
        <w:rPr>
          <w:rFonts w:hint="eastAsia" w:ascii="宋体" w:hAnsi="宋体"/>
          <w:color w:val="auto"/>
          <w:sz w:val="24"/>
          <w:highlight w:val="none"/>
          <w:lang w:val="en-US" w:eastAsia="zh-CN" w:bidi="ar"/>
        </w:rPr>
        <w:t>物业</w:t>
      </w:r>
      <w:r>
        <w:rPr>
          <w:rFonts w:hint="eastAsia" w:ascii="宋体" w:hAnsi="宋体"/>
          <w:color w:val="auto"/>
          <w:sz w:val="24"/>
          <w:highlight w:val="none"/>
          <w:lang w:bidi="ar"/>
        </w:rPr>
        <w:t>竣工验收合格之日起计算，具体以施工总承包合同为准），因施工质量缺陷导致的损坏，由</w:t>
      </w:r>
      <w:r>
        <w:rPr>
          <w:rFonts w:hint="eastAsia" w:ascii="宋体" w:hAnsi="宋体"/>
          <w:color w:val="auto"/>
          <w:sz w:val="24"/>
          <w:highlight w:val="none"/>
          <w:lang w:val="en-US" w:eastAsia="zh-CN" w:bidi="ar"/>
        </w:rPr>
        <w:t>物业施工方</w:t>
      </w:r>
      <w:r>
        <w:rPr>
          <w:rFonts w:hint="eastAsia" w:ascii="宋体" w:hAnsi="宋体"/>
          <w:color w:val="auto"/>
          <w:sz w:val="24"/>
          <w:highlight w:val="none"/>
          <w:lang w:bidi="ar"/>
        </w:rPr>
        <w:t>负责按质保条款无偿修缮</w:t>
      </w:r>
      <w:r>
        <w:rPr>
          <w:rFonts w:hint="eastAsia" w:ascii="宋体" w:hAnsi="宋体"/>
          <w:color w:val="auto"/>
          <w:sz w:val="24"/>
          <w:highlight w:val="none"/>
          <w:lang w:eastAsia="zh-CN" w:bidi="ar"/>
        </w:rPr>
        <w:t>，</w:t>
      </w:r>
      <w:r>
        <w:rPr>
          <w:rFonts w:hint="eastAsia" w:ascii="宋体" w:hAnsi="宋体"/>
          <w:color w:val="auto"/>
          <w:sz w:val="24"/>
          <w:highlight w:val="none"/>
          <w:lang w:val="en-US" w:eastAsia="zh-CN" w:bidi="ar"/>
        </w:rPr>
        <w:t>甲方同意配合乙方向物业施工方主张权利</w:t>
      </w:r>
      <w:r>
        <w:rPr>
          <w:rFonts w:hint="eastAsia" w:ascii="宋体" w:hAnsi="宋体"/>
          <w:color w:val="auto"/>
          <w:sz w:val="24"/>
          <w:highlight w:val="none"/>
          <w:lang w:bidi="ar"/>
        </w:rPr>
        <w:t>；</w:t>
      </w:r>
    </w:p>
    <w:p w14:paraId="2AA2A548">
      <w:pPr>
        <w:keepNext w:val="0"/>
        <w:keepLines w:val="0"/>
        <w:pageBreakBefore w:val="0"/>
        <w:widowControl/>
        <w:kinsoku/>
        <w:overflowPunct/>
        <w:topLinePunct w:val="0"/>
        <w:autoSpaceDE/>
        <w:autoSpaceDN/>
        <w:bidi w:val="0"/>
        <w:adjustRightInd/>
        <w:snapToGrid/>
        <w:spacing w:line="560" w:lineRule="exact"/>
        <w:ind w:firstLine="57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bidi="ar"/>
        </w:rPr>
        <w:t>2.</w:t>
      </w:r>
      <w:r>
        <w:rPr>
          <w:rFonts w:hint="default" w:ascii="宋体" w:hAnsi="宋体"/>
          <w:color w:val="auto"/>
          <w:sz w:val="24"/>
          <w:highlight w:val="none"/>
          <w:lang w:val="en-US" w:eastAsia="zh-CN" w:bidi="ar"/>
        </w:rPr>
        <w:t xml:space="preserve"> </w:t>
      </w:r>
      <w:r>
        <w:rPr>
          <w:rFonts w:hint="eastAsia" w:ascii="宋体" w:hAnsi="宋体"/>
          <w:color w:val="auto"/>
          <w:sz w:val="24"/>
          <w:highlight w:val="none"/>
          <w:lang w:bidi="ar"/>
        </w:rPr>
        <w:t>质保期外责任：若因乙方或实际使用人使用不当、自然损耗导致的损坏，</w:t>
      </w:r>
      <w:r>
        <w:rPr>
          <w:rFonts w:hint="eastAsia" w:ascii="宋体" w:hAnsi="宋体" w:cs="Times New Roman"/>
          <w:color w:val="auto"/>
          <w:kern w:val="2"/>
          <w:sz w:val="24"/>
          <w:szCs w:val="24"/>
          <w:highlight w:val="none"/>
          <w:lang w:val="en-US" w:eastAsia="zh-CN" w:bidi="ar"/>
        </w:rPr>
        <w:t>以及园区内物业以及其他配套设备设施等日常维护与保养</w:t>
      </w:r>
      <w:r>
        <w:rPr>
          <w:rFonts w:hint="eastAsia" w:ascii="宋体" w:hAnsi="宋体"/>
          <w:color w:val="auto"/>
          <w:sz w:val="24"/>
          <w:highlight w:val="none"/>
          <w:lang w:bidi="ar"/>
        </w:rPr>
        <w:t>由乙方负责维修并承担费用</w:t>
      </w:r>
      <w:r>
        <w:rPr>
          <w:rFonts w:hint="eastAsia" w:ascii="宋体" w:hAnsi="宋体"/>
          <w:color w:val="auto"/>
          <w:sz w:val="24"/>
          <w:highlight w:val="none"/>
          <w:lang w:eastAsia="zh-CN" w:bidi="ar"/>
        </w:rPr>
        <w:t>（</w:t>
      </w:r>
      <w:r>
        <w:rPr>
          <w:rFonts w:hint="eastAsia" w:ascii="宋体" w:hAnsi="宋体"/>
          <w:color w:val="auto"/>
          <w:sz w:val="24"/>
          <w:highlight w:val="none"/>
          <w:lang w:val="en-US" w:eastAsia="zh-CN" w:bidi="ar"/>
        </w:rPr>
        <w:t>包括消防维护）</w:t>
      </w:r>
      <w:r>
        <w:rPr>
          <w:rFonts w:hint="eastAsia" w:ascii="宋体" w:hAnsi="宋体"/>
          <w:color w:val="auto"/>
          <w:sz w:val="24"/>
          <w:highlight w:val="none"/>
          <w:lang w:bidi="ar"/>
        </w:rPr>
        <w:t>。</w:t>
      </w:r>
    </w:p>
    <w:p w14:paraId="6739EA9B">
      <w:pPr>
        <w:keepNext w:val="0"/>
        <w:keepLines w:val="0"/>
        <w:pageBreakBefore w:val="0"/>
        <w:kinsoku/>
        <w:overflowPunct/>
        <w:topLinePunct w:val="0"/>
        <w:autoSpaceDE/>
        <w:autoSpaceDN/>
        <w:bidi w:val="0"/>
        <w:adjustRightInd/>
        <w:snapToGrid/>
        <w:spacing w:line="560" w:lineRule="exact"/>
        <w:ind w:firstLine="570"/>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rPr>
        <w:t>第</w:t>
      </w:r>
      <w:r>
        <w:rPr>
          <w:rFonts w:hint="eastAsia" w:ascii="宋体" w:hAnsi="宋体"/>
          <w:color w:val="auto"/>
          <w:sz w:val="24"/>
          <w:highlight w:val="none"/>
          <w:lang w:val="en-US" w:eastAsia="zh-CN"/>
        </w:rPr>
        <w:t>十二</w:t>
      </w:r>
      <w:r>
        <w:rPr>
          <w:rFonts w:hint="eastAsia" w:ascii="宋体" w:hAnsi="宋体"/>
          <w:color w:val="auto"/>
          <w:sz w:val="24"/>
          <w:highlight w:val="none"/>
        </w:rPr>
        <w:t xml:space="preserve">条  </w:t>
      </w:r>
      <w:r>
        <w:rPr>
          <w:rFonts w:hint="eastAsia" w:ascii="宋体" w:hAnsi="宋体"/>
          <w:color w:val="auto"/>
          <w:sz w:val="24"/>
          <w:highlight w:val="none"/>
          <w:lang w:val="en-US" w:eastAsia="zh-CN"/>
        </w:rPr>
        <w:t>乙方对本项目各期均享有12个月免租期，如无特别约定，免租期内乙方无需支付租金、管理费。免租期按照以下方式执行：1）从</w:t>
      </w:r>
      <w:r>
        <w:rPr>
          <w:rFonts w:hint="eastAsia" w:ascii="宋体" w:hAnsi="宋体"/>
          <w:color w:val="auto"/>
          <w:sz w:val="24"/>
          <w:highlight w:val="none"/>
        </w:rPr>
        <w:t>甲方交付物业</w:t>
      </w:r>
      <w:r>
        <w:rPr>
          <w:rFonts w:hint="eastAsia" w:ascii="宋体" w:hAnsi="宋体"/>
          <w:color w:val="auto"/>
          <w:sz w:val="24"/>
          <w:highlight w:val="none"/>
          <w:lang w:val="en-US" w:eastAsia="zh-CN"/>
        </w:rPr>
        <w:t>给</w:t>
      </w:r>
      <w:r>
        <w:rPr>
          <w:rFonts w:hint="eastAsia" w:ascii="宋体" w:hAnsi="宋体"/>
          <w:color w:val="auto"/>
          <w:sz w:val="24"/>
          <w:highlight w:val="none"/>
        </w:rPr>
        <w:t>乙方使用</w:t>
      </w:r>
      <w:r>
        <w:rPr>
          <w:rFonts w:hint="eastAsia" w:ascii="宋体" w:hAnsi="宋体"/>
          <w:color w:val="auto"/>
          <w:sz w:val="24"/>
          <w:highlight w:val="none"/>
          <w:lang w:val="en-US" w:eastAsia="zh-CN"/>
        </w:rPr>
        <w:t>之日起，享有6个月免租期；2）剩余6个月免租期原则上从第15年开始每年第1个月给予免租期，如此类推，直至乙方剩余6个月免租期享有完毕。如甲方提前给予乙方剩余6个月免租期待遇（可每年逐月执行），则乙方同意按照第一年的租金标准享受免租期待遇，乙方须在享受免租期的当月补足租金差额给甲方（计算方式：租金差额=甲方提前安排乙方享受免租期的当月租金-首年月租金）</w:t>
      </w:r>
      <w:r>
        <w:rPr>
          <w:rFonts w:hint="eastAsia" w:ascii="宋体" w:hAnsi="宋体"/>
          <w:color w:val="auto"/>
          <w:sz w:val="24"/>
          <w:highlight w:val="none"/>
        </w:rPr>
        <w:t>。</w:t>
      </w:r>
    </w:p>
    <w:p w14:paraId="71BB7E4C">
      <w:pPr>
        <w:keepNext w:val="0"/>
        <w:keepLines w:val="0"/>
        <w:pageBreakBefore w:val="0"/>
        <w:kinsoku/>
        <w:overflowPunct/>
        <w:topLinePunct w:val="0"/>
        <w:autoSpaceDE/>
        <w:autoSpaceDN/>
        <w:bidi w:val="0"/>
        <w:adjustRightInd/>
        <w:snapToGrid/>
        <w:spacing w:line="560" w:lineRule="exact"/>
        <w:jc w:val="both"/>
        <w:textAlignment w:val="auto"/>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 xml:space="preserve">     </w:t>
      </w:r>
    </w:p>
    <w:p w14:paraId="5C070DCD">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b/>
          <w:color w:val="auto"/>
          <w:sz w:val="24"/>
          <w:highlight w:val="none"/>
        </w:rPr>
      </w:pPr>
      <w:r>
        <w:rPr>
          <w:rFonts w:hint="eastAsia" w:ascii="宋体" w:hAnsi="宋体"/>
          <w:b/>
          <w:color w:val="auto"/>
          <w:sz w:val="24"/>
          <w:highlight w:val="none"/>
        </w:rPr>
        <w:t>第三部分：租金、押金、税费及其支付</w:t>
      </w:r>
    </w:p>
    <w:p w14:paraId="5E0CA6AA">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cs="宋体"/>
          <w:bCs/>
          <w:color w:val="auto"/>
          <w:sz w:val="24"/>
          <w:highlight w:val="none"/>
        </w:rPr>
      </w:pPr>
      <w:r>
        <w:rPr>
          <w:rFonts w:hint="eastAsia" w:ascii="宋体" w:hAnsi="宋体"/>
          <w:color w:val="auto"/>
          <w:sz w:val="24"/>
          <w:highlight w:val="none"/>
          <w:lang w:val="en-US" w:eastAsia="zh-CN"/>
        </w:rPr>
        <w:t>第十三条  甲方有权向乙方收取产业园各期对应的租金、管理费，作为乙方使用物业的对价，乙方应当遵守先交租后使用的原则，租金按月收取。各期的租金标准为首年租金为</w:t>
      </w:r>
      <w:r>
        <w:rPr>
          <w:rFonts w:hint="eastAsia" w:ascii="宋体" w:hAnsi="宋体"/>
          <w:color w:val="auto"/>
          <w:sz w:val="24"/>
          <w:highlight w:val="none"/>
          <w:u w:val="single"/>
          <w:lang w:val="en-US" w:eastAsia="zh-CN"/>
        </w:rPr>
        <w:t xml:space="preserve"> 12 </w:t>
      </w:r>
      <w:r>
        <w:rPr>
          <w:rFonts w:hint="eastAsia" w:ascii="宋体" w:hAnsi="宋体" w:cs="宋体"/>
          <w:bCs/>
          <w:color w:val="auto"/>
          <w:sz w:val="24"/>
          <w:highlight w:val="none"/>
        </w:rPr>
        <w:t>元/㎡</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管理费为</w:t>
      </w:r>
      <w:r>
        <w:rPr>
          <w:rFonts w:hint="eastAsia" w:ascii="宋体" w:hAnsi="宋体" w:cs="宋体"/>
          <w:bCs/>
          <w:color w:val="auto"/>
          <w:sz w:val="24"/>
          <w:highlight w:val="none"/>
          <w:u w:val="single"/>
          <w:lang w:val="en-US" w:eastAsia="zh-CN"/>
        </w:rPr>
        <w:t xml:space="preserve"> 5 </w:t>
      </w:r>
      <w:r>
        <w:rPr>
          <w:rFonts w:hint="eastAsia" w:ascii="宋体" w:hAnsi="宋体" w:cs="宋体"/>
          <w:bCs/>
          <w:color w:val="auto"/>
          <w:sz w:val="24"/>
          <w:highlight w:val="none"/>
          <w:lang w:val="en-US" w:eastAsia="zh-CN"/>
        </w:rPr>
        <w:t>元</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租赁期限</w:t>
      </w:r>
      <w:r>
        <w:rPr>
          <w:rFonts w:hint="eastAsia" w:ascii="宋体" w:hAnsi="宋体" w:cs="宋体"/>
          <w:bCs/>
          <w:color w:val="auto"/>
          <w:sz w:val="24"/>
          <w:highlight w:val="none"/>
        </w:rPr>
        <w:t>的前十年，</w:t>
      </w:r>
      <w:r>
        <w:rPr>
          <w:rFonts w:hint="eastAsia" w:ascii="宋体" w:hAnsi="宋体" w:cs="宋体"/>
          <w:bCs/>
          <w:color w:val="auto"/>
          <w:sz w:val="24"/>
          <w:highlight w:val="none"/>
          <w:lang w:val="en-US" w:eastAsia="zh-CN"/>
        </w:rPr>
        <w:t>租金、管理费</w:t>
      </w:r>
      <w:r>
        <w:rPr>
          <w:rFonts w:hint="eastAsia" w:ascii="宋体" w:hAnsi="宋体" w:cs="宋体"/>
          <w:bCs/>
          <w:color w:val="auto"/>
          <w:sz w:val="24"/>
          <w:highlight w:val="none"/>
        </w:rPr>
        <w:t>每两年递增</w:t>
      </w:r>
      <w:r>
        <w:rPr>
          <w:rFonts w:hint="eastAsia" w:ascii="宋体" w:hAnsi="宋体" w:cs="宋体"/>
          <w:bCs/>
          <w:color w:val="auto"/>
          <w:sz w:val="24"/>
          <w:highlight w:val="none"/>
          <w:u w:val="single"/>
          <w:lang w:val="en-US" w:eastAsia="zh-CN"/>
        </w:rPr>
        <w:t xml:space="preserve"> 4 </w:t>
      </w:r>
      <w:r>
        <w:rPr>
          <w:rFonts w:hint="eastAsia" w:ascii="宋体" w:hAnsi="宋体" w:cs="宋体"/>
          <w:bCs/>
          <w:color w:val="auto"/>
          <w:sz w:val="24"/>
          <w:highlight w:val="none"/>
        </w:rPr>
        <w:t>%</w:t>
      </w:r>
    </w:p>
    <w:p w14:paraId="0AD89245">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rPr>
        <w:t>在</w:t>
      </w:r>
      <w:r>
        <w:rPr>
          <w:rFonts w:hint="eastAsia" w:ascii="宋体" w:hAnsi="宋体" w:cs="宋体"/>
          <w:bCs/>
          <w:color w:val="auto"/>
          <w:sz w:val="24"/>
          <w:highlight w:val="none"/>
          <w:lang w:val="en-US" w:eastAsia="zh-CN"/>
        </w:rPr>
        <w:t>租赁期限</w:t>
      </w:r>
      <w:r>
        <w:rPr>
          <w:rFonts w:hint="eastAsia" w:ascii="宋体" w:hAnsi="宋体" w:cs="宋体"/>
          <w:bCs/>
          <w:color w:val="auto"/>
          <w:sz w:val="24"/>
          <w:highlight w:val="none"/>
        </w:rPr>
        <w:t>的第</w:t>
      </w:r>
      <w:r>
        <w:rPr>
          <w:rFonts w:hint="eastAsia" w:ascii="宋体" w:hAnsi="宋体" w:cs="宋体"/>
          <w:bCs/>
          <w:color w:val="auto"/>
          <w:sz w:val="24"/>
          <w:highlight w:val="none"/>
          <w:lang w:val="en-US" w:eastAsia="zh-CN"/>
        </w:rPr>
        <w:t>十</w:t>
      </w:r>
      <w:r>
        <w:rPr>
          <w:rFonts w:hint="eastAsia" w:ascii="宋体" w:hAnsi="宋体" w:cs="宋体"/>
          <w:bCs/>
          <w:color w:val="auto"/>
          <w:sz w:val="24"/>
          <w:highlight w:val="none"/>
        </w:rPr>
        <w:t>一年起，</w:t>
      </w:r>
      <w:r>
        <w:rPr>
          <w:rFonts w:hint="eastAsia" w:ascii="宋体" w:hAnsi="宋体" w:cs="宋体"/>
          <w:bCs/>
          <w:color w:val="auto"/>
          <w:sz w:val="24"/>
          <w:highlight w:val="none"/>
          <w:lang w:val="en-US" w:eastAsia="zh-CN"/>
        </w:rPr>
        <w:t>租金、管理费</w:t>
      </w:r>
      <w:r>
        <w:rPr>
          <w:rFonts w:hint="eastAsia" w:ascii="宋体" w:hAnsi="宋体" w:cs="宋体"/>
          <w:bCs/>
          <w:color w:val="auto"/>
          <w:sz w:val="24"/>
          <w:highlight w:val="none"/>
        </w:rPr>
        <w:t>每两年递增</w:t>
      </w:r>
      <w:r>
        <w:rPr>
          <w:rFonts w:hint="eastAsia" w:ascii="宋体" w:hAnsi="宋体" w:cs="宋体"/>
          <w:bCs/>
          <w:color w:val="auto"/>
          <w:sz w:val="24"/>
          <w:highlight w:val="none"/>
          <w:u w:val="single"/>
          <w:lang w:val="en-US" w:eastAsia="zh-CN"/>
        </w:rPr>
        <w:t xml:space="preserve"> 5 </w:t>
      </w:r>
      <w:r>
        <w:rPr>
          <w:rFonts w:hint="eastAsia" w:ascii="宋体" w:hAnsi="宋体" w:cs="宋体"/>
          <w:bCs/>
          <w:color w:val="auto"/>
          <w:sz w:val="24"/>
          <w:highlight w:val="none"/>
        </w:rPr>
        <w:t>%。</w:t>
      </w:r>
    </w:p>
    <w:p w14:paraId="4EB32D82">
      <w:pPr>
        <w:keepNext w:val="0"/>
        <w:keepLines w:val="0"/>
        <w:pageBreakBefore w:val="0"/>
        <w:kinsoku/>
        <w:wordWrap w:val="0"/>
        <w:overflowPunct/>
        <w:topLinePunct w:val="0"/>
        <w:autoSpaceDE/>
        <w:autoSpaceDN/>
        <w:bidi w:val="0"/>
        <w:adjustRightInd/>
        <w:snapToGrid/>
        <w:spacing w:line="560" w:lineRule="exact"/>
        <w:ind w:firstLine="420"/>
        <w:textAlignment w:val="auto"/>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交付物业后的</w:t>
      </w:r>
      <w:r>
        <w:rPr>
          <w:rFonts w:hint="eastAsia" w:ascii="宋体" w:hAnsi="宋体" w:cs="宋体"/>
          <w:bCs/>
          <w:color w:val="auto"/>
          <w:sz w:val="24"/>
          <w:highlight w:val="none"/>
        </w:rPr>
        <w:t>月租金标准（元/㎡，含税）具体如下：</w:t>
      </w:r>
    </w:p>
    <w:tbl>
      <w:tblPr>
        <w:tblStyle w:val="45"/>
        <w:tblW w:w="10180" w:type="dxa"/>
        <w:tblInd w:w="-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951"/>
        <w:gridCol w:w="951"/>
        <w:gridCol w:w="951"/>
        <w:gridCol w:w="951"/>
        <w:gridCol w:w="951"/>
        <w:gridCol w:w="951"/>
        <w:gridCol w:w="951"/>
        <w:gridCol w:w="951"/>
        <w:gridCol w:w="952"/>
        <w:gridCol w:w="952"/>
      </w:tblGrid>
      <w:tr w14:paraId="3E93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0191FD97">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年限</w:t>
            </w:r>
          </w:p>
        </w:tc>
        <w:tc>
          <w:tcPr>
            <w:tcW w:w="951" w:type="dxa"/>
          </w:tcPr>
          <w:p w14:paraId="52FA459D">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第1年</w:t>
            </w:r>
          </w:p>
        </w:tc>
        <w:tc>
          <w:tcPr>
            <w:tcW w:w="951" w:type="dxa"/>
          </w:tcPr>
          <w:p w14:paraId="5A883F87">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第2年</w:t>
            </w:r>
          </w:p>
        </w:tc>
        <w:tc>
          <w:tcPr>
            <w:tcW w:w="951" w:type="dxa"/>
          </w:tcPr>
          <w:p w14:paraId="3075A1F0">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第3年</w:t>
            </w:r>
          </w:p>
        </w:tc>
        <w:tc>
          <w:tcPr>
            <w:tcW w:w="951" w:type="dxa"/>
          </w:tcPr>
          <w:p w14:paraId="4527D61C">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第4年</w:t>
            </w:r>
          </w:p>
        </w:tc>
        <w:tc>
          <w:tcPr>
            <w:tcW w:w="951" w:type="dxa"/>
          </w:tcPr>
          <w:p w14:paraId="0B72164A">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第5年</w:t>
            </w:r>
          </w:p>
        </w:tc>
        <w:tc>
          <w:tcPr>
            <w:tcW w:w="951" w:type="dxa"/>
          </w:tcPr>
          <w:p w14:paraId="033E3CE7">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第6年</w:t>
            </w:r>
          </w:p>
        </w:tc>
        <w:tc>
          <w:tcPr>
            <w:tcW w:w="951" w:type="dxa"/>
          </w:tcPr>
          <w:p w14:paraId="2DFF62D1">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第7年</w:t>
            </w:r>
          </w:p>
        </w:tc>
        <w:tc>
          <w:tcPr>
            <w:tcW w:w="951" w:type="dxa"/>
          </w:tcPr>
          <w:p w14:paraId="1AFBA17D">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第8年</w:t>
            </w:r>
          </w:p>
        </w:tc>
        <w:tc>
          <w:tcPr>
            <w:tcW w:w="952" w:type="dxa"/>
          </w:tcPr>
          <w:p w14:paraId="115EF364">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第9年</w:t>
            </w:r>
          </w:p>
        </w:tc>
        <w:tc>
          <w:tcPr>
            <w:tcW w:w="952" w:type="dxa"/>
          </w:tcPr>
          <w:p w14:paraId="1D2BAD42">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第10年</w:t>
            </w:r>
          </w:p>
        </w:tc>
      </w:tr>
      <w:tr w14:paraId="109B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1DD17D5A">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标准</w:t>
            </w:r>
          </w:p>
        </w:tc>
        <w:tc>
          <w:tcPr>
            <w:tcW w:w="951" w:type="dxa"/>
          </w:tcPr>
          <w:p w14:paraId="76FF11FF">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firstLine="210" w:firstLineChars="100"/>
              <w:jc w:val="both"/>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12</w:t>
            </w:r>
          </w:p>
        </w:tc>
        <w:tc>
          <w:tcPr>
            <w:tcW w:w="951" w:type="dxa"/>
          </w:tcPr>
          <w:p w14:paraId="3BC64AFA">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firstLine="210" w:firstLineChars="100"/>
              <w:jc w:val="both"/>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12</w:t>
            </w:r>
          </w:p>
        </w:tc>
        <w:tc>
          <w:tcPr>
            <w:tcW w:w="951" w:type="dxa"/>
          </w:tcPr>
          <w:p w14:paraId="4E36331D">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 xml:space="preserve"> 12.48</w:t>
            </w:r>
          </w:p>
        </w:tc>
        <w:tc>
          <w:tcPr>
            <w:tcW w:w="951" w:type="dxa"/>
          </w:tcPr>
          <w:p w14:paraId="696A2C71">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 xml:space="preserve"> 12.48</w:t>
            </w:r>
          </w:p>
        </w:tc>
        <w:tc>
          <w:tcPr>
            <w:tcW w:w="951" w:type="dxa"/>
          </w:tcPr>
          <w:p w14:paraId="417FA01D">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 xml:space="preserve"> 12.98</w:t>
            </w:r>
          </w:p>
        </w:tc>
        <w:tc>
          <w:tcPr>
            <w:tcW w:w="951" w:type="dxa"/>
          </w:tcPr>
          <w:p w14:paraId="25FE961E">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 xml:space="preserve"> 12.98</w:t>
            </w:r>
          </w:p>
        </w:tc>
        <w:tc>
          <w:tcPr>
            <w:tcW w:w="951" w:type="dxa"/>
          </w:tcPr>
          <w:p w14:paraId="0B7EBAB5">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 xml:space="preserve"> 13.50</w:t>
            </w:r>
          </w:p>
        </w:tc>
        <w:tc>
          <w:tcPr>
            <w:tcW w:w="951" w:type="dxa"/>
          </w:tcPr>
          <w:p w14:paraId="7D1B2208">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 xml:space="preserve"> 13.50</w:t>
            </w:r>
          </w:p>
        </w:tc>
        <w:tc>
          <w:tcPr>
            <w:tcW w:w="952" w:type="dxa"/>
          </w:tcPr>
          <w:p w14:paraId="3F9279D9">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 xml:space="preserve"> 14.04</w:t>
            </w:r>
          </w:p>
        </w:tc>
        <w:tc>
          <w:tcPr>
            <w:tcW w:w="952" w:type="dxa"/>
          </w:tcPr>
          <w:p w14:paraId="3CD57722">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firstLine="210" w:firstLineChars="100"/>
              <w:jc w:val="both"/>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14.04</w:t>
            </w:r>
          </w:p>
        </w:tc>
      </w:tr>
      <w:tr w14:paraId="32440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3CC793E5">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年限</w:t>
            </w:r>
          </w:p>
        </w:tc>
        <w:tc>
          <w:tcPr>
            <w:tcW w:w="951" w:type="dxa"/>
          </w:tcPr>
          <w:p w14:paraId="5DB4D35C">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第11年</w:t>
            </w:r>
          </w:p>
        </w:tc>
        <w:tc>
          <w:tcPr>
            <w:tcW w:w="951" w:type="dxa"/>
          </w:tcPr>
          <w:p w14:paraId="03962BF1">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第12年</w:t>
            </w:r>
          </w:p>
        </w:tc>
        <w:tc>
          <w:tcPr>
            <w:tcW w:w="951" w:type="dxa"/>
          </w:tcPr>
          <w:p w14:paraId="546F8E0C">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第13年</w:t>
            </w:r>
          </w:p>
        </w:tc>
        <w:tc>
          <w:tcPr>
            <w:tcW w:w="951" w:type="dxa"/>
          </w:tcPr>
          <w:p w14:paraId="153FEA2B">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第14年</w:t>
            </w:r>
          </w:p>
        </w:tc>
        <w:tc>
          <w:tcPr>
            <w:tcW w:w="951" w:type="dxa"/>
          </w:tcPr>
          <w:p w14:paraId="1A92B330">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第15年</w:t>
            </w:r>
          </w:p>
        </w:tc>
        <w:tc>
          <w:tcPr>
            <w:tcW w:w="951" w:type="dxa"/>
          </w:tcPr>
          <w:p w14:paraId="112387C6">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cs="宋体"/>
                <w:bCs/>
                <w:color w:val="auto"/>
                <w:szCs w:val="21"/>
                <w:highlight w:val="none"/>
              </w:rPr>
            </w:pPr>
            <w:r>
              <w:rPr>
                <w:rFonts w:hint="eastAsia" w:ascii="宋体" w:hAnsi="宋体" w:cs="宋体"/>
                <w:bCs/>
                <w:color w:val="auto"/>
                <w:szCs w:val="21"/>
                <w:highlight w:val="none"/>
              </w:rPr>
              <w:t>年16年</w:t>
            </w:r>
          </w:p>
        </w:tc>
        <w:tc>
          <w:tcPr>
            <w:tcW w:w="951" w:type="dxa"/>
          </w:tcPr>
          <w:p w14:paraId="6AF14B78">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第17年</w:t>
            </w:r>
          </w:p>
        </w:tc>
        <w:tc>
          <w:tcPr>
            <w:tcW w:w="951" w:type="dxa"/>
          </w:tcPr>
          <w:p w14:paraId="51AE0026">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第18年</w:t>
            </w:r>
          </w:p>
        </w:tc>
        <w:tc>
          <w:tcPr>
            <w:tcW w:w="952" w:type="dxa"/>
          </w:tcPr>
          <w:p w14:paraId="0E66CB42">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第19年</w:t>
            </w:r>
          </w:p>
        </w:tc>
        <w:tc>
          <w:tcPr>
            <w:tcW w:w="952" w:type="dxa"/>
          </w:tcPr>
          <w:p w14:paraId="749C0136">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第20年</w:t>
            </w:r>
          </w:p>
        </w:tc>
      </w:tr>
      <w:tr w14:paraId="2C12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592555F2">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标准</w:t>
            </w:r>
          </w:p>
        </w:tc>
        <w:tc>
          <w:tcPr>
            <w:tcW w:w="951" w:type="dxa"/>
          </w:tcPr>
          <w:p w14:paraId="34ED8063">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14.74</w:t>
            </w:r>
          </w:p>
        </w:tc>
        <w:tc>
          <w:tcPr>
            <w:tcW w:w="951" w:type="dxa"/>
          </w:tcPr>
          <w:p w14:paraId="62642664">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 xml:space="preserve"> 14.74</w:t>
            </w:r>
          </w:p>
        </w:tc>
        <w:tc>
          <w:tcPr>
            <w:tcW w:w="951" w:type="dxa"/>
          </w:tcPr>
          <w:p w14:paraId="0E42BC04">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 xml:space="preserve"> 15.48</w:t>
            </w:r>
          </w:p>
        </w:tc>
        <w:tc>
          <w:tcPr>
            <w:tcW w:w="951" w:type="dxa"/>
          </w:tcPr>
          <w:p w14:paraId="2C79FC8C">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 xml:space="preserve"> 15.48</w:t>
            </w:r>
          </w:p>
        </w:tc>
        <w:tc>
          <w:tcPr>
            <w:tcW w:w="951" w:type="dxa"/>
          </w:tcPr>
          <w:p w14:paraId="73342FCE">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 xml:space="preserve"> 16.25</w:t>
            </w:r>
          </w:p>
        </w:tc>
        <w:tc>
          <w:tcPr>
            <w:tcW w:w="951" w:type="dxa"/>
          </w:tcPr>
          <w:p w14:paraId="6A6F6B0B">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 xml:space="preserve"> 16.25</w:t>
            </w:r>
          </w:p>
        </w:tc>
        <w:tc>
          <w:tcPr>
            <w:tcW w:w="951" w:type="dxa"/>
          </w:tcPr>
          <w:p w14:paraId="1C01B957">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 xml:space="preserve"> 17.06</w:t>
            </w:r>
          </w:p>
        </w:tc>
        <w:tc>
          <w:tcPr>
            <w:tcW w:w="951" w:type="dxa"/>
          </w:tcPr>
          <w:p w14:paraId="50443FB5">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 xml:space="preserve"> 17.06</w:t>
            </w:r>
          </w:p>
        </w:tc>
        <w:tc>
          <w:tcPr>
            <w:tcW w:w="952" w:type="dxa"/>
          </w:tcPr>
          <w:p w14:paraId="3011193F">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 xml:space="preserve"> 17.92</w:t>
            </w:r>
          </w:p>
        </w:tc>
        <w:tc>
          <w:tcPr>
            <w:tcW w:w="952" w:type="dxa"/>
          </w:tcPr>
          <w:p w14:paraId="5940D14C">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firstLine="210" w:firstLineChars="100"/>
              <w:jc w:val="both"/>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17.92</w:t>
            </w:r>
          </w:p>
        </w:tc>
      </w:tr>
    </w:tbl>
    <w:p w14:paraId="55840183">
      <w:pPr>
        <w:keepNext w:val="0"/>
        <w:keepLines w:val="0"/>
        <w:pageBreakBefore w:val="0"/>
        <w:kinsoku/>
        <w:wordWrap w:val="0"/>
        <w:overflowPunct/>
        <w:topLinePunct w:val="0"/>
        <w:autoSpaceDE/>
        <w:autoSpaceDN/>
        <w:bidi w:val="0"/>
        <w:adjustRightInd/>
        <w:snapToGrid/>
        <w:spacing w:line="560" w:lineRule="exact"/>
        <w:ind w:firstLine="420"/>
        <w:textAlignment w:val="auto"/>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交付物业后的管理费</w:t>
      </w:r>
      <w:r>
        <w:rPr>
          <w:rFonts w:hint="eastAsia" w:ascii="宋体" w:hAnsi="宋体" w:cs="宋体"/>
          <w:bCs/>
          <w:color w:val="auto"/>
          <w:sz w:val="24"/>
          <w:highlight w:val="none"/>
        </w:rPr>
        <w:t>标准（元/㎡，含税）具体如下：</w:t>
      </w:r>
    </w:p>
    <w:tbl>
      <w:tblPr>
        <w:tblStyle w:val="45"/>
        <w:tblW w:w="10180" w:type="dxa"/>
        <w:tblInd w:w="-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951"/>
        <w:gridCol w:w="951"/>
        <w:gridCol w:w="951"/>
        <w:gridCol w:w="951"/>
        <w:gridCol w:w="951"/>
        <w:gridCol w:w="951"/>
        <w:gridCol w:w="951"/>
        <w:gridCol w:w="951"/>
        <w:gridCol w:w="952"/>
        <w:gridCol w:w="952"/>
      </w:tblGrid>
      <w:tr w14:paraId="155B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24D25BDF">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年限</w:t>
            </w:r>
          </w:p>
        </w:tc>
        <w:tc>
          <w:tcPr>
            <w:tcW w:w="951" w:type="dxa"/>
          </w:tcPr>
          <w:p w14:paraId="56A6430E">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第1年</w:t>
            </w:r>
          </w:p>
        </w:tc>
        <w:tc>
          <w:tcPr>
            <w:tcW w:w="951" w:type="dxa"/>
          </w:tcPr>
          <w:p w14:paraId="01185551">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第2年</w:t>
            </w:r>
          </w:p>
        </w:tc>
        <w:tc>
          <w:tcPr>
            <w:tcW w:w="951" w:type="dxa"/>
          </w:tcPr>
          <w:p w14:paraId="6B58FA30">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第3年</w:t>
            </w:r>
          </w:p>
        </w:tc>
        <w:tc>
          <w:tcPr>
            <w:tcW w:w="951" w:type="dxa"/>
          </w:tcPr>
          <w:p w14:paraId="7519DFE1">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第4年</w:t>
            </w:r>
          </w:p>
        </w:tc>
        <w:tc>
          <w:tcPr>
            <w:tcW w:w="951" w:type="dxa"/>
          </w:tcPr>
          <w:p w14:paraId="102070A7">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第5年</w:t>
            </w:r>
          </w:p>
        </w:tc>
        <w:tc>
          <w:tcPr>
            <w:tcW w:w="951" w:type="dxa"/>
          </w:tcPr>
          <w:p w14:paraId="6963C0EC">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第6年</w:t>
            </w:r>
          </w:p>
        </w:tc>
        <w:tc>
          <w:tcPr>
            <w:tcW w:w="951" w:type="dxa"/>
          </w:tcPr>
          <w:p w14:paraId="7C964E8A">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第7年</w:t>
            </w:r>
          </w:p>
        </w:tc>
        <w:tc>
          <w:tcPr>
            <w:tcW w:w="951" w:type="dxa"/>
          </w:tcPr>
          <w:p w14:paraId="60355656">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第8年</w:t>
            </w:r>
          </w:p>
        </w:tc>
        <w:tc>
          <w:tcPr>
            <w:tcW w:w="952" w:type="dxa"/>
          </w:tcPr>
          <w:p w14:paraId="06009826">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第9年</w:t>
            </w:r>
          </w:p>
        </w:tc>
        <w:tc>
          <w:tcPr>
            <w:tcW w:w="952" w:type="dxa"/>
          </w:tcPr>
          <w:p w14:paraId="4CA6C887">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第10年</w:t>
            </w:r>
          </w:p>
        </w:tc>
      </w:tr>
      <w:tr w14:paraId="7CE3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6B6F02B5">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标准</w:t>
            </w:r>
          </w:p>
        </w:tc>
        <w:tc>
          <w:tcPr>
            <w:tcW w:w="951" w:type="dxa"/>
          </w:tcPr>
          <w:p w14:paraId="5E246913">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 xml:space="preserve">  5</w:t>
            </w:r>
          </w:p>
        </w:tc>
        <w:tc>
          <w:tcPr>
            <w:tcW w:w="951" w:type="dxa"/>
          </w:tcPr>
          <w:p w14:paraId="103AF2C3">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firstLine="210" w:firstLineChars="100"/>
              <w:jc w:val="both"/>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5</w:t>
            </w:r>
          </w:p>
        </w:tc>
        <w:tc>
          <w:tcPr>
            <w:tcW w:w="951" w:type="dxa"/>
          </w:tcPr>
          <w:p w14:paraId="121E9B56">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 xml:space="preserve"> 5.2</w:t>
            </w:r>
          </w:p>
        </w:tc>
        <w:tc>
          <w:tcPr>
            <w:tcW w:w="951" w:type="dxa"/>
          </w:tcPr>
          <w:p w14:paraId="0060311A">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 xml:space="preserve"> 5.2</w:t>
            </w:r>
          </w:p>
        </w:tc>
        <w:tc>
          <w:tcPr>
            <w:tcW w:w="951" w:type="dxa"/>
          </w:tcPr>
          <w:p w14:paraId="3383F042">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 xml:space="preserve"> 5.41</w:t>
            </w:r>
          </w:p>
        </w:tc>
        <w:tc>
          <w:tcPr>
            <w:tcW w:w="951" w:type="dxa"/>
          </w:tcPr>
          <w:p w14:paraId="17AF7156">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 xml:space="preserve"> 5.41</w:t>
            </w:r>
          </w:p>
        </w:tc>
        <w:tc>
          <w:tcPr>
            <w:tcW w:w="951" w:type="dxa"/>
          </w:tcPr>
          <w:p w14:paraId="3AAFA501">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 xml:space="preserve"> 5.62</w:t>
            </w:r>
          </w:p>
        </w:tc>
        <w:tc>
          <w:tcPr>
            <w:tcW w:w="951" w:type="dxa"/>
          </w:tcPr>
          <w:p w14:paraId="1F7A6789">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 xml:space="preserve"> 5.62</w:t>
            </w:r>
          </w:p>
        </w:tc>
        <w:tc>
          <w:tcPr>
            <w:tcW w:w="952" w:type="dxa"/>
          </w:tcPr>
          <w:p w14:paraId="434132D2">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 xml:space="preserve"> 5.85</w:t>
            </w:r>
          </w:p>
        </w:tc>
        <w:tc>
          <w:tcPr>
            <w:tcW w:w="952" w:type="dxa"/>
          </w:tcPr>
          <w:p w14:paraId="0E237310">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 xml:space="preserve"> 5.85</w:t>
            </w:r>
          </w:p>
        </w:tc>
      </w:tr>
      <w:tr w14:paraId="6356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10DACECD">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年限</w:t>
            </w:r>
          </w:p>
        </w:tc>
        <w:tc>
          <w:tcPr>
            <w:tcW w:w="951" w:type="dxa"/>
          </w:tcPr>
          <w:p w14:paraId="5FE5956B">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第11年</w:t>
            </w:r>
          </w:p>
        </w:tc>
        <w:tc>
          <w:tcPr>
            <w:tcW w:w="951" w:type="dxa"/>
          </w:tcPr>
          <w:p w14:paraId="18E1D8ED">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第12年</w:t>
            </w:r>
          </w:p>
        </w:tc>
        <w:tc>
          <w:tcPr>
            <w:tcW w:w="951" w:type="dxa"/>
          </w:tcPr>
          <w:p w14:paraId="57AE4186">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第13年</w:t>
            </w:r>
          </w:p>
        </w:tc>
        <w:tc>
          <w:tcPr>
            <w:tcW w:w="951" w:type="dxa"/>
          </w:tcPr>
          <w:p w14:paraId="4D5B9529">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第14年</w:t>
            </w:r>
          </w:p>
        </w:tc>
        <w:tc>
          <w:tcPr>
            <w:tcW w:w="951" w:type="dxa"/>
          </w:tcPr>
          <w:p w14:paraId="790F9B10">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第15年</w:t>
            </w:r>
          </w:p>
        </w:tc>
        <w:tc>
          <w:tcPr>
            <w:tcW w:w="951" w:type="dxa"/>
          </w:tcPr>
          <w:p w14:paraId="670DABEC">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年16年</w:t>
            </w:r>
          </w:p>
        </w:tc>
        <w:tc>
          <w:tcPr>
            <w:tcW w:w="951" w:type="dxa"/>
          </w:tcPr>
          <w:p w14:paraId="50013364">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第17年</w:t>
            </w:r>
          </w:p>
        </w:tc>
        <w:tc>
          <w:tcPr>
            <w:tcW w:w="951" w:type="dxa"/>
          </w:tcPr>
          <w:p w14:paraId="73718D29">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第18年</w:t>
            </w:r>
          </w:p>
        </w:tc>
        <w:tc>
          <w:tcPr>
            <w:tcW w:w="952" w:type="dxa"/>
          </w:tcPr>
          <w:p w14:paraId="41D4D781">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第19年</w:t>
            </w:r>
          </w:p>
        </w:tc>
        <w:tc>
          <w:tcPr>
            <w:tcW w:w="952" w:type="dxa"/>
          </w:tcPr>
          <w:p w14:paraId="777BD028">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第20年</w:t>
            </w:r>
          </w:p>
        </w:tc>
      </w:tr>
      <w:tr w14:paraId="22AD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050375EA">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标准</w:t>
            </w:r>
          </w:p>
        </w:tc>
        <w:tc>
          <w:tcPr>
            <w:tcW w:w="951" w:type="dxa"/>
          </w:tcPr>
          <w:p w14:paraId="0C8BF69D">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firstLine="210" w:firstLineChars="100"/>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6.14</w:t>
            </w:r>
          </w:p>
        </w:tc>
        <w:tc>
          <w:tcPr>
            <w:tcW w:w="951" w:type="dxa"/>
          </w:tcPr>
          <w:p w14:paraId="1547B534">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firstLine="210" w:firstLineChars="100"/>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6.14</w:t>
            </w:r>
          </w:p>
        </w:tc>
        <w:tc>
          <w:tcPr>
            <w:tcW w:w="951" w:type="dxa"/>
          </w:tcPr>
          <w:p w14:paraId="3A831D83">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 xml:space="preserve"> 6.45</w:t>
            </w:r>
          </w:p>
        </w:tc>
        <w:tc>
          <w:tcPr>
            <w:tcW w:w="951" w:type="dxa"/>
          </w:tcPr>
          <w:p w14:paraId="617BC24B">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 xml:space="preserve"> 6.45</w:t>
            </w:r>
          </w:p>
        </w:tc>
        <w:tc>
          <w:tcPr>
            <w:tcW w:w="951" w:type="dxa"/>
          </w:tcPr>
          <w:p w14:paraId="5A04DC4A">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 xml:space="preserve"> 6.77</w:t>
            </w:r>
          </w:p>
        </w:tc>
        <w:tc>
          <w:tcPr>
            <w:tcW w:w="951" w:type="dxa"/>
          </w:tcPr>
          <w:p w14:paraId="6CCD98AA">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 xml:space="preserve"> 6.77</w:t>
            </w:r>
          </w:p>
        </w:tc>
        <w:tc>
          <w:tcPr>
            <w:tcW w:w="951" w:type="dxa"/>
          </w:tcPr>
          <w:p w14:paraId="00CE312D">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 xml:space="preserve"> 7.11</w:t>
            </w:r>
          </w:p>
        </w:tc>
        <w:tc>
          <w:tcPr>
            <w:tcW w:w="951" w:type="dxa"/>
          </w:tcPr>
          <w:p w14:paraId="663B06F2">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 xml:space="preserve"> 7.11</w:t>
            </w:r>
          </w:p>
        </w:tc>
        <w:tc>
          <w:tcPr>
            <w:tcW w:w="952" w:type="dxa"/>
          </w:tcPr>
          <w:p w14:paraId="20159EAB">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 xml:space="preserve"> 7.47</w:t>
            </w:r>
          </w:p>
        </w:tc>
        <w:tc>
          <w:tcPr>
            <w:tcW w:w="952" w:type="dxa"/>
          </w:tcPr>
          <w:p w14:paraId="352609D7">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 xml:space="preserve"> 7.47</w:t>
            </w:r>
          </w:p>
        </w:tc>
      </w:tr>
    </w:tbl>
    <w:p w14:paraId="0F4EF70E">
      <w:pPr>
        <w:keepNext w:val="0"/>
        <w:keepLines w:val="0"/>
        <w:pageBreakBefore w:val="0"/>
        <w:numPr>
          <w:ilvl w:val="0"/>
          <w:numId w:val="0"/>
        </w:numPr>
        <w:kinsoku/>
        <w:wordWrap w:val="0"/>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lang w:eastAsia="zh-CN"/>
        </w:rPr>
      </w:pPr>
      <w:r>
        <w:rPr>
          <w:rFonts w:hint="eastAsia" w:ascii="宋体" w:hAnsi="宋体" w:cs="宋体"/>
          <w:bCs/>
          <w:color w:val="auto"/>
          <w:sz w:val="24"/>
          <w:highlight w:val="none"/>
          <w:lang w:val="en-US" w:eastAsia="zh-CN"/>
        </w:rPr>
        <w:t>第十四条  除本合同另有约定外，乙方在每月第5天前支付当月租金、管理费。</w:t>
      </w:r>
      <w:r>
        <w:rPr>
          <w:rFonts w:hint="eastAsia" w:ascii="宋体" w:hAnsi="宋体" w:cs="宋体"/>
          <w:bCs/>
          <w:color w:val="auto"/>
          <w:sz w:val="24"/>
          <w:highlight w:val="none"/>
        </w:rPr>
        <w:t>双方发生的各项税费由各法定纳税义务人承担。</w:t>
      </w:r>
      <w:r>
        <w:rPr>
          <w:rFonts w:hint="eastAsia" w:ascii="宋体" w:hAnsi="宋体"/>
          <w:color w:val="auto"/>
          <w:sz w:val="24"/>
          <w:highlight w:val="none"/>
        </w:rPr>
        <w:t>甲方需在收到每笔租金</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管理费</w:t>
      </w:r>
      <w:r>
        <w:rPr>
          <w:rFonts w:hint="eastAsia" w:ascii="宋体" w:hAnsi="宋体"/>
          <w:color w:val="auto"/>
          <w:sz w:val="24"/>
          <w:highlight w:val="none"/>
        </w:rPr>
        <w:t>后20个工作日内开具等额的增值税专用发票给乙方</w:t>
      </w:r>
      <w:r>
        <w:rPr>
          <w:rFonts w:hint="eastAsia" w:ascii="宋体" w:hAnsi="宋体"/>
          <w:color w:val="auto"/>
          <w:sz w:val="24"/>
          <w:highlight w:val="none"/>
          <w:lang w:eastAsia="zh-CN"/>
        </w:rPr>
        <w:t>。</w:t>
      </w:r>
    </w:p>
    <w:p w14:paraId="2285666C">
      <w:pPr>
        <w:keepNext w:val="0"/>
        <w:keepLines w:val="0"/>
        <w:pageBreakBefore w:val="0"/>
        <w:numPr>
          <w:ilvl w:val="0"/>
          <w:numId w:val="0"/>
        </w:numPr>
        <w:kinsoku/>
        <w:wordWrap w:val="0"/>
        <w:overflowPunct/>
        <w:topLinePunct w:val="0"/>
        <w:autoSpaceDE/>
        <w:autoSpaceDN/>
        <w:bidi w:val="0"/>
        <w:adjustRightInd/>
        <w:snapToGrid/>
        <w:spacing w:line="560" w:lineRule="exact"/>
        <w:ind w:firstLine="480" w:firstLineChars="200"/>
        <w:textAlignment w:val="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第十五条  乙方同意结合甲方的建设需要，以项目每期建设开发所需金额的20%为限，提前支付租金给甲方：</w:t>
      </w:r>
    </w:p>
    <w:p w14:paraId="54BB2091">
      <w:pPr>
        <w:pStyle w:val="17"/>
        <w:keepNext w:val="0"/>
        <w:keepLines w:val="0"/>
        <w:pageBreakBefore w:val="0"/>
        <w:numPr>
          <w:ilvl w:val="0"/>
          <w:numId w:val="34"/>
        </w:numPr>
        <w:kinsoku/>
        <w:overflowPunct/>
        <w:topLinePunct w:val="0"/>
        <w:autoSpaceDE/>
        <w:autoSpaceDN/>
        <w:bidi w:val="0"/>
        <w:adjustRightInd/>
        <w:snapToGrid/>
        <w:spacing w:line="560" w:lineRule="exact"/>
        <w:ind w:firstLine="435"/>
        <w:textAlignment w:val="auto"/>
        <w:rPr>
          <w:rFonts w:hint="eastAsia" w:ascii="宋体" w:hAnsi="宋体"/>
          <w:color w:val="auto"/>
          <w:sz w:val="24"/>
          <w:highlight w:val="none"/>
        </w:rPr>
      </w:pPr>
      <w:r>
        <w:rPr>
          <w:rFonts w:hint="eastAsia" w:ascii="宋体" w:hAnsi="宋体"/>
          <w:color w:val="auto"/>
          <w:sz w:val="24"/>
          <w:highlight w:val="none"/>
          <w:lang w:val="en-US" w:eastAsia="zh-CN"/>
        </w:rPr>
        <w:t>在签署本合同后20个工作日内，支付不</w:t>
      </w:r>
      <w:r>
        <w:rPr>
          <w:rFonts w:hint="eastAsia" w:ascii="宋体" w:hAnsi="宋体" w:eastAsia="宋体" w:cs="宋体"/>
          <w:bCs/>
          <w:color w:val="auto"/>
          <w:sz w:val="24"/>
          <w:szCs w:val="24"/>
          <w:highlight w:val="none"/>
          <w:lang w:val="en-US" w:eastAsia="zh-CN"/>
        </w:rPr>
        <w:t>低于</w:t>
      </w:r>
      <w:r>
        <w:rPr>
          <w:rFonts w:hint="eastAsia" w:ascii="宋体" w:hAnsi="宋体" w:eastAsia="宋体" w:cs="宋体"/>
          <w:color w:val="auto"/>
          <w:sz w:val="24"/>
          <w:szCs w:val="24"/>
          <w:highlight w:val="none"/>
          <w:lang w:val="en-US" w:eastAsia="zh-CN"/>
        </w:rPr>
        <w:t>4360万元作为本项目一期的租金</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该租金在甲方交付</w:t>
      </w:r>
      <w:r>
        <w:rPr>
          <w:rFonts w:hint="eastAsia" w:ascii="宋体" w:hAnsi="宋体" w:cs="宋体"/>
          <w:color w:val="auto"/>
          <w:sz w:val="24"/>
          <w:szCs w:val="24"/>
          <w:highlight w:val="none"/>
          <w:lang w:val="en-US" w:eastAsia="zh-CN"/>
        </w:rPr>
        <w:t>本项目</w:t>
      </w:r>
      <w:r>
        <w:rPr>
          <w:rFonts w:hint="eastAsia" w:ascii="宋体" w:hAnsi="宋体" w:eastAsia="宋体" w:cs="宋体"/>
          <w:color w:val="auto"/>
          <w:sz w:val="24"/>
          <w:szCs w:val="24"/>
          <w:highlight w:val="none"/>
          <w:lang w:val="en-US" w:eastAsia="zh-CN"/>
        </w:rPr>
        <w:t>一期物业后第14年</w:t>
      </w:r>
      <w:r>
        <w:rPr>
          <w:rFonts w:hint="eastAsia" w:ascii="宋体" w:hAnsi="宋体" w:cs="宋体"/>
          <w:color w:val="auto"/>
          <w:sz w:val="24"/>
          <w:szCs w:val="24"/>
          <w:highlight w:val="none"/>
          <w:lang w:val="en-US" w:eastAsia="zh-CN"/>
        </w:rPr>
        <w:t>起</w:t>
      </w:r>
      <w:r>
        <w:rPr>
          <w:rFonts w:hint="eastAsia" w:ascii="宋体" w:hAnsi="宋体" w:eastAsia="宋体" w:cs="宋体"/>
          <w:color w:val="auto"/>
          <w:sz w:val="24"/>
          <w:szCs w:val="24"/>
          <w:highlight w:val="none"/>
          <w:lang w:val="en-US" w:eastAsia="zh-CN"/>
        </w:rPr>
        <w:t>进行抵扣。</w:t>
      </w:r>
    </w:p>
    <w:p w14:paraId="70A6CB88">
      <w:pPr>
        <w:pStyle w:val="17"/>
        <w:keepNext w:val="0"/>
        <w:keepLines w:val="0"/>
        <w:pageBreakBefore w:val="0"/>
        <w:numPr>
          <w:ilvl w:val="0"/>
          <w:numId w:val="34"/>
        </w:numPr>
        <w:kinsoku/>
        <w:overflowPunct/>
        <w:topLinePunct w:val="0"/>
        <w:autoSpaceDE/>
        <w:autoSpaceDN/>
        <w:bidi w:val="0"/>
        <w:adjustRightInd/>
        <w:snapToGrid/>
        <w:spacing w:line="560" w:lineRule="exact"/>
        <w:ind w:firstLine="435"/>
        <w:textAlignment w:val="auto"/>
        <w:rPr>
          <w:rFonts w:hint="eastAsia" w:ascii="宋体" w:hAnsi="宋体"/>
          <w:color w:val="auto"/>
          <w:sz w:val="24"/>
          <w:highlight w:val="none"/>
        </w:rPr>
      </w:pPr>
      <w:r>
        <w:rPr>
          <w:rFonts w:hint="eastAsia" w:ascii="宋体" w:hAnsi="宋体" w:eastAsia="宋体" w:cs="宋体"/>
          <w:bCs/>
          <w:color w:val="auto"/>
          <w:sz w:val="24"/>
          <w:szCs w:val="24"/>
          <w:highlight w:val="none"/>
          <w:lang w:val="en-US" w:eastAsia="zh-CN"/>
        </w:rPr>
        <w:t>在本项目产业园</w:t>
      </w:r>
      <w:r>
        <w:rPr>
          <w:rFonts w:hint="eastAsia" w:ascii="宋体" w:hAnsi="宋体" w:cs="宋体"/>
          <w:bCs/>
          <w:color w:val="auto"/>
          <w:sz w:val="24"/>
          <w:szCs w:val="24"/>
          <w:highlight w:val="none"/>
          <w:lang w:val="en-US" w:eastAsia="zh-CN"/>
        </w:rPr>
        <w:t>二期开工前，甲方提前30天通知乙方支付</w:t>
      </w:r>
      <w:r>
        <w:rPr>
          <w:rFonts w:hint="eastAsia" w:ascii="宋体" w:hAnsi="宋体" w:eastAsia="宋体" w:cs="宋体"/>
          <w:bCs/>
          <w:color w:val="auto"/>
          <w:sz w:val="24"/>
          <w:szCs w:val="24"/>
          <w:highlight w:val="none"/>
          <w:lang w:val="en-US" w:eastAsia="zh-CN"/>
        </w:rPr>
        <w:t>不低于</w:t>
      </w:r>
      <w:r>
        <w:rPr>
          <w:rFonts w:hint="eastAsia" w:ascii="宋体" w:hAnsi="宋体" w:eastAsia="宋体" w:cs="宋体"/>
          <w:color w:val="auto"/>
          <w:sz w:val="24"/>
          <w:szCs w:val="24"/>
          <w:highlight w:val="none"/>
          <w:lang w:val="en-US" w:eastAsia="zh-CN"/>
        </w:rPr>
        <w:t>4428</w:t>
      </w:r>
      <w:r>
        <w:rPr>
          <w:rFonts w:hint="eastAsia" w:ascii="宋体" w:hAnsi="宋体" w:eastAsia="宋体" w:cs="宋体"/>
          <w:bCs/>
          <w:color w:val="auto"/>
          <w:sz w:val="24"/>
          <w:szCs w:val="24"/>
          <w:highlight w:val="none"/>
          <w:lang w:val="en-US" w:eastAsia="zh-CN"/>
        </w:rPr>
        <w:t>万元作为本项目二期的租</w:t>
      </w:r>
      <w:r>
        <w:rPr>
          <w:rFonts w:hint="eastAsia" w:ascii="宋体" w:hAnsi="宋体" w:cs="宋体"/>
          <w:bCs/>
          <w:color w:val="auto"/>
          <w:sz w:val="24"/>
          <w:szCs w:val="24"/>
          <w:highlight w:val="none"/>
          <w:lang w:val="en-US" w:eastAsia="zh-CN"/>
        </w:rPr>
        <w:t>金</w:t>
      </w:r>
      <w:r>
        <w:rPr>
          <w:rFonts w:hint="eastAsia" w:ascii="宋体" w:hAnsi="宋体" w:eastAsia="宋体" w:cs="宋体"/>
          <w:bCs/>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该租金在甲方交付</w:t>
      </w:r>
      <w:r>
        <w:rPr>
          <w:rFonts w:hint="eastAsia" w:ascii="宋体" w:hAnsi="宋体" w:cs="宋体"/>
          <w:color w:val="auto"/>
          <w:sz w:val="24"/>
          <w:szCs w:val="24"/>
          <w:highlight w:val="none"/>
          <w:lang w:val="en-US" w:eastAsia="zh-CN"/>
        </w:rPr>
        <w:t>本项目</w:t>
      </w:r>
      <w:r>
        <w:rPr>
          <w:rFonts w:hint="eastAsia" w:ascii="宋体" w:hAnsi="宋体" w:eastAsia="宋体" w:cs="宋体"/>
          <w:color w:val="auto"/>
          <w:sz w:val="24"/>
          <w:szCs w:val="24"/>
          <w:highlight w:val="none"/>
          <w:lang w:val="en-US" w:eastAsia="zh-CN"/>
        </w:rPr>
        <w:t>二期物业后第14年起进行抵扣。</w:t>
      </w:r>
    </w:p>
    <w:p w14:paraId="20A7E80B">
      <w:pPr>
        <w:pStyle w:val="17"/>
        <w:keepNext w:val="0"/>
        <w:keepLines w:val="0"/>
        <w:pageBreakBefore w:val="0"/>
        <w:numPr>
          <w:ilvl w:val="0"/>
          <w:numId w:val="34"/>
        </w:numPr>
        <w:kinsoku/>
        <w:wordWrap w:val="0"/>
        <w:overflowPunct/>
        <w:topLinePunct w:val="0"/>
        <w:autoSpaceDE/>
        <w:autoSpaceDN/>
        <w:bidi w:val="0"/>
        <w:adjustRightInd/>
        <w:snapToGrid/>
        <w:spacing w:line="560" w:lineRule="exact"/>
        <w:ind w:firstLine="435" w:firstLineChars="0"/>
        <w:textAlignment w:val="auto"/>
        <w:rPr>
          <w:rFonts w:hint="eastAsia" w:ascii="宋体" w:hAnsi="宋体"/>
          <w:color w:val="auto"/>
          <w:sz w:val="24"/>
          <w:highlight w:val="none"/>
        </w:rPr>
      </w:pPr>
      <w:r>
        <w:rPr>
          <w:rFonts w:hint="eastAsia" w:ascii="宋体" w:hAnsi="宋体" w:eastAsia="宋体" w:cs="宋体"/>
          <w:bCs/>
          <w:color w:val="auto"/>
          <w:sz w:val="24"/>
          <w:szCs w:val="24"/>
          <w:highlight w:val="none"/>
          <w:lang w:val="en-US" w:eastAsia="zh-CN"/>
        </w:rPr>
        <w:t>在本项目产业园三期</w:t>
      </w:r>
      <w:r>
        <w:rPr>
          <w:rFonts w:hint="eastAsia" w:ascii="宋体" w:hAnsi="宋体" w:cs="宋体"/>
          <w:bCs/>
          <w:color w:val="auto"/>
          <w:sz w:val="24"/>
          <w:szCs w:val="24"/>
          <w:highlight w:val="none"/>
          <w:lang w:val="en-US" w:eastAsia="zh-CN"/>
        </w:rPr>
        <w:t>开工前，甲方提前30天通知乙方支</w:t>
      </w:r>
      <w:r>
        <w:rPr>
          <w:rFonts w:hint="eastAsia" w:ascii="宋体" w:hAnsi="宋体" w:eastAsia="宋体" w:cs="宋体"/>
          <w:bCs/>
          <w:color w:val="auto"/>
          <w:sz w:val="24"/>
          <w:szCs w:val="24"/>
          <w:highlight w:val="none"/>
          <w:lang w:val="en-US" w:eastAsia="zh-CN"/>
        </w:rPr>
        <w:t>付不低于</w:t>
      </w:r>
      <w:r>
        <w:rPr>
          <w:rFonts w:hint="eastAsia" w:ascii="宋体" w:hAnsi="宋体" w:cs="宋体"/>
          <w:color w:val="auto"/>
          <w:sz w:val="24"/>
          <w:szCs w:val="24"/>
          <w:highlight w:val="none"/>
          <w:lang w:val="en-US" w:eastAsia="zh-CN"/>
        </w:rPr>
        <w:t>1212</w:t>
      </w:r>
      <w:r>
        <w:rPr>
          <w:rFonts w:hint="eastAsia" w:ascii="宋体" w:hAnsi="宋体" w:eastAsia="宋体" w:cs="宋体"/>
          <w:bCs/>
          <w:color w:val="auto"/>
          <w:sz w:val="24"/>
          <w:szCs w:val="24"/>
          <w:highlight w:val="none"/>
          <w:lang w:val="en-US" w:eastAsia="zh-CN"/>
        </w:rPr>
        <w:t>万元作为本项目三期的租</w:t>
      </w:r>
      <w:r>
        <w:rPr>
          <w:rFonts w:hint="eastAsia" w:ascii="宋体" w:hAnsi="宋体" w:cs="宋体"/>
          <w:bCs/>
          <w:color w:val="auto"/>
          <w:sz w:val="24"/>
          <w:szCs w:val="24"/>
          <w:highlight w:val="none"/>
          <w:lang w:val="en-US" w:eastAsia="zh-CN"/>
        </w:rPr>
        <w:t>金</w:t>
      </w:r>
      <w:r>
        <w:rPr>
          <w:rFonts w:hint="eastAsia" w:ascii="宋体" w:hAnsi="宋体" w:eastAsia="宋体" w:cs="宋体"/>
          <w:bCs/>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该租金在甲方交付</w:t>
      </w:r>
      <w:r>
        <w:rPr>
          <w:rFonts w:hint="eastAsia" w:ascii="宋体" w:hAnsi="宋体" w:cs="宋体"/>
          <w:color w:val="auto"/>
          <w:sz w:val="24"/>
          <w:szCs w:val="24"/>
          <w:highlight w:val="none"/>
          <w:lang w:val="en-US" w:eastAsia="zh-CN"/>
        </w:rPr>
        <w:t>本项目</w:t>
      </w:r>
      <w:r>
        <w:rPr>
          <w:rFonts w:hint="eastAsia" w:ascii="宋体" w:hAnsi="宋体" w:eastAsia="宋体" w:cs="宋体"/>
          <w:color w:val="auto"/>
          <w:sz w:val="24"/>
          <w:szCs w:val="24"/>
          <w:highlight w:val="none"/>
          <w:lang w:val="en-US" w:eastAsia="zh-CN"/>
        </w:rPr>
        <w:t>三期物业后第14年起进行抵扣。</w:t>
      </w:r>
    </w:p>
    <w:p w14:paraId="0AF667B1">
      <w:pPr>
        <w:pStyle w:val="17"/>
        <w:keepNext w:val="0"/>
        <w:keepLines w:val="0"/>
        <w:pageBreakBefore w:val="0"/>
        <w:numPr>
          <w:ilvl w:val="0"/>
          <w:numId w:val="34"/>
        </w:numPr>
        <w:kinsoku/>
        <w:wordWrap w:val="0"/>
        <w:overflowPunct/>
        <w:topLinePunct w:val="0"/>
        <w:autoSpaceDE/>
        <w:autoSpaceDN/>
        <w:bidi w:val="0"/>
        <w:adjustRightInd/>
        <w:snapToGrid/>
        <w:spacing w:line="560" w:lineRule="exact"/>
        <w:ind w:firstLine="435" w:firstLineChars="0"/>
        <w:textAlignment w:val="auto"/>
        <w:rPr>
          <w:rFonts w:hint="eastAsia" w:ascii="宋体" w:hAnsi="宋体" w:cs="Times New Roman"/>
          <w:bCs w:val="0"/>
          <w:color w:val="auto"/>
          <w:kern w:val="2"/>
          <w:sz w:val="24"/>
          <w:szCs w:val="24"/>
          <w:highlight w:val="none"/>
          <w:lang w:val="en-US" w:eastAsia="zh-CN" w:bidi="ar-SA"/>
        </w:rPr>
      </w:pPr>
      <w:r>
        <w:rPr>
          <w:rFonts w:hint="eastAsia" w:ascii="宋体" w:hAnsi="宋体" w:cs="Times New Roman"/>
          <w:bCs w:val="0"/>
          <w:color w:val="auto"/>
          <w:kern w:val="2"/>
          <w:sz w:val="24"/>
          <w:szCs w:val="24"/>
          <w:highlight w:val="none"/>
          <w:lang w:val="en-US" w:eastAsia="zh-CN" w:bidi="ar-SA"/>
        </w:rPr>
        <w:t>甲方对本项目每期先行预留租金1000万元（三期合计3000万元），甲方以乙方每期实际提前支付的租金与1000万元的差额为基数，从第14年开始至第20年期间每年按照如下比例抵扣相应各期租金，甲方有权按照将每年度抵扣比例对应的租金平摊至该年度每月。本合同期满，且乙方没有违约情形下，甲方无息退还3000万元给乙方。</w:t>
      </w:r>
    </w:p>
    <w:tbl>
      <w:tblPr>
        <w:tblStyle w:val="45"/>
        <w:tblW w:w="10180" w:type="dxa"/>
        <w:tblInd w:w="-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951"/>
        <w:gridCol w:w="951"/>
        <w:gridCol w:w="951"/>
        <w:gridCol w:w="951"/>
        <w:gridCol w:w="951"/>
        <w:gridCol w:w="951"/>
        <w:gridCol w:w="951"/>
        <w:gridCol w:w="951"/>
        <w:gridCol w:w="952"/>
        <w:gridCol w:w="952"/>
      </w:tblGrid>
      <w:tr w14:paraId="01E5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68" w:type="dxa"/>
          </w:tcPr>
          <w:p w14:paraId="38D9555A">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年限</w:t>
            </w:r>
          </w:p>
        </w:tc>
        <w:tc>
          <w:tcPr>
            <w:tcW w:w="951" w:type="dxa"/>
          </w:tcPr>
          <w:p w14:paraId="2D8ABD51">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第1年</w:t>
            </w:r>
          </w:p>
        </w:tc>
        <w:tc>
          <w:tcPr>
            <w:tcW w:w="951" w:type="dxa"/>
          </w:tcPr>
          <w:p w14:paraId="5B37193D">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第2年</w:t>
            </w:r>
          </w:p>
        </w:tc>
        <w:tc>
          <w:tcPr>
            <w:tcW w:w="951" w:type="dxa"/>
          </w:tcPr>
          <w:p w14:paraId="338211BC">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第3年</w:t>
            </w:r>
          </w:p>
        </w:tc>
        <w:tc>
          <w:tcPr>
            <w:tcW w:w="951" w:type="dxa"/>
          </w:tcPr>
          <w:p w14:paraId="099267B5">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第4年</w:t>
            </w:r>
          </w:p>
        </w:tc>
        <w:tc>
          <w:tcPr>
            <w:tcW w:w="951" w:type="dxa"/>
          </w:tcPr>
          <w:p w14:paraId="3F4D58D0">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第5年</w:t>
            </w:r>
          </w:p>
        </w:tc>
        <w:tc>
          <w:tcPr>
            <w:tcW w:w="951" w:type="dxa"/>
          </w:tcPr>
          <w:p w14:paraId="402CAC7A">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第6年</w:t>
            </w:r>
          </w:p>
        </w:tc>
        <w:tc>
          <w:tcPr>
            <w:tcW w:w="951" w:type="dxa"/>
          </w:tcPr>
          <w:p w14:paraId="0C65FB92">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第7年</w:t>
            </w:r>
          </w:p>
        </w:tc>
        <w:tc>
          <w:tcPr>
            <w:tcW w:w="951" w:type="dxa"/>
          </w:tcPr>
          <w:p w14:paraId="68499C38">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第8年</w:t>
            </w:r>
          </w:p>
        </w:tc>
        <w:tc>
          <w:tcPr>
            <w:tcW w:w="952" w:type="dxa"/>
          </w:tcPr>
          <w:p w14:paraId="659C34BC">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第9年</w:t>
            </w:r>
          </w:p>
        </w:tc>
        <w:tc>
          <w:tcPr>
            <w:tcW w:w="952" w:type="dxa"/>
          </w:tcPr>
          <w:p w14:paraId="32315314">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第10年</w:t>
            </w:r>
          </w:p>
        </w:tc>
      </w:tr>
      <w:tr w14:paraId="5F5E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446F24D5">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标准</w:t>
            </w:r>
          </w:p>
        </w:tc>
        <w:tc>
          <w:tcPr>
            <w:tcW w:w="951" w:type="dxa"/>
          </w:tcPr>
          <w:p w14:paraId="6C58CE0B">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0</w:t>
            </w:r>
          </w:p>
        </w:tc>
        <w:tc>
          <w:tcPr>
            <w:tcW w:w="951" w:type="dxa"/>
          </w:tcPr>
          <w:p w14:paraId="783F60AD">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0</w:t>
            </w:r>
          </w:p>
        </w:tc>
        <w:tc>
          <w:tcPr>
            <w:tcW w:w="951" w:type="dxa"/>
            <w:vAlign w:val="top"/>
          </w:tcPr>
          <w:p w14:paraId="7B072352">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0"/>
              <w:jc w:val="center"/>
              <w:textAlignment w:val="auto"/>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0</w:t>
            </w:r>
          </w:p>
        </w:tc>
        <w:tc>
          <w:tcPr>
            <w:tcW w:w="951" w:type="dxa"/>
            <w:vAlign w:val="top"/>
          </w:tcPr>
          <w:p w14:paraId="792C6266">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0"/>
              <w:jc w:val="center"/>
              <w:textAlignment w:val="auto"/>
              <w:rPr>
                <w:rFonts w:hint="default" w:ascii="宋体" w:hAnsi="宋体" w:cs="宋体"/>
                <w:bCs/>
                <w:color w:val="auto"/>
                <w:szCs w:val="21"/>
                <w:highlight w:val="none"/>
                <w:lang w:val="en-US"/>
              </w:rPr>
            </w:pPr>
            <w:r>
              <w:rPr>
                <w:rFonts w:hint="eastAsia" w:ascii="宋体" w:hAnsi="宋体" w:cs="宋体"/>
                <w:bCs/>
                <w:color w:val="auto"/>
                <w:szCs w:val="21"/>
                <w:highlight w:val="none"/>
                <w:lang w:val="en-US" w:eastAsia="zh-CN"/>
              </w:rPr>
              <w:t>0</w:t>
            </w:r>
          </w:p>
        </w:tc>
        <w:tc>
          <w:tcPr>
            <w:tcW w:w="951" w:type="dxa"/>
            <w:vAlign w:val="top"/>
          </w:tcPr>
          <w:p w14:paraId="271D458B">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0"/>
              <w:jc w:val="center"/>
              <w:textAlignment w:val="auto"/>
              <w:rPr>
                <w:rFonts w:hint="default" w:ascii="宋体" w:hAnsi="宋体" w:cs="宋体"/>
                <w:bCs/>
                <w:color w:val="auto"/>
                <w:szCs w:val="21"/>
                <w:highlight w:val="none"/>
                <w:lang w:val="en-US"/>
              </w:rPr>
            </w:pPr>
            <w:r>
              <w:rPr>
                <w:rFonts w:hint="eastAsia" w:ascii="宋体" w:hAnsi="宋体" w:cs="宋体"/>
                <w:bCs/>
                <w:color w:val="auto"/>
                <w:szCs w:val="21"/>
                <w:highlight w:val="none"/>
                <w:lang w:val="en-US" w:eastAsia="zh-CN"/>
              </w:rPr>
              <w:t>0</w:t>
            </w:r>
          </w:p>
        </w:tc>
        <w:tc>
          <w:tcPr>
            <w:tcW w:w="951" w:type="dxa"/>
            <w:vAlign w:val="top"/>
          </w:tcPr>
          <w:p w14:paraId="28E55AFB">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0"/>
              <w:jc w:val="center"/>
              <w:textAlignment w:val="auto"/>
              <w:rPr>
                <w:rFonts w:hint="default" w:ascii="宋体" w:hAnsi="宋体" w:cs="宋体"/>
                <w:bCs/>
                <w:color w:val="auto"/>
                <w:szCs w:val="21"/>
                <w:highlight w:val="none"/>
                <w:lang w:val="en-US"/>
              </w:rPr>
            </w:pPr>
            <w:r>
              <w:rPr>
                <w:rFonts w:hint="eastAsia" w:ascii="宋体" w:hAnsi="宋体" w:cs="宋体"/>
                <w:bCs/>
                <w:color w:val="auto"/>
                <w:szCs w:val="21"/>
                <w:highlight w:val="none"/>
                <w:lang w:val="en-US" w:eastAsia="zh-CN"/>
              </w:rPr>
              <w:t>0</w:t>
            </w:r>
          </w:p>
        </w:tc>
        <w:tc>
          <w:tcPr>
            <w:tcW w:w="951" w:type="dxa"/>
            <w:vAlign w:val="top"/>
          </w:tcPr>
          <w:p w14:paraId="260A146C">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0"/>
              <w:jc w:val="center"/>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0</w:t>
            </w:r>
          </w:p>
        </w:tc>
        <w:tc>
          <w:tcPr>
            <w:tcW w:w="951" w:type="dxa"/>
            <w:vAlign w:val="top"/>
          </w:tcPr>
          <w:p w14:paraId="6EB1A9C4">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0"/>
              <w:jc w:val="center"/>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0</w:t>
            </w:r>
          </w:p>
        </w:tc>
        <w:tc>
          <w:tcPr>
            <w:tcW w:w="952" w:type="dxa"/>
          </w:tcPr>
          <w:p w14:paraId="0CDA4778">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right"/>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0</w:t>
            </w:r>
          </w:p>
        </w:tc>
        <w:tc>
          <w:tcPr>
            <w:tcW w:w="952" w:type="dxa"/>
          </w:tcPr>
          <w:p w14:paraId="53054B7A">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right"/>
              <w:textAlignment w:val="auto"/>
              <w:rPr>
                <w:rFonts w:hint="default" w:ascii="宋体" w:hAnsi="宋体" w:cs="宋体"/>
                <w:bCs/>
                <w:color w:val="auto"/>
                <w:szCs w:val="21"/>
                <w:highlight w:val="none"/>
                <w:lang w:val="en-US"/>
              </w:rPr>
            </w:pPr>
            <w:r>
              <w:rPr>
                <w:rFonts w:hint="eastAsia" w:ascii="宋体" w:hAnsi="宋体" w:cs="宋体"/>
                <w:bCs/>
                <w:color w:val="auto"/>
                <w:szCs w:val="21"/>
                <w:highlight w:val="none"/>
                <w:lang w:val="en-US" w:eastAsia="zh-CN"/>
              </w:rPr>
              <w:t>0</w:t>
            </w:r>
          </w:p>
        </w:tc>
      </w:tr>
      <w:tr w14:paraId="2C93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08EA9B27">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年限</w:t>
            </w:r>
          </w:p>
        </w:tc>
        <w:tc>
          <w:tcPr>
            <w:tcW w:w="951" w:type="dxa"/>
          </w:tcPr>
          <w:p w14:paraId="6B14E9F7">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第11年</w:t>
            </w:r>
          </w:p>
        </w:tc>
        <w:tc>
          <w:tcPr>
            <w:tcW w:w="951" w:type="dxa"/>
          </w:tcPr>
          <w:p w14:paraId="5066AC10">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第12年</w:t>
            </w:r>
          </w:p>
        </w:tc>
        <w:tc>
          <w:tcPr>
            <w:tcW w:w="951" w:type="dxa"/>
          </w:tcPr>
          <w:p w14:paraId="206BC812">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第13年</w:t>
            </w:r>
          </w:p>
        </w:tc>
        <w:tc>
          <w:tcPr>
            <w:tcW w:w="951" w:type="dxa"/>
          </w:tcPr>
          <w:p w14:paraId="13096333">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第14年</w:t>
            </w:r>
          </w:p>
        </w:tc>
        <w:tc>
          <w:tcPr>
            <w:tcW w:w="951" w:type="dxa"/>
          </w:tcPr>
          <w:p w14:paraId="05111E1D">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第15年</w:t>
            </w:r>
          </w:p>
        </w:tc>
        <w:tc>
          <w:tcPr>
            <w:tcW w:w="951" w:type="dxa"/>
          </w:tcPr>
          <w:p w14:paraId="50ED37F2">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年16年</w:t>
            </w:r>
          </w:p>
        </w:tc>
        <w:tc>
          <w:tcPr>
            <w:tcW w:w="951" w:type="dxa"/>
          </w:tcPr>
          <w:p w14:paraId="3D8FB256">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第17年</w:t>
            </w:r>
          </w:p>
        </w:tc>
        <w:tc>
          <w:tcPr>
            <w:tcW w:w="951" w:type="dxa"/>
          </w:tcPr>
          <w:p w14:paraId="2A03B59A">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第18年</w:t>
            </w:r>
          </w:p>
        </w:tc>
        <w:tc>
          <w:tcPr>
            <w:tcW w:w="952" w:type="dxa"/>
          </w:tcPr>
          <w:p w14:paraId="2418C086">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第19年</w:t>
            </w:r>
          </w:p>
        </w:tc>
        <w:tc>
          <w:tcPr>
            <w:tcW w:w="952" w:type="dxa"/>
          </w:tcPr>
          <w:p w14:paraId="25247214">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第20年</w:t>
            </w:r>
          </w:p>
        </w:tc>
      </w:tr>
      <w:tr w14:paraId="4DEA3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3D365F3B">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标准</w:t>
            </w:r>
          </w:p>
        </w:tc>
        <w:tc>
          <w:tcPr>
            <w:tcW w:w="951" w:type="dxa"/>
            <w:shd w:val="clear" w:color="auto" w:fill="auto"/>
            <w:vAlign w:val="top"/>
          </w:tcPr>
          <w:p w14:paraId="64D3CA75">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0</w:t>
            </w:r>
          </w:p>
        </w:tc>
        <w:tc>
          <w:tcPr>
            <w:tcW w:w="951" w:type="dxa"/>
            <w:shd w:val="clear" w:color="auto" w:fill="auto"/>
            <w:vAlign w:val="top"/>
          </w:tcPr>
          <w:p w14:paraId="4C2B87A8">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0"/>
              <w:jc w:val="center"/>
              <w:textAlignment w:val="auto"/>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0</w:t>
            </w:r>
          </w:p>
        </w:tc>
        <w:tc>
          <w:tcPr>
            <w:tcW w:w="951" w:type="dxa"/>
            <w:shd w:val="clear" w:color="auto" w:fill="auto"/>
            <w:vAlign w:val="top"/>
          </w:tcPr>
          <w:p w14:paraId="6DA3B8D8">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right"/>
              <w:textAlignment w:val="auto"/>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0</w:t>
            </w:r>
          </w:p>
        </w:tc>
        <w:tc>
          <w:tcPr>
            <w:tcW w:w="951" w:type="dxa"/>
          </w:tcPr>
          <w:p w14:paraId="0A32B8C6">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right"/>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20%</w:t>
            </w:r>
          </w:p>
        </w:tc>
        <w:tc>
          <w:tcPr>
            <w:tcW w:w="951" w:type="dxa"/>
          </w:tcPr>
          <w:p w14:paraId="31B76A91">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right"/>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20%</w:t>
            </w:r>
          </w:p>
        </w:tc>
        <w:tc>
          <w:tcPr>
            <w:tcW w:w="951" w:type="dxa"/>
          </w:tcPr>
          <w:p w14:paraId="0B1C9944">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right"/>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20%</w:t>
            </w:r>
          </w:p>
        </w:tc>
        <w:tc>
          <w:tcPr>
            <w:tcW w:w="951" w:type="dxa"/>
          </w:tcPr>
          <w:p w14:paraId="4E69C77C">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right"/>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10%</w:t>
            </w:r>
          </w:p>
        </w:tc>
        <w:tc>
          <w:tcPr>
            <w:tcW w:w="951" w:type="dxa"/>
          </w:tcPr>
          <w:p w14:paraId="097BF298">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right"/>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10%</w:t>
            </w:r>
          </w:p>
        </w:tc>
        <w:tc>
          <w:tcPr>
            <w:tcW w:w="952" w:type="dxa"/>
          </w:tcPr>
          <w:p w14:paraId="4BC6BDDA">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right"/>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10%</w:t>
            </w:r>
          </w:p>
        </w:tc>
        <w:tc>
          <w:tcPr>
            <w:tcW w:w="952" w:type="dxa"/>
          </w:tcPr>
          <w:p w14:paraId="08985108">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right"/>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10%</w:t>
            </w:r>
          </w:p>
        </w:tc>
      </w:tr>
    </w:tbl>
    <w:p w14:paraId="24A5AC4E">
      <w:pPr>
        <w:pStyle w:val="17"/>
        <w:keepNext w:val="0"/>
        <w:keepLines w:val="0"/>
        <w:pageBreakBefore w:val="0"/>
        <w:numPr>
          <w:ilvl w:val="0"/>
          <w:numId w:val="34"/>
        </w:numPr>
        <w:kinsoku/>
        <w:overflowPunct/>
        <w:topLinePunct w:val="0"/>
        <w:autoSpaceDE/>
        <w:autoSpaceDN/>
        <w:bidi w:val="0"/>
        <w:adjustRightInd/>
        <w:snapToGrid/>
        <w:spacing w:line="560" w:lineRule="exact"/>
        <w:ind w:firstLine="43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highlight w:val="none"/>
          <w:lang w:val="en-US" w:eastAsia="zh-CN"/>
        </w:rPr>
        <w:t>乙方保证抵扣相应比例的租金后，每月按照本合同约定</w:t>
      </w:r>
      <w:r>
        <w:rPr>
          <w:rFonts w:hint="eastAsia" w:ascii="宋体" w:hAnsi="宋体" w:cs="宋体"/>
          <w:bCs/>
          <w:color w:val="auto"/>
          <w:sz w:val="24"/>
          <w:highlight w:val="none"/>
          <w:lang w:val="en-US" w:eastAsia="zh-CN"/>
        </w:rPr>
        <w:t>，向甲方</w:t>
      </w:r>
      <w:r>
        <w:rPr>
          <w:rFonts w:hint="eastAsia" w:ascii="宋体" w:hAnsi="宋体" w:eastAsia="宋体" w:cs="宋体"/>
          <w:bCs/>
          <w:color w:val="auto"/>
          <w:sz w:val="24"/>
          <w:highlight w:val="none"/>
          <w:lang w:val="en-US" w:eastAsia="zh-CN"/>
        </w:rPr>
        <w:t>补足</w:t>
      </w:r>
      <w:r>
        <w:rPr>
          <w:rFonts w:hint="eastAsia" w:ascii="宋体" w:hAnsi="宋体" w:cs="宋体"/>
          <w:bCs/>
          <w:color w:val="auto"/>
          <w:sz w:val="24"/>
          <w:highlight w:val="none"/>
          <w:lang w:val="en-US" w:eastAsia="zh-CN"/>
        </w:rPr>
        <w:t>应付</w:t>
      </w:r>
      <w:r>
        <w:rPr>
          <w:rFonts w:hint="eastAsia" w:ascii="宋体" w:hAnsi="宋体" w:eastAsia="宋体" w:cs="宋体"/>
          <w:bCs/>
          <w:color w:val="auto"/>
          <w:sz w:val="24"/>
          <w:highlight w:val="none"/>
          <w:lang w:val="en-US" w:eastAsia="zh-CN"/>
        </w:rPr>
        <w:t>租金、管理费</w:t>
      </w:r>
      <w:r>
        <w:rPr>
          <w:rFonts w:hint="eastAsia" w:ascii="宋体" w:hAnsi="宋体" w:cs="宋体"/>
          <w:bCs/>
          <w:color w:val="auto"/>
          <w:sz w:val="24"/>
          <w:highlight w:val="none"/>
          <w:lang w:val="en-US" w:eastAsia="zh-CN"/>
        </w:rPr>
        <w:t>以及其他按照合同约定应当支付的费用</w:t>
      </w:r>
      <w:r>
        <w:rPr>
          <w:rFonts w:hint="eastAsia" w:ascii="宋体" w:hAnsi="宋体" w:eastAsia="宋体" w:cs="宋体"/>
          <w:bCs/>
          <w:color w:val="auto"/>
          <w:sz w:val="24"/>
          <w:highlight w:val="none"/>
          <w:lang w:val="en-US" w:eastAsia="zh-CN"/>
        </w:rPr>
        <w:t>。</w:t>
      </w:r>
    </w:p>
    <w:p w14:paraId="77E39513">
      <w:pPr>
        <w:pStyle w:val="17"/>
        <w:keepNext w:val="0"/>
        <w:keepLines w:val="0"/>
        <w:pageBreakBefore w:val="0"/>
        <w:numPr>
          <w:ilvl w:val="-1"/>
          <w:numId w:val="0"/>
        </w:numPr>
        <w:kinsoku/>
        <w:overflowPunct/>
        <w:topLinePunct w:val="0"/>
        <w:autoSpaceDE/>
        <w:autoSpaceDN/>
        <w:bidi w:val="0"/>
        <w:adjustRightInd/>
        <w:snapToGrid/>
        <w:spacing w:line="560" w:lineRule="exact"/>
        <w:ind w:firstLine="48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第十六条  除本合同第十三条约定的租金、管理费外，乙方同意支付额外的租金收益固定分成给甲方，乙方保证不会以任何理由（包括但不限于经营不善、招商环境不理想等）向甲方主张减免或者延期支付该租赁收益固定分成：</w:t>
      </w:r>
    </w:p>
    <w:p w14:paraId="5D7D6688">
      <w:pPr>
        <w:pStyle w:val="17"/>
        <w:keepNext w:val="0"/>
        <w:keepLines w:val="0"/>
        <w:pageBreakBefore w:val="0"/>
        <w:numPr>
          <w:ilvl w:val="-1"/>
          <w:numId w:val="0"/>
        </w:numPr>
        <w:kinsoku/>
        <w:overflowPunct/>
        <w:topLinePunct w:val="0"/>
        <w:autoSpaceDE/>
        <w:autoSpaceDN/>
        <w:bidi w:val="0"/>
        <w:adjustRightInd/>
        <w:snapToGrid/>
        <w:spacing w:line="560" w:lineRule="exact"/>
        <w:ind w:left="0" w:leftChars="0" w:firstLine="480" w:firstLineChars="200"/>
        <w:jc w:val="left"/>
        <w:textAlignment w:val="auto"/>
        <w:rPr>
          <w:rFonts w:hint="eastAsia" w:ascii="宋体" w:hAnsi="宋体" w:eastAsia="宋体" w:cs="Times New Roman"/>
          <w:color w:val="auto"/>
          <w:spacing w:val="0"/>
          <w:sz w:val="24"/>
          <w:szCs w:val="24"/>
          <w:highlight w:val="none"/>
        </w:rPr>
      </w:pPr>
      <w:r>
        <w:rPr>
          <w:rFonts w:hint="eastAsia" w:ascii="宋体" w:hAnsi="宋体" w:eastAsia="宋体" w:cs="Times New Roman"/>
          <w:bCs w:val="0"/>
          <w:color w:val="auto"/>
          <w:kern w:val="2"/>
          <w:sz w:val="24"/>
          <w:szCs w:val="24"/>
          <w:highlight w:val="none"/>
          <w:lang w:val="en-US" w:eastAsia="zh-CN" w:bidi="ar-SA"/>
        </w:rPr>
        <w:t>从甲方交付本项目一期物业</w:t>
      </w:r>
      <w:r>
        <w:rPr>
          <w:rFonts w:hint="eastAsia" w:ascii="宋体" w:hAnsi="宋体" w:cs="Times New Roman"/>
          <w:bCs w:val="0"/>
          <w:color w:val="auto"/>
          <w:kern w:val="2"/>
          <w:sz w:val="24"/>
          <w:szCs w:val="24"/>
          <w:highlight w:val="none"/>
          <w:lang w:val="en-US" w:eastAsia="zh-CN" w:bidi="ar-SA"/>
        </w:rPr>
        <w:t>后的</w:t>
      </w:r>
      <w:r>
        <w:rPr>
          <w:rFonts w:hint="eastAsia" w:ascii="宋体" w:hAnsi="宋体" w:eastAsia="宋体" w:cs="Times New Roman"/>
          <w:bCs w:val="0"/>
          <w:color w:val="auto"/>
          <w:kern w:val="2"/>
          <w:sz w:val="24"/>
          <w:szCs w:val="24"/>
          <w:highlight w:val="none"/>
          <w:lang w:val="en-US" w:eastAsia="zh-CN" w:bidi="ar-SA"/>
        </w:rPr>
        <w:t>第</w:t>
      </w:r>
      <w:r>
        <w:rPr>
          <w:rFonts w:hint="eastAsia" w:ascii="宋体" w:hAnsi="宋体" w:cs="Times New Roman"/>
          <w:bCs w:val="0"/>
          <w:color w:val="auto"/>
          <w:kern w:val="2"/>
          <w:sz w:val="24"/>
          <w:szCs w:val="24"/>
          <w:highlight w:val="none"/>
          <w:lang w:val="en-US" w:eastAsia="zh-CN" w:bidi="ar-SA"/>
        </w:rPr>
        <w:t>7</w:t>
      </w:r>
      <w:r>
        <w:rPr>
          <w:rFonts w:hint="eastAsia" w:ascii="宋体" w:hAnsi="宋体" w:eastAsia="宋体" w:cs="Times New Roman"/>
          <w:bCs w:val="0"/>
          <w:color w:val="auto"/>
          <w:kern w:val="2"/>
          <w:sz w:val="24"/>
          <w:szCs w:val="24"/>
          <w:highlight w:val="none"/>
          <w:lang w:val="en-US" w:eastAsia="zh-CN" w:bidi="ar-SA"/>
        </w:rPr>
        <w:t>年开始</w:t>
      </w:r>
      <w:r>
        <w:rPr>
          <w:rFonts w:hint="eastAsia" w:ascii="宋体" w:hAnsi="宋体" w:cs="Times New Roman"/>
          <w:bCs w:val="0"/>
          <w:color w:val="auto"/>
          <w:kern w:val="2"/>
          <w:sz w:val="24"/>
          <w:szCs w:val="24"/>
          <w:highlight w:val="none"/>
          <w:lang w:val="en-US" w:eastAsia="zh-CN" w:bidi="ar-SA"/>
        </w:rPr>
        <w:t>支付至第18年</w:t>
      </w:r>
      <w:r>
        <w:rPr>
          <w:rFonts w:hint="eastAsia" w:ascii="宋体" w:hAnsi="宋体" w:eastAsia="宋体" w:cs="Times New Roman"/>
          <w:bCs w:val="0"/>
          <w:color w:val="auto"/>
          <w:kern w:val="2"/>
          <w:sz w:val="24"/>
          <w:szCs w:val="24"/>
          <w:highlight w:val="none"/>
          <w:lang w:val="en-US" w:eastAsia="zh-CN" w:bidi="ar-SA"/>
        </w:rPr>
        <w:t>，</w:t>
      </w:r>
      <w:r>
        <w:rPr>
          <w:rFonts w:hint="eastAsia" w:ascii="宋体" w:hAnsi="宋体" w:cs="Times New Roman"/>
          <w:bCs w:val="0"/>
          <w:color w:val="auto"/>
          <w:kern w:val="2"/>
          <w:sz w:val="24"/>
          <w:szCs w:val="24"/>
          <w:highlight w:val="none"/>
          <w:lang w:val="en-US" w:eastAsia="zh-CN" w:bidi="ar-SA"/>
        </w:rPr>
        <w:t>按年为单位，每年第1个月</w:t>
      </w:r>
      <w:r>
        <w:rPr>
          <w:rFonts w:hint="eastAsia" w:ascii="宋体" w:hAnsi="宋体" w:eastAsia="宋体" w:cs="Times New Roman"/>
          <w:bCs w:val="0"/>
          <w:color w:val="auto"/>
          <w:kern w:val="2"/>
          <w:sz w:val="24"/>
          <w:szCs w:val="24"/>
          <w:highlight w:val="none"/>
          <w:lang w:val="en-US" w:eastAsia="zh-CN" w:bidi="ar-SA"/>
        </w:rPr>
        <w:t>乙方向甲方</w:t>
      </w:r>
      <w:r>
        <w:rPr>
          <w:rFonts w:hint="eastAsia" w:ascii="宋体" w:hAnsi="宋体" w:cs="Times New Roman"/>
          <w:bCs w:val="0"/>
          <w:color w:val="auto"/>
          <w:kern w:val="2"/>
          <w:sz w:val="24"/>
          <w:szCs w:val="24"/>
          <w:highlight w:val="none"/>
          <w:lang w:val="en-US" w:eastAsia="zh-CN" w:bidi="ar-SA"/>
        </w:rPr>
        <w:t>额外</w:t>
      </w:r>
      <w:r>
        <w:rPr>
          <w:rFonts w:hint="eastAsia" w:ascii="宋体" w:hAnsi="宋体" w:eastAsia="宋体" w:cs="Times New Roman"/>
          <w:bCs w:val="0"/>
          <w:color w:val="auto"/>
          <w:kern w:val="2"/>
          <w:sz w:val="24"/>
          <w:szCs w:val="24"/>
          <w:highlight w:val="none"/>
          <w:lang w:val="en-US" w:eastAsia="zh-CN" w:bidi="ar-SA"/>
        </w:rPr>
        <w:t>支付</w:t>
      </w:r>
      <w:r>
        <w:rPr>
          <w:rFonts w:hint="eastAsia" w:ascii="宋体" w:hAnsi="宋体" w:cs="Times New Roman"/>
          <w:bCs w:val="0"/>
          <w:color w:val="auto"/>
          <w:kern w:val="2"/>
          <w:sz w:val="24"/>
          <w:szCs w:val="24"/>
          <w:highlight w:val="none"/>
          <w:lang w:val="en-US" w:eastAsia="zh-CN" w:bidi="ar-SA"/>
        </w:rPr>
        <w:t>产业园</w:t>
      </w:r>
      <w:r>
        <w:rPr>
          <w:rFonts w:hint="eastAsia" w:ascii="宋体" w:hAnsi="宋体" w:eastAsia="宋体" w:cs="Times New Roman"/>
          <w:bCs w:val="0"/>
          <w:color w:val="auto"/>
          <w:kern w:val="2"/>
          <w:sz w:val="24"/>
          <w:szCs w:val="24"/>
          <w:highlight w:val="none"/>
          <w:lang w:val="en-US" w:eastAsia="zh-CN" w:bidi="ar-SA"/>
        </w:rPr>
        <w:t>运营</w:t>
      </w:r>
      <w:r>
        <w:rPr>
          <w:rFonts w:hint="eastAsia" w:ascii="宋体" w:hAnsi="宋体" w:cs="Times New Roman"/>
          <w:bCs w:val="0"/>
          <w:color w:val="auto"/>
          <w:kern w:val="2"/>
          <w:sz w:val="24"/>
          <w:szCs w:val="24"/>
          <w:highlight w:val="none"/>
          <w:lang w:val="en-US" w:eastAsia="zh-CN" w:bidi="ar-SA"/>
        </w:rPr>
        <w:t>的租金收益固定分成</w:t>
      </w:r>
      <w:r>
        <w:rPr>
          <w:rFonts w:hint="eastAsia" w:ascii="宋体" w:hAnsi="宋体" w:eastAsia="宋体" w:cs="Times New Roman"/>
          <w:bCs w:val="0"/>
          <w:color w:val="auto"/>
          <w:kern w:val="2"/>
          <w:sz w:val="24"/>
          <w:szCs w:val="24"/>
          <w:highlight w:val="none"/>
          <w:lang w:val="en-US" w:eastAsia="zh-CN" w:bidi="ar-SA"/>
        </w:rPr>
        <w:t>，</w:t>
      </w:r>
      <w:r>
        <w:rPr>
          <w:rFonts w:hint="eastAsia" w:ascii="宋体" w:hAnsi="宋体" w:cs="Times New Roman"/>
          <w:bCs w:val="0"/>
          <w:color w:val="auto"/>
          <w:kern w:val="2"/>
          <w:sz w:val="24"/>
          <w:szCs w:val="24"/>
          <w:highlight w:val="none"/>
          <w:lang w:val="en-US" w:eastAsia="zh-CN" w:bidi="ar-SA"/>
        </w:rPr>
        <w:t>租金收益固定分成总额为2000万元，每年支付金额</w:t>
      </w:r>
      <w:r>
        <w:rPr>
          <w:rFonts w:hint="eastAsia" w:ascii="宋体" w:hAnsi="宋体" w:eastAsia="宋体" w:cs="Times New Roman"/>
          <w:bCs w:val="0"/>
          <w:color w:val="auto"/>
          <w:kern w:val="2"/>
          <w:sz w:val="24"/>
          <w:szCs w:val="24"/>
          <w:highlight w:val="none"/>
          <w:lang w:val="en-US" w:eastAsia="zh-CN" w:bidi="ar-SA"/>
        </w:rPr>
        <w:t>（万元/年，含税）具体如下：</w:t>
      </w:r>
    </w:p>
    <w:tbl>
      <w:tblPr>
        <w:tblStyle w:val="45"/>
        <w:tblW w:w="10180" w:type="dxa"/>
        <w:tblInd w:w="-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951"/>
        <w:gridCol w:w="951"/>
        <w:gridCol w:w="951"/>
        <w:gridCol w:w="951"/>
        <w:gridCol w:w="951"/>
        <w:gridCol w:w="951"/>
        <w:gridCol w:w="951"/>
        <w:gridCol w:w="951"/>
        <w:gridCol w:w="952"/>
        <w:gridCol w:w="952"/>
      </w:tblGrid>
      <w:tr w14:paraId="0A73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23CE9173">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年限</w:t>
            </w:r>
          </w:p>
        </w:tc>
        <w:tc>
          <w:tcPr>
            <w:tcW w:w="951" w:type="dxa"/>
          </w:tcPr>
          <w:p w14:paraId="1DDB3063">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第1年</w:t>
            </w:r>
          </w:p>
        </w:tc>
        <w:tc>
          <w:tcPr>
            <w:tcW w:w="951" w:type="dxa"/>
          </w:tcPr>
          <w:p w14:paraId="20E6BF0C">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第2年</w:t>
            </w:r>
          </w:p>
        </w:tc>
        <w:tc>
          <w:tcPr>
            <w:tcW w:w="951" w:type="dxa"/>
          </w:tcPr>
          <w:p w14:paraId="0C92D356">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第3年</w:t>
            </w:r>
          </w:p>
        </w:tc>
        <w:tc>
          <w:tcPr>
            <w:tcW w:w="951" w:type="dxa"/>
          </w:tcPr>
          <w:p w14:paraId="12EB6DAA">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第4年</w:t>
            </w:r>
          </w:p>
        </w:tc>
        <w:tc>
          <w:tcPr>
            <w:tcW w:w="951" w:type="dxa"/>
          </w:tcPr>
          <w:p w14:paraId="05C9CD1D">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第5年</w:t>
            </w:r>
          </w:p>
        </w:tc>
        <w:tc>
          <w:tcPr>
            <w:tcW w:w="951" w:type="dxa"/>
          </w:tcPr>
          <w:p w14:paraId="5C0B30B7">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第6年</w:t>
            </w:r>
          </w:p>
        </w:tc>
        <w:tc>
          <w:tcPr>
            <w:tcW w:w="951" w:type="dxa"/>
          </w:tcPr>
          <w:p w14:paraId="2C0D7230">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第7年</w:t>
            </w:r>
          </w:p>
        </w:tc>
        <w:tc>
          <w:tcPr>
            <w:tcW w:w="951" w:type="dxa"/>
          </w:tcPr>
          <w:p w14:paraId="72E464FA">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第8年</w:t>
            </w:r>
          </w:p>
        </w:tc>
        <w:tc>
          <w:tcPr>
            <w:tcW w:w="952" w:type="dxa"/>
          </w:tcPr>
          <w:p w14:paraId="2288D9F9">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第9年</w:t>
            </w:r>
          </w:p>
        </w:tc>
        <w:tc>
          <w:tcPr>
            <w:tcW w:w="952" w:type="dxa"/>
          </w:tcPr>
          <w:p w14:paraId="483378E2">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第10年</w:t>
            </w:r>
          </w:p>
        </w:tc>
      </w:tr>
      <w:tr w14:paraId="212D2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126C2154">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标准</w:t>
            </w:r>
          </w:p>
        </w:tc>
        <w:tc>
          <w:tcPr>
            <w:tcW w:w="951" w:type="dxa"/>
          </w:tcPr>
          <w:p w14:paraId="60F177EF">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0</w:t>
            </w:r>
          </w:p>
        </w:tc>
        <w:tc>
          <w:tcPr>
            <w:tcW w:w="951" w:type="dxa"/>
          </w:tcPr>
          <w:p w14:paraId="751D6BC9">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0</w:t>
            </w:r>
          </w:p>
        </w:tc>
        <w:tc>
          <w:tcPr>
            <w:tcW w:w="951" w:type="dxa"/>
            <w:vAlign w:val="top"/>
          </w:tcPr>
          <w:p w14:paraId="42905D3B">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0"/>
              <w:jc w:val="center"/>
              <w:textAlignment w:val="auto"/>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0</w:t>
            </w:r>
          </w:p>
        </w:tc>
        <w:tc>
          <w:tcPr>
            <w:tcW w:w="951" w:type="dxa"/>
            <w:vAlign w:val="top"/>
          </w:tcPr>
          <w:p w14:paraId="61ADD8AC">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0"/>
              <w:jc w:val="center"/>
              <w:textAlignment w:val="auto"/>
              <w:rPr>
                <w:rFonts w:hint="default" w:ascii="宋体" w:hAnsi="宋体" w:cs="宋体"/>
                <w:bCs/>
                <w:color w:val="auto"/>
                <w:szCs w:val="21"/>
                <w:highlight w:val="none"/>
                <w:lang w:val="en-US"/>
              </w:rPr>
            </w:pPr>
            <w:r>
              <w:rPr>
                <w:rFonts w:hint="eastAsia" w:ascii="宋体" w:hAnsi="宋体" w:cs="宋体"/>
                <w:bCs/>
                <w:color w:val="auto"/>
                <w:szCs w:val="21"/>
                <w:highlight w:val="none"/>
                <w:lang w:val="en-US" w:eastAsia="zh-CN"/>
              </w:rPr>
              <w:t>0</w:t>
            </w:r>
          </w:p>
        </w:tc>
        <w:tc>
          <w:tcPr>
            <w:tcW w:w="951" w:type="dxa"/>
            <w:vAlign w:val="top"/>
          </w:tcPr>
          <w:p w14:paraId="18536F60">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0"/>
              <w:jc w:val="center"/>
              <w:textAlignment w:val="auto"/>
              <w:rPr>
                <w:rFonts w:hint="default" w:ascii="宋体" w:hAnsi="宋体" w:cs="宋体"/>
                <w:bCs/>
                <w:color w:val="auto"/>
                <w:szCs w:val="21"/>
                <w:highlight w:val="none"/>
                <w:lang w:val="en-US"/>
              </w:rPr>
            </w:pPr>
            <w:r>
              <w:rPr>
                <w:rFonts w:hint="eastAsia" w:ascii="宋体" w:hAnsi="宋体" w:cs="宋体"/>
                <w:bCs/>
                <w:color w:val="auto"/>
                <w:szCs w:val="21"/>
                <w:highlight w:val="none"/>
                <w:lang w:val="en-US" w:eastAsia="zh-CN"/>
              </w:rPr>
              <w:t>0</w:t>
            </w:r>
          </w:p>
        </w:tc>
        <w:tc>
          <w:tcPr>
            <w:tcW w:w="951" w:type="dxa"/>
            <w:vAlign w:val="top"/>
          </w:tcPr>
          <w:p w14:paraId="11AF1924">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0"/>
              <w:jc w:val="center"/>
              <w:textAlignment w:val="auto"/>
              <w:rPr>
                <w:rFonts w:hint="default" w:ascii="宋体" w:hAnsi="宋体" w:cs="宋体"/>
                <w:bCs/>
                <w:color w:val="auto"/>
                <w:szCs w:val="21"/>
                <w:highlight w:val="none"/>
                <w:lang w:val="en-US"/>
              </w:rPr>
            </w:pPr>
            <w:r>
              <w:rPr>
                <w:rFonts w:hint="eastAsia" w:ascii="宋体" w:hAnsi="宋体" w:cs="宋体"/>
                <w:bCs/>
                <w:color w:val="auto"/>
                <w:szCs w:val="21"/>
                <w:highlight w:val="none"/>
                <w:lang w:val="en-US" w:eastAsia="zh-CN"/>
              </w:rPr>
              <w:t>0</w:t>
            </w:r>
          </w:p>
        </w:tc>
        <w:tc>
          <w:tcPr>
            <w:tcW w:w="951" w:type="dxa"/>
            <w:vAlign w:val="top"/>
          </w:tcPr>
          <w:p w14:paraId="3E9EE959">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0"/>
              <w:jc w:val="center"/>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150</w:t>
            </w:r>
          </w:p>
        </w:tc>
        <w:tc>
          <w:tcPr>
            <w:tcW w:w="951" w:type="dxa"/>
            <w:vAlign w:val="top"/>
          </w:tcPr>
          <w:p w14:paraId="00986168">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0"/>
              <w:jc w:val="center"/>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200</w:t>
            </w:r>
          </w:p>
        </w:tc>
        <w:tc>
          <w:tcPr>
            <w:tcW w:w="952" w:type="dxa"/>
          </w:tcPr>
          <w:p w14:paraId="1C46FF47">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right"/>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200</w:t>
            </w:r>
          </w:p>
        </w:tc>
        <w:tc>
          <w:tcPr>
            <w:tcW w:w="952" w:type="dxa"/>
          </w:tcPr>
          <w:p w14:paraId="2692BB24">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300</w:t>
            </w:r>
          </w:p>
        </w:tc>
      </w:tr>
      <w:tr w14:paraId="2537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0D968852">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年限</w:t>
            </w:r>
          </w:p>
        </w:tc>
        <w:tc>
          <w:tcPr>
            <w:tcW w:w="951" w:type="dxa"/>
          </w:tcPr>
          <w:p w14:paraId="0B33DDC6">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第11年</w:t>
            </w:r>
          </w:p>
        </w:tc>
        <w:tc>
          <w:tcPr>
            <w:tcW w:w="951" w:type="dxa"/>
          </w:tcPr>
          <w:p w14:paraId="512E1010">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第12年</w:t>
            </w:r>
          </w:p>
        </w:tc>
        <w:tc>
          <w:tcPr>
            <w:tcW w:w="951" w:type="dxa"/>
          </w:tcPr>
          <w:p w14:paraId="46FB8955">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第13年</w:t>
            </w:r>
          </w:p>
        </w:tc>
        <w:tc>
          <w:tcPr>
            <w:tcW w:w="951" w:type="dxa"/>
          </w:tcPr>
          <w:p w14:paraId="6D246E50">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第14年</w:t>
            </w:r>
          </w:p>
        </w:tc>
        <w:tc>
          <w:tcPr>
            <w:tcW w:w="951" w:type="dxa"/>
          </w:tcPr>
          <w:p w14:paraId="5CA353BF">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第15年</w:t>
            </w:r>
          </w:p>
        </w:tc>
        <w:tc>
          <w:tcPr>
            <w:tcW w:w="951" w:type="dxa"/>
          </w:tcPr>
          <w:p w14:paraId="444A3315">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年16年</w:t>
            </w:r>
          </w:p>
        </w:tc>
        <w:tc>
          <w:tcPr>
            <w:tcW w:w="951" w:type="dxa"/>
          </w:tcPr>
          <w:p w14:paraId="18025643">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第17年</w:t>
            </w:r>
          </w:p>
        </w:tc>
        <w:tc>
          <w:tcPr>
            <w:tcW w:w="951" w:type="dxa"/>
          </w:tcPr>
          <w:p w14:paraId="6AB37E85">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第18年</w:t>
            </w:r>
          </w:p>
        </w:tc>
        <w:tc>
          <w:tcPr>
            <w:tcW w:w="952" w:type="dxa"/>
          </w:tcPr>
          <w:p w14:paraId="035CD244">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第19年</w:t>
            </w:r>
          </w:p>
        </w:tc>
        <w:tc>
          <w:tcPr>
            <w:tcW w:w="952" w:type="dxa"/>
          </w:tcPr>
          <w:p w14:paraId="1FE8730A">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第20年</w:t>
            </w:r>
          </w:p>
        </w:tc>
      </w:tr>
      <w:tr w14:paraId="14C2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6EE04E0D">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标准</w:t>
            </w:r>
          </w:p>
        </w:tc>
        <w:tc>
          <w:tcPr>
            <w:tcW w:w="951" w:type="dxa"/>
            <w:shd w:val="clear" w:color="auto" w:fill="auto"/>
            <w:vAlign w:val="top"/>
          </w:tcPr>
          <w:p w14:paraId="5E049797">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300</w:t>
            </w:r>
          </w:p>
        </w:tc>
        <w:tc>
          <w:tcPr>
            <w:tcW w:w="951" w:type="dxa"/>
            <w:shd w:val="clear" w:color="auto" w:fill="auto"/>
            <w:vAlign w:val="top"/>
          </w:tcPr>
          <w:p w14:paraId="0FB1453E">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firstLine="42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300</w:t>
            </w:r>
          </w:p>
        </w:tc>
        <w:tc>
          <w:tcPr>
            <w:tcW w:w="951" w:type="dxa"/>
            <w:shd w:val="clear" w:color="auto" w:fill="auto"/>
            <w:vAlign w:val="top"/>
          </w:tcPr>
          <w:p w14:paraId="0ABFCCCB">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300</w:t>
            </w:r>
          </w:p>
        </w:tc>
        <w:tc>
          <w:tcPr>
            <w:tcW w:w="951" w:type="dxa"/>
          </w:tcPr>
          <w:p w14:paraId="0E1B779A">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right"/>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50</w:t>
            </w:r>
          </w:p>
        </w:tc>
        <w:tc>
          <w:tcPr>
            <w:tcW w:w="951" w:type="dxa"/>
          </w:tcPr>
          <w:p w14:paraId="01D3435B">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right"/>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50</w:t>
            </w:r>
          </w:p>
        </w:tc>
        <w:tc>
          <w:tcPr>
            <w:tcW w:w="951" w:type="dxa"/>
          </w:tcPr>
          <w:p w14:paraId="038981F5">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right"/>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50</w:t>
            </w:r>
          </w:p>
        </w:tc>
        <w:tc>
          <w:tcPr>
            <w:tcW w:w="951" w:type="dxa"/>
          </w:tcPr>
          <w:p w14:paraId="2A6BA58C">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right"/>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50</w:t>
            </w:r>
          </w:p>
        </w:tc>
        <w:tc>
          <w:tcPr>
            <w:tcW w:w="951" w:type="dxa"/>
          </w:tcPr>
          <w:p w14:paraId="23E69830">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right"/>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50</w:t>
            </w:r>
          </w:p>
        </w:tc>
        <w:tc>
          <w:tcPr>
            <w:tcW w:w="952" w:type="dxa"/>
          </w:tcPr>
          <w:p w14:paraId="1313D96B">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right"/>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0</w:t>
            </w:r>
          </w:p>
        </w:tc>
        <w:tc>
          <w:tcPr>
            <w:tcW w:w="952" w:type="dxa"/>
          </w:tcPr>
          <w:p w14:paraId="3E6F7845">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560" w:lineRule="exact"/>
              <w:ind w:left="0" w:right="0"/>
              <w:jc w:val="right"/>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0</w:t>
            </w:r>
          </w:p>
        </w:tc>
      </w:tr>
    </w:tbl>
    <w:p w14:paraId="3F6956F7">
      <w:pPr>
        <w:pStyle w:val="17"/>
        <w:keepNext w:val="0"/>
        <w:keepLines w:val="0"/>
        <w:pageBreakBefore w:val="0"/>
        <w:numPr>
          <w:ilvl w:val="-1"/>
          <w:numId w:val="0"/>
        </w:numPr>
        <w:kinsoku/>
        <w:overflowPunct/>
        <w:topLinePunct w:val="0"/>
        <w:autoSpaceDE/>
        <w:autoSpaceDN/>
        <w:bidi w:val="0"/>
        <w:adjustRightInd/>
        <w:snapToGrid/>
        <w:spacing w:line="560" w:lineRule="exact"/>
        <w:ind w:firstLine="480" w:firstLineChars="200"/>
        <w:textAlignment w:val="auto"/>
        <w:rPr>
          <w:rFonts w:hint="eastAsia" w:ascii="宋体" w:hAnsi="宋体" w:cs="宋体"/>
          <w:bCs/>
          <w:color w:val="auto"/>
          <w:sz w:val="24"/>
          <w:highlight w:val="none"/>
          <w:lang w:val="en-US" w:eastAsia="zh-CN"/>
        </w:rPr>
      </w:pPr>
    </w:p>
    <w:p w14:paraId="7C26317C">
      <w:pPr>
        <w:pStyle w:val="17"/>
        <w:keepNext w:val="0"/>
        <w:keepLines w:val="0"/>
        <w:pageBreakBefore w:val="0"/>
        <w:numPr>
          <w:ilvl w:val="0"/>
          <w:numId w:val="35"/>
        </w:numPr>
        <w:kinsoku/>
        <w:overflowPunct/>
        <w:topLinePunct w:val="0"/>
        <w:autoSpaceDE/>
        <w:autoSpaceDN/>
        <w:bidi w:val="0"/>
        <w:adjustRightInd/>
        <w:snapToGrid/>
        <w:spacing w:line="560" w:lineRule="exact"/>
        <w:ind w:firstLine="480" w:firstLineChars="200"/>
        <w:textAlignment w:val="auto"/>
        <w:rPr>
          <w:rFonts w:hint="eastAsia" w:ascii="宋体" w:hAnsi="宋体" w:cs="宋体"/>
          <w:bCs/>
          <w:color w:val="auto"/>
          <w:sz w:val="24"/>
          <w:highlight w:val="none"/>
          <w:lang w:eastAsia="zh-CN"/>
        </w:rPr>
      </w:pP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支付租金的计租面积以经双方确认的项目红线范围内厂房及配套综合楼（不含</w:t>
      </w:r>
      <w:r>
        <w:rPr>
          <w:rFonts w:hint="eastAsia" w:ascii="宋体" w:hAnsi="宋体" w:cs="宋体"/>
          <w:bCs/>
          <w:color w:val="auto"/>
          <w:sz w:val="24"/>
          <w:highlight w:val="none"/>
          <w:lang w:val="en-US" w:eastAsia="zh-CN"/>
        </w:rPr>
        <w:t>地下</w:t>
      </w:r>
      <w:r>
        <w:rPr>
          <w:rFonts w:hint="eastAsia" w:ascii="宋体" w:hAnsi="宋体" w:cs="宋体"/>
          <w:bCs/>
          <w:color w:val="auto"/>
          <w:sz w:val="24"/>
          <w:highlight w:val="none"/>
        </w:rPr>
        <w:t>停车场）的可租赁的不动产权证载明的建筑面积为准。根据合同约定在项目已进入运营期但未取得相关权属证书期间，确定物业月兜底收益的计租面积优先顺序如下：①经甲方盖章确认后的竣工图所示物业建筑面积；②根据经双方确认的施工图所计算得出物业建筑面积；③甲方开展本项目前委托第三方机构出具的可行性研究报告上的建筑面积</w:t>
      </w:r>
      <w:r>
        <w:rPr>
          <w:rFonts w:hint="eastAsia" w:ascii="宋体" w:hAnsi="宋体" w:cs="宋体"/>
          <w:bCs/>
          <w:color w:val="auto"/>
          <w:sz w:val="24"/>
          <w:highlight w:val="none"/>
          <w:lang w:eastAsia="zh-CN"/>
        </w:rPr>
        <w:t>。</w:t>
      </w:r>
    </w:p>
    <w:p w14:paraId="21133E14">
      <w:pPr>
        <w:pStyle w:val="17"/>
        <w:keepNext w:val="0"/>
        <w:keepLines w:val="0"/>
        <w:pageBreakBefore w:val="0"/>
        <w:numPr>
          <w:ilvl w:val="0"/>
          <w:numId w:val="0"/>
        </w:numPr>
        <w:kinsoku/>
        <w:overflowPunct/>
        <w:topLinePunct w:val="0"/>
        <w:autoSpaceDE/>
        <w:autoSpaceDN/>
        <w:bidi w:val="0"/>
        <w:adjustRightInd/>
        <w:snapToGrid/>
        <w:spacing w:line="560" w:lineRule="exact"/>
        <w:ind w:firstLine="480" w:firstLineChars="200"/>
        <w:textAlignment w:val="auto"/>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非建筑面积不列入计租范围，但乙方就对于园区内不列入计租范围的场地仍有管理义务。</w:t>
      </w:r>
    </w:p>
    <w:p w14:paraId="200DFD49">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color w:val="auto"/>
          <w:sz w:val="24"/>
          <w:highlight w:val="none"/>
        </w:rPr>
      </w:pPr>
      <w:r>
        <w:rPr>
          <w:rFonts w:hint="eastAsia" w:ascii="宋体" w:hAnsi="宋体"/>
          <w:b/>
          <w:color w:val="auto"/>
          <w:sz w:val="24"/>
          <w:highlight w:val="none"/>
        </w:rPr>
        <w:t>第四部分：物业维修</w:t>
      </w:r>
    </w:p>
    <w:p w14:paraId="028476BD">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rPr>
        <w:t>第十</w:t>
      </w:r>
      <w:r>
        <w:rPr>
          <w:rFonts w:hint="eastAsia" w:ascii="宋体" w:hAnsi="宋体"/>
          <w:color w:val="auto"/>
          <w:sz w:val="24"/>
          <w:highlight w:val="none"/>
          <w:lang w:val="en-US" w:eastAsia="zh-CN"/>
        </w:rPr>
        <w:t>八</w:t>
      </w:r>
      <w:r>
        <w:rPr>
          <w:rFonts w:hint="eastAsia" w:ascii="宋体" w:hAnsi="宋体"/>
          <w:color w:val="auto"/>
          <w:sz w:val="24"/>
          <w:highlight w:val="none"/>
        </w:rPr>
        <w:t>条  厂房、宿舍（含首层商铺）及其配套设施的地基基础或主体结构工程遭受不可抗力损坏，乙方必须立即通知甲方，共同查明原因，如双方有异议，则共同委托有关单位作出鉴定，分清责任。</w:t>
      </w:r>
      <w:r>
        <w:rPr>
          <w:rFonts w:hint="eastAsia" w:ascii="宋体" w:hAnsi="宋体"/>
          <w:color w:val="auto"/>
          <w:sz w:val="24"/>
          <w:highlight w:val="none"/>
          <w:lang w:val="en-US" w:eastAsia="zh-CN"/>
        </w:rPr>
        <w:t>如因地基基础或主体结构受损严重需要修缮，导致乙方无法正常出租、营业或者居住连续超过30天，对受损场地的租金事宜减免事宜，由甲方、乙方另行协商，如乙方没有因此遭受租金收益受损情形除外。</w:t>
      </w:r>
    </w:p>
    <w:p w14:paraId="01BA02E6">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第十</w:t>
      </w:r>
      <w:r>
        <w:rPr>
          <w:rFonts w:hint="eastAsia" w:ascii="宋体" w:hAnsi="宋体"/>
          <w:color w:val="auto"/>
          <w:sz w:val="24"/>
          <w:highlight w:val="none"/>
          <w:lang w:val="en-US" w:eastAsia="zh-CN"/>
        </w:rPr>
        <w:t>九</w:t>
      </w:r>
      <w:r>
        <w:rPr>
          <w:rFonts w:hint="eastAsia" w:ascii="宋体" w:hAnsi="宋体"/>
          <w:color w:val="auto"/>
          <w:sz w:val="24"/>
          <w:highlight w:val="none"/>
        </w:rPr>
        <w:t>条  产业园供电系统建设由甲方承担，乙方应对产业园用电配置及设备使用等全面负责，确保供电系统的安全，因供电系统管理产生的全部责任均由乙方自行承担。</w:t>
      </w:r>
    </w:p>
    <w:p w14:paraId="31E0406E">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p>
    <w:p w14:paraId="06B4F96C">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b/>
          <w:color w:val="auto"/>
          <w:sz w:val="24"/>
          <w:highlight w:val="none"/>
        </w:rPr>
      </w:pPr>
      <w:r>
        <w:rPr>
          <w:rFonts w:hint="eastAsia" w:ascii="宋体" w:hAnsi="宋体"/>
          <w:b/>
          <w:color w:val="auto"/>
          <w:sz w:val="24"/>
          <w:highlight w:val="none"/>
        </w:rPr>
        <w:t>第五部分：权利和义务</w:t>
      </w:r>
    </w:p>
    <w:p w14:paraId="65B38F6C">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第</w:t>
      </w:r>
      <w:r>
        <w:rPr>
          <w:rFonts w:hint="eastAsia" w:ascii="宋体" w:hAnsi="宋体"/>
          <w:color w:val="auto"/>
          <w:sz w:val="24"/>
          <w:highlight w:val="none"/>
          <w:lang w:val="en-US" w:eastAsia="zh-CN"/>
        </w:rPr>
        <w:t>二十</w:t>
      </w:r>
      <w:r>
        <w:rPr>
          <w:rFonts w:hint="eastAsia" w:ascii="宋体" w:hAnsi="宋体"/>
          <w:color w:val="auto"/>
          <w:sz w:val="24"/>
          <w:highlight w:val="none"/>
        </w:rPr>
        <w:t>条  甲方的权利和义务</w:t>
      </w:r>
    </w:p>
    <w:p w14:paraId="6C7F4CC7">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、甲方有权按照约定向乙方收取租金</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管理费、租金收益固定分成</w:t>
      </w:r>
      <w:r>
        <w:rPr>
          <w:rFonts w:hint="eastAsia" w:ascii="宋体" w:hAnsi="宋体"/>
          <w:color w:val="auto"/>
          <w:sz w:val="24"/>
          <w:highlight w:val="none"/>
        </w:rPr>
        <w:t>。</w:t>
      </w:r>
    </w:p>
    <w:p w14:paraId="2B682437">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、甲方有权对租赁物业范围内的厂房、宿舍（含首层商铺）及其配套设施的使用情况进行检查监督，但不能影响园区企业的正常生产、经营及员工的正常生活。</w:t>
      </w:r>
    </w:p>
    <w:p w14:paraId="3BF5A7A4">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3</w:t>
      </w:r>
      <w:r>
        <w:rPr>
          <w:rFonts w:hint="eastAsia" w:ascii="宋体" w:hAnsi="宋体"/>
          <w:color w:val="auto"/>
          <w:sz w:val="24"/>
          <w:highlight w:val="none"/>
        </w:rPr>
        <w:t>、甲方应按本合同约定的时间、方式交付</w:t>
      </w:r>
      <w:r>
        <w:rPr>
          <w:rFonts w:hint="eastAsia" w:ascii="宋体" w:hAnsi="宋体"/>
          <w:color w:val="auto"/>
          <w:sz w:val="24"/>
          <w:highlight w:val="none"/>
          <w:lang w:val="en-US" w:eastAsia="zh-CN"/>
        </w:rPr>
        <w:t>本项目各期</w:t>
      </w:r>
      <w:r>
        <w:rPr>
          <w:rFonts w:hint="eastAsia" w:ascii="宋体" w:hAnsi="宋体"/>
          <w:color w:val="auto"/>
          <w:sz w:val="24"/>
          <w:highlight w:val="none"/>
        </w:rPr>
        <w:t>厂房、宿舍（含首层商铺）及配套设施</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以建设规划为准</w:t>
      </w:r>
      <w:r>
        <w:rPr>
          <w:rFonts w:hint="eastAsia" w:ascii="宋体" w:hAnsi="宋体"/>
          <w:color w:val="auto"/>
          <w:sz w:val="24"/>
          <w:highlight w:val="none"/>
          <w:lang w:eastAsia="zh-CN"/>
        </w:rPr>
        <w:t>）</w:t>
      </w:r>
      <w:r>
        <w:rPr>
          <w:rFonts w:hint="eastAsia" w:ascii="宋体" w:hAnsi="宋体"/>
          <w:color w:val="auto"/>
          <w:sz w:val="24"/>
          <w:highlight w:val="none"/>
        </w:rPr>
        <w:t>。</w:t>
      </w:r>
    </w:p>
    <w:p w14:paraId="2E7B2536">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、甲方对乙方在园</w:t>
      </w:r>
      <w:r>
        <w:rPr>
          <w:rFonts w:hint="eastAsia" w:ascii="宋体" w:hAnsi="宋体"/>
          <w:color w:val="auto"/>
          <w:sz w:val="24"/>
          <w:highlight w:val="none"/>
          <w:lang w:val="en-US" w:eastAsia="zh-CN"/>
        </w:rPr>
        <w:t>区</w:t>
      </w:r>
      <w:r>
        <w:rPr>
          <w:rFonts w:hint="eastAsia" w:ascii="宋体" w:hAnsi="宋体"/>
          <w:color w:val="auto"/>
          <w:sz w:val="24"/>
          <w:highlight w:val="none"/>
        </w:rPr>
        <w:t>内合法守章的经营管理活动不得进行干涉妨碍。</w:t>
      </w:r>
    </w:p>
    <w:p w14:paraId="09EE4D8B">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、除不可抗力及合同约定条款外，合同期内，甲方不得单方收回厂房、宿舍及产业园整体经营管理权。</w:t>
      </w:r>
    </w:p>
    <w:p w14:paraId="37EEFE93">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、根据乙方的请求，积极协助乙方解决经营活动中的困难和问题。在办理相关手续时，</w:t>
      </w:r>
      <w:r>
        <w:rPr>
          <w:rFonts w:hint="eastAsia" w:ascii="宋体" w:hAnsi="宋体"/>
          <w:color w:val="auto"/>
          <w:sz w:val="24"/>
          <w:highlight w:val="none"/>
          <w:lang w:val="en-US" w:eastAsia="zh-CN"/>
        </w:rPr>
        <w:t>在不损害甲方利益的情况下，</w:t>
      </w:r>
      <w:r>
        <w:rPr>
          <w:rFonts w:hint="eastAsia" w:ascii="宋体" w:hAnsi="宋体"/>
          <w:color w:val="auto"/>
          <w:sz w:val="24"/>
          <w:highlight w:val="none"/>
        </w:rPr>
        <w:t>甲方必须给予配合。</w:t>
      </w:r>
    </w:p>
    <w:p w14:paraId="1AB91443">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、租赁期间，甲方不得另行出租乙方租赁的厂房、宿舍（含首层商铺）配套设施及场地，否则构成根本性违约。乙方可单方面解除本合同，由此造成的违约责任由甲方负责。</w:t>
      </w:r>
    </w:p>
    <w:p w14:paraId="66FA7355">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、在本合同签订后，如厂房、宿舍（含首层商铺）的所有权发生变更，甲方应提前</w:t>
      </w:r>
      <w:r>
        <w:rPr>
          <w:rFonts w:hint="eastAsia" w:ascii="宋体" w:hAnsi="宋体"/>
          <w:color w:val="auto"/>
          <w:sz w:val="24"/>
          <w:highlight w:val="none"/>
          <w:lang w:val="en-US" w:eastAsia="zh-CN"/>
        </w:rPr>
        <w:t>三</w:t>
      </w:r>
      <w:r>
        <w:rPr>
          <w:rFonts w:hint="eastAsia" w:ascii="宋体" w:hAnsi="宋体"/>
          <w:color w:val="auto"/>
          <w:sz w:val="24"/>
          <w:highlight w:val="none"/>
        </w:rPr>
        <w:t>个月书面通知乙方，但房屋所有权的变更不影响本合同的履行。否则，因此而引起的损失由甲方承担。</w:t>
      </w:r>
    </w:p>
    <w:p w14:paraId="560CCB16">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9</w:t>
      </w:r>
      <w:r>
        <w:rPr>
          <w:rFonts w:hint="eastAsia" w:ascii="宋体" w:hAnsi="宋体"/>
          <w:color w:val="auto"/>
          <w:sz w:val="24"/>
          <w:highlight w:val="none"/>
        </w:rPr>
        <w:t>、租赁期间，</w:t>
      </w:r>
      <w:r>
        <w:rPr>
          <w:rFonts w:hint="eastAsia" w:ascii="宋体" w:hAnsi="宋体"/>
          <w:color w:val="auto"/>
          <w:sz w:val="24"/>
          <w:highlight w:val="none"/>
          <w:lang w:val="en-US" w:eastAsia="zh-CN"/>
        </w:rPr>
        <w:t>乙方同意甲方对物业进行抵押，但不得影响乙方的正常使用，</w:t>
      </w:r>
      <w:r>
        <w:rPr>
          <w:rFonts w:hint="eastAsia" w:ascii="宋体" w:hAnsi="宋体"/>
          <w:color w:val="auto"/>
          <w:sz w:val="24"/>
          <w:highlight w:val="none"/>
        </w:rPr>
        <w:t>若因甲方将租赁给乙方的物业进行抵押造成乙方</w:t>
      </w:r>
      <w:r>
        <w:rPr>
          <w:rFonts w:hint="eastAsia" w:ascii="宋体" w:hAnsi="宋体"/>
          <w:color w:val="auto"/>
          <w:sz w:val="24"/>
          <w:highlight w:val="none"/>
          <w:lang w:val="en-US" w:eastAsia="zh-CN"/>
        </w:rPr>
        <w:t>实际</w:t>
      </w:r>
      <w:r>
        <w:rPr>
          <w:rFonts w:hint="eastAsia" w:ascii="宋体" w:hAnsi="宋体"/>
          <w:color w:val="auto"/>
          <w:sz w:val="24"/>
          <w:highlight w:val="none"/>
        </w:rPr>
        <w:t>损失，乙方有权要求甲方赔偿因此而造成的实际损失和可预见的损失，并可单方面解除本合同。</w:t>
      </w:r>
    </w:p>
    <w:p w14:paraId="4711F321">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10</w:t>
      </w:r>
      <w:r>
        <w:rPr>
          <w:rFonts w:hint="eastAsia" w:ascii="宋体" w:hAnsi="宋体"/>
          <w:color w:val="auto"/>
          <w:sz w:val="24"/>
          <w:highlight w:val="none"/>
        </w:rPr>
        <w:t>、租赁期间，物业由</w:t>
      </w:r>
      <w:r>
        <w:rPr>
          <w:rFonts w:hint="eastAsia" w:ascii="宋体" w:hAnsi="宋体"/>
          <w:color w:val="auto"/>
          <w:sz w:val="24"/>
          <w:highlight w:val="none"/>
          <w:lang w:val="en-US" w:eastAsia="zh-CN"/>
        </w:rPr>
        <w:t>乙</w:t>
      </w:r>
      <w:r>
        <w:rPr>
          <w:rFonts w:hint="eastAsia" w:ascii="宋体" w:hAnsi="宋体"/>
          <w:color w:val="auto"/>
          <w:sz w:val="24"/>
          <w:highlight w:val="none"/>
        </w:rPr>
        <w:t>方购买房屋财产险。若</w:t>
      </w:r>
      <w:r>
        <w:rPr>
          <w:rFonts w:hint="eastAsia" w:ascii="宋体" w:hAnsi="宋体"/>
          <w:color w:val="auto"/>
          <w:sz w:val="24"/>
          <w:highlight w:val="none"/>
          <w:lang w:val="en-US" w:eastAsia="zh-CN"/>
        </w:rPr>
        <w:t>乙</w:t>
      </w:r>
      <w:r>
        <w:rPr>
          <w:rFonts w:hint="eastAsia" w:ascii="宋体" w:hAnsi="宋体"/>
          <w:color w:val="auto"/>
          <w:sz w:val="24"/>
          <w:highlight w:val="none"/>
        </w:rPr>
        <w:t>方未履行此义务，</w:t>
      </w:r>
      <w:r>
        <w:rPr>
          <w:rFonts w:hint="eastAsia" w:ascii="宋体" w:hAnsi="宋体"/>
          <w:color w:val="auto"/>
          <w:sz w:val="24"/>
          <w:highlight w:val="none"/>
          <w:lang w:val="en-US" w:eastAsia="zh-CN"/>
        </w:rPr>
        <w:t>甲</w:t>
      </w:r>
      <w:r>
        <w:rPr>
          <w:rFonts w:hint="eastAsia" w:ascii="宋体" w:hAnsi="宋体"/>
          <w:color w:val="auto"/>
          <w:sz w:val="24"/>
          <w:highlight w:val="none"/>
        </w:rPr>
        <w:t>方代为办理，</w:t>
      </w:r>
      <w:r>
        <w:rPr>
          <w:rFonts w:hint="eastAsia" w:ascii="宋体" w:hAnsi="宋体"/>
          <w:color w:val="auto"/>
          <w:sz w:val="24"/>
          <w:highlight w:val="none"/>
          <w:lang w:val="en-US" w:eastAsia="zh-CN"/>
        </w:rPr>
        <w:t>因此产生的费用由乙方承担</w:t>
      </w:r>
      <w:r>
        <w:rPr>
          <w:rFonts w:hint="eastAsia" w:ascii="宋体" w:hAnsi="宋体"/>
          <w:color w:val="auto"/>
          <w:sz w:val="24"/>
          <w:highlight w:val="none"/>
        </w:rPr>
        <w:t>。</w:t>
      </w:r>
    </w:p>
    <w:p w14:paraId="1364A773">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11</w:t>
      </w:r>
      <w:r>
        <w:rPr>
          <w:rFonts w:hint="eastAsia" w:ascii="宋体" w:hAnsi="宋体"/>
          <w:color w:val="auto"/>
          <w:sz w:val="24"/>
          <w:highlight w:val="none"/>
        </w:rPr>
        <w:t>、在本合同租赁期间，甲方应承担房产税、土地使用费等依法由甲方承担的相关费用，甲方收取乙方的租金</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管理费</w:t>
      </w:r>
      <w:r>
        <w:rPr>
          <w:rFonts w:hint="eastAsia" w:ascii="宋体" w:hAnsi="宋体"/>
          <w:color w:val="auto"/>
          <w:sz w:val="24"/>
          <w:highlight w:val="none"/>
        </w:rPr>
        <w:t>后，向乙方开具正式的增值税专用发票。</w:t>
      </w:r>
    </w:p>
    <w:p w14:paraId="196A60E0">
      <w:pPr>
        <w:pStyle w:val="17"/>
        <w:keepNext w:val="0"/>
        <w:keepLines w:val="0"/>
        <w:pageBreakBefore w:val="0"/>
        <w:kinsoku/>
        <w:overflowPunct/>
        <w:topLinePunct w:val="0"/>
        <w:autoSpaceDE/>
        <w:autoSpaceDN/>
        <w:bidi w:val="0"/>
        <w:adjustRightInd/>
        <w:snapToGrid/>
        <w:spacing w:line="560" w:lineRule="exact"/>
        <w:ind w:firstLine="480"/>
        <w:textAlignment w:val="auto"/>
        <w:rPr>
          <w:rFonts w:hint="eastAsia" w:ascii="宋体" w:hAnsi="宋体"/>
          <w:color w:val="auto"/>
          <w:sz w:val="24"/>
          <w:highlight w:val="none"/>
          <w:lang w:val="en-US" w:eastAsia="zh-CN"/>
        </w:rPr>
      </w:pPr>
      <w:r>
        <w:rPr>
          <w:rFonts w:hint="eastAsia" w:ascii="宋体" w:hAnsi="宋体" w:eastAsia="宋体"/>
          <w:color w:val="auto"/>
          <w:sz w:val="24"/>
          <w:highlight w:val="none"/>
          <w:lang w:val="en-US" w:eastAsia="zh-CN"/>
        </w:rPr>
        <w:t>12、甲方协调相关职能部门，尽可能为园内的企业或人员提供流动人员管理服务登记、工商登记、劳动保障等方面的便利服务</w:t>
      </w:r>
      <w:r>
        <w:rPr>
          <w:rFonts w:hint="eastAsia" w:ascii="宋体" w:hAnsi="宋体"/>
          <w:color w:val="auto"/>
          <w:sz w:val="24"/>
          <w:highlight w:val="none"/>
          <w:lang w:val="en-US" w:eastAsia="zh-CN"/>
        </w:rPr>
        <w:t>，乙方知悉甲方仅为协调，最终以相关部门实际处理为准。</w:t>
      </w:r>
    </w:p>
    <w:p w14:paraId="18C180AD">
      <w:pPr>
        <w:pStyle w:val="17"/>
        <w:keepNext w:val="0"/>
        <w:keepLines w:val="0"/>
        <w:pageBreakBefore w:val="0"/>
        <w:kinsoku/>
        <w:overflowPunct/>
        <w:topLinePunct w:val="0"/>
        <w:autoSpaceDE/>
        <w:autoSpaceDN/>
        <w:bidi w:val="0"/>
        <w:adjustRightInd/>
        <w:snapToGrid/>
        <w:spacing w:line="560" w:lineRule="exact"/>
        <w:ind w:firstLine="48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13、甲方有权根据项目资金情况以及每期招商情况，决定项目每期建设开发动工的合理时间。</w:t>
      </w:r>
    </w:p>
    <w:p w14:paraId="40593F07">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第</w:t>
      </w:r>
      <w:r>
        <w:rPr>
          <w:rFonts w:hint="eastAsia" w:ascii="宋体" w:hAnsi="宋体"/>
          <w:color w:val="auto"/>
          <w:sz w:val="24"/>
          <w:highlight w:val="none"/>
          <w:lang w:val="en-US" w:eastAsia="zh-CN"/>
        </w:rPr>
        <w:t>二十一</w:t>
      </w:r>
      <w:r>
        <w:rPr>
          <w:rFonts w:hint="eastAsia" w:ascii="宋体" w:hAnsi="宋体"/>
          <w:color w:val="auto"/>
          <w:sz w:val="24"/>
          <w:highlight w:val="none"/>
        </w:rPr>
        <w:t>条 乙方的权利和义务</w:t>
      </w:r>
    </w:p>
    <w:p w14:paraId="6A1E3ACA">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r>
        <w:rPr>
          <w:rFonts w:hint="eastAsia" w:ascii="宋体" w:hAnsi="宋体"/>
          <w:color w:val="auto"/>
          <w:sz w:val="24"/>
          <w:highlight w:val="none"/>
        </w:rPr>
        <w:t>、乙方有义务按照本合同约定的时间、方式和金额向甲方支付租金</w:t>
      </w:r>
      <w:r>
        <w:rPr>
          <w:rFonts w:hint="eastAsia" w:ascii="宋体" w:hAnsi="宋体"/>
          <w:color w:val="auto"/>
          <w:sz w:val="24"/>
          <w:highlight w:val="none"/>
          <w:lang w:val="en-US" w:eastAsia="zh-CN"/>
        </w:rPr>
        <w:t>、管理费、</w:t>
      </w:r>
      <w:r>
        <w:rPr>
          <w:rFonts w:hint="eastAsia" w:ascii="宋体" w:hAnsi="宋体" w:cs="Times New Roman"/>
          <w:bCs w:val="0"/>
          <w:color w:val="auto"/>
          <w:kern w:val="2"/>
          <w:sz w:val="24"/>
          <w:szCs w:val="24"/>
          <w:highlight w:val="none"/>
          <w:lang w:val="en-US" w:eastAsia="zh-CN" w:bidi="ar-SA"/>
        </w:rPr>
        <w:t>租金收益固定分成。</w:t>
      </w:r>
    </w:p>
    <w:p w14:paraId="49C4F858">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w:t>
      </w:r>
      <w:r>
        <w:rPr>
          <w:rFonts w:hint="eastAsia" w:ascii="宋体" w:hAnsi="宋体"/>
          <w:color w:val="auto"/>
          <w:sz w:val="24"/>
          <w:highlight w:val="none"/>
        </w:rPr>
        <w:t>、乙方在遵守</w:t>
      </w:r>
      <w:r>
        <w:rPr>
          <w:rFonts w:hint="eastAsia" w:ascii="宋体" w:hAnsi="宋体"/>
          <w:color w:val="auto"/>
          <w:sz w:val="24"/>
          <w:highlight w:val="none"/>
          <w:lang w:val="en-US" w:eastAsia="zh-CN"/>
        </w:rPr>
        <w:t>法律规定、政府政策以及</w:t>
      </w:r>
      <w:r>
        <w:rPr>
          <w:rFonts w:hint="eastAsia" w:ascii="宋体" w:hAnsi="宋体"/>
          <w:color w:val="auto"/>
          <w:sz w:val="24"/>
          <w:highlight w:val="none"/>
        </w:rPr>
        <w:t>本合同各项条款的前提下，对产业园及其承租的厂房、宿舍（含首层商铺）配套设施及场地拥有完全、充分的使用权、转租权、经营管理权和收益权，并妥善管理和使用本合同项下的租赁物。</w:t>
      </w:r>
      <w:r>
        <w:rPr>
          <w:rFonts w:hint="eastAsia" w:ascii="宋体" w:hAnsi="宋体"/>
          <w:color w:val="auto"/>
          <w:sz w:val="24"/>
          <w:highlight w:val="none"/>
          <w:lang w:val="en-US" w:eastAsia="zh-CN"/>
        </w:rPr>
        <w:t>未经甲方书面同意，乙方不得以任何名义、理由向园区企业或者承租人预收超过1年的租金、管理费或者场地使用对价的费用。</w:t>
      </w:r>
    </w:p>
    <w:p w14:paraId="30B90355">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、乙方有权按照合同约定要求甲方按时保质的移交本合同项下所列厂房、宿舍（含首层商铺）及配套设施，并可逐项进行检查验收及签署交付确认书。</w:t>
      </w:r>
    </w:p>
    <w:p w14:paraId="7B6F059B">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、乙方在办理招商及有关的立项、报关、开业等手续，需要当地行政主管部门支持时，有权要求甲方给予配合、协助。</w:t>
      </w:r>
    </w:p>
    <w:p w14:paraId="49934CCB">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、租赁期间，乙方对产业园的全部物业及场地享有经营权、管理权，并有权委托第三方进行专业的物业管理和按照相关的服务类别进行收费</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并承诺该收费标准符合市场标准</w:t>
      </w:r>
      <w:r>
        <w:rPr>
          <w:rFonts w:hint="eastAsia" w:ascii="宋体" w:hAnsi="宋体"/>
          <w:color w:val="auto"/>
          <w:sz w:val="24"/>
          <w:highlight w:val="none"/>
        </w:rPr>
        <w:t>。完善产业园区经营管理规章制度及园区物业管理机制，明确资金管理制度，建立标准化、节约化的产业园区经营管理体系。并对园区提供长效管养服务</w:t>
      </w:r>
      <w:r>
        <w:rPr>
          <w:rFonts w:hint="eastAsia" w:ascii="宋体" w:hAnsi="宋体"/>
          <w:color w:val="auto"/>
          <w:sz w:val="24"/>
          <w:highlight w:val="none"/>
          <w:lang w:eastAsia="zh-CN"/>
        </w:rPr>
        <w:t>。</w:t>
      </w:r>
    </w:p>
    <w:p w14:paraId="35D6893C">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、乙方拥有重新命名产业园和在任何时候改变、替换或取代原有名称的权利，而无须对甲方做出任何补偿</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该命名不得侵害第三方知识产权。因此产生的侵权责任由乙方自行承担</w:t>
      </w:r>
      <w:r>
        <w:rPr>
          <w:rFonts w:hint="eastAsia" w:ascii="宋体" w:hAnsi="宋体"/>
          <w:color w:val="auto"/>
          <w:sz w:val="24"/>
          <w:highlight w:val="none"/>
        </w:rPr>
        <w:t>。新命名的产业园继续沿袭本合同，本合同约定的权利义务对双方仍然有效。但乙方在行使该种权利时，应提前通知甲方。乙方行使该项权利时，不得违反法律、法规、政策的强制性规定以及甲方合法利益。</w:t>
      </w:r>
    </w:p>
    <w:p w14:paraId="5D235F7C">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、租赁期满，乙方如需继续租赁厂房、宿舍（含首层商铺）及其配套设施，应</w:t>
      </w:r>
      <w:r>
        <w:rPr>
          <w:rFonts w:hint="eastAsia" w:ascii="宋体" w:hAnsi="宋体"/>
          <w:color w:val="auto"/>
          <w:sz w:val="24"/>
          <w:highlight w:val="none"/>
          <w:lang w:val="en-US" w:eastAsia="zh-CN"/>
        </w:rPr>
        <w:t>在</w:t>
      </w:r>
      <w:r>
        <w:rPr>
          <w:rFonts w:hint="eastAsia" w:ascii="宋体" w:hAnsi="宋体"/>
          <w:color w:val="auto"/>
          <w:sz w:val="24"/>
          <w:highlight w:val="none"/>
        </w:rPr>
        <w:t>租赁期满前</w:t>
      </w:r>
      <w:r>
        <w:rPr>
          <w:rFonts w:hint="eastAsia" w:ascii="宋体" w:hAnsi="宋体"/>
          <w:color w:val="auto"/>
          <w:sz w:val="24"/>
          <w:highlight w:val="none"/>
          <w:u w:val="single"/>
          <w:lang w:val="en-US" w:eastAsia="zh-CN"/>
        </w:rPr>
        <w:t>12</w:t>
      </w:r>
      <w:r>
        <w:rPr>
          <w:rFonts w:hint="eastAsia" w:ascii="宋体" w:hAnsi="宋体"/>
          <w:color w:val="auto"/>
          <w:sz w:val="24"/>
          <w:highlight w:val="none"/>
        </w:rPr>
        <w:t>个月向甲方提出书面的续约请求，在同等条件下，乙方享有优先租赁权</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如按照政府管理要求或者甲方自身管理需要，需要通过招投标方式进行物业招租，乙方对此不得持有异议</w:t>
      </w:r>
      <w:r>
        <w:rPr>
          <w:rFonts w:hint="eastAsia" w:ascii="宋体" w:hAnsi="宋体"/>
          <w:color w:val="auto"/>
          <w:sz w:val="24"/>
          <w:highlight w:val="none"/>
        </w:rPr>
        <w:t>。</w:t>
      </w:r>
    </w:p>
    <w:p w14:paraId="2F5AACC2">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、租赁期间，乙方不得单方面改变</w:t>
      </w:r>
      <w:r>
        <w:rPr>
          <w:rFonts w:hint="eastAsia" w:ascii="宋体" w:hAnsi="宋体"/>
          <w:color w:val="auto"/>
          <w:sz w:val="24"/>
          <w:highlight w:val="none"/>
          <w:lang w:eastAsia="zh-CN"/>
        </w:rPr>
        <w:t>物业</w:t>
      </w:r>
      <w:r>
        <w:rPr>
          <w:rFonts w:hint="eastAsia" w:ascii="宋体" w:hAnsi="宋体"/>
          <w:color w:val="auto"/>
          <w:sz w:val="24"/>
          <w:highlight w:val="none"/>
        </w:rPr>
        <w:t>的主体结构，如没有得到甲方同意而改变的,其后果由乙方承担</w:t>
      </w:r>
      <w:r>
        <w:rPr>
          <w:rFonts w:hint="eastAsia" w:ascii="宋体" w:hAnsi="宋体"/>
          <w:color w:val="auto"/>
          <w:sz w:val="24"/>
          <w:highlight w:val="none"/>
          <w:lang w:eastAsia="zh-CN"/>
        </w:rPr>
        <w:t>，甲方有权要求乙方恢复原状</w:t>
      </w:r>
      <w:r>
        <w:rPr>
          <w:rFonts w:hint="eastAsia" w:ascii="宋体" w:hAnsi="宋体"/>
          <w:color w:val="auto"/>
          <w:sz w:val="24"/>
          <w:highlight w:val="none"/>
        </w:rPr>
        <w:t xml:space="preserve">。     </w:t>
      </w:r>
    </w:p>
    <w:p w14:paraId="0D05E41E">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9</w:t>
      </w:r>
      <w:r>
        <w:rPr>
          <w:rFonts w:hint="eastAsia" w:ascii="宋体" w:hAnsi="宋体"/>
          <w:color w:val="auto"/>
          <w:sz w:val="24"/>
          <w:highlight w:val="none"/>
        </w:rPr>
        <w:t>、租赁期间，</w:t>
      </w:r>
      <w:r>
        <w:rPr>
          <w:rFonts w:hint="eastAsia" w:ascii="宋体" w:hAnsi="宋体"/>
          <w:color w:val="auto"/>
          <w:sz w:val="24"/>
          <w:highlight w:val="none"/>
          <w:lang w:val="en-US" w:eastAsia="zh-CN"/>
        </w:rPr>
        <w:t>因经营、管理产业园产生的风险、费用由乙方自行承担。</w:t>
      </w:r>
      <w:r>
        <w:rPr>
          <w:rFonts w:hint="eastAsia" w:ascii="宋体" w:hAnsi="宋体"/>
          <w:color w:val="auto"/>
          <w:sz w:val="24"/>
          <w:highlight w:val="none"/>
        </w:rPr>
        <w:t>乙方自行承担有关租赁</w:t>
      </w:r>
      <w:r>
        <w:rPr>
          <w:rFonts w:hint="eastAsia" w:ascii="宋体" w:hAnsi="宋体"/>
          <w:color w:val="auto"/>
          <w:sz w:val="24"/>
          <w:highlight w:val="none"/>
          <w:lang w:val="en-US" w:eastAsia="zh-CN"/>
        </w:rPr>
        <w:t>以及</w:t>
      </w:r>
      <w:r>
        <w:rPr>
          <w:rFonts w:hint="eastAsia" w:ascii="宋体" w:hAnsi="宋体"/>
          <w:color w:val="auto"/>
          <w:sz w:val="24"/>
          <w:highlight w:val="none"/>
        </w:rPr>
        <w:t>转租方面的经营性风险。租赁期内租赁物内所发生的包括但不限于实际租户欠薪、欠租、欠水电费</w:t>
      </w:r>
      <w:r>
        <w:rPr>
          <w:rFonts w:hint="eastAsia" w:ascii="宋体" w:hAnsi="宋体"/>
          <w:color w:val="auto"/>
          <w:sz w:val="24"/>
          <w:highlight w:val="none"/>
          <w:lang w:val="en-US" w:eastAsia="zh-CN"/>
        </w:rPr>
        <w:t>或者垃圾清运费、</w:t>
      </w:r>
      <w:r>
        <w:rPr>
          <w:rFonts w:hint="eastAsia" w:ascii="宋体" w:hAnsi="宋体"/>
          <w:color w:val="auto"/>
          <w:sz w:val="24"/>
          <w:highlight w:val="none"/>
        </w:rPr>
        <w:t>租户</w:t>
      </w:r>
      <w:r>
        <w:rPr>
          <w:rFonts w:hint="eastAsia" w:ascii="宋体" w:hAnsi="宋体"/>
          <w:color w:val="auto"/>
          <w:sz w:val="24"/>
          <w:highlight w:val="none"/>
          <w:lang w:val="en-US" w:eastAsia="zh-CN"/>
        </w:rPr>
        <w:t>违反经营导致场地无法使用</w:t>
      </w:r>
      <w:r>
        <w:rPr>
          <w:rFonts w:hint="eastAsia" w:ascii="宋体" w:hAnsi="宋体"/>
          <w:color w:val="auto"/>
          <w:sz w:val="24"/>
          <w:highlight w:val="none"/>
        </w:rPr>
        <w:t>等一切债权债务问题全部由乙方自行解决，与甲方无关，甲方不负任何经济和法律责任。</w:t>
      </w:r>
    </w:p>
    <w:p w14:paraId="04C6B33E">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10</w:t>
      </w:r>
      <w:r>
        <w:rPr>
          <w:rFonts w:hint="eastAsia" w:ascii="宋体" w:hAnsi="宋体"/>
          <w:color w:val="auto"/>
          <w:sz w:val="24"/>
          <w:highlight w:val="none"/>
        </w:rPr>
        <w:t>、本合同履行过程中，租赁物业范围内防火、安全生产、劳资纠纷等管理责任，均由乙方负责。</w:t>
      </w:r>
    </w:p>
    <w:p w14:paraId="29CDF75E">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11</w:t>
      </w:r>
      <w:r>
        <w:rPr>
          <w:rFonts w:hint="eastAsia" w:ascii="宋体" w:hAnsi="宋体"/>
          <w:color w:val="auto"/>
          <w:sz w:val="24"/>
          <w:highlight w:val="none"/>
        </w:rPr>
        <w:t>、租赁期间，乙方不得对租赁物业及配套设施进行抵押及其他担保行为，若违反本约定给甲方造成损失，由乙方承担全部责任。</w:t>
      </w:r>
    </w:p>
    <w:p w14:paraId="17781548">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lang w:eastAsia="zh-CN"/>
        </w:rPr>
      </w:pPr>
      <w:r>
        <w:rPr>
          <w:rFonts w:hint="eastAsia" w:ascii="宋体" w:hAnsi="宋体"/>
          <w:color w:val="auto"/>
          <w:sz w:val="24"/>
          <w:highlight w:val="none"/>
          <w:lang w:val="en-US" w:eastAsia="zh-CN"/>
        </w:rPr>
        <w:t>12、</w:t>
      </w:r>
      <w:r>
        <w:rPr>
          <w:rFonts w:hint="eastAsia" w:ascii="宋体" w:hAnsi="宋体"/>
          <w:color w:val="auto"/>
          <w:sz w:val="24"/>
          <w:highlight w:val="none"/>
        </w:rPr>
        <w:t>乙方</w:t>
      </w:r>
      <w:r>
        <w:rPr>
          <w:rFonts w:hint="eastAsia" w:ascii="宋体" w:hAnsi="宋体"/>
          <w:color w:val="auto"/>
          <w:sz w:val="24"/>
          <w:highlight w:val="none"/>
          <w:lang w:val="en-US" w:eastAsia="zh-CN"/>
        </w:rPr>
        <w:t>需严格按照法律法规，政府政策要求合法使用、管理园区，</w:t>
      </w:r>
      <w:r>
        <w:rPr>
          <w:rFonts w:hint="eastAsia" w:ascii="宋体" w:hAnsi="宋体"/>
          <w:color w:val="auto"/>
          <w:sz w:val="24"/>
          <w:highlight w:val="none"/>
        </w:rPr>
        <w:t>承担</w:t>
      </w:r>
      <w:r>
        <w:rPr>
          <w:rFonts w:hint="eastAsia" w:ascii="宋体" w:hAnsi="宋体"/>
          <w:color w:val="auto"/>
          <w:sz w:val="24"/>
          <w:highlight w:val="none"/>
          <w:lang w:val="en-US" w:eastAsia="zh-CN"/>
        </w:rPr>
        <w:t>园区</w:t>
      </w:r>
      <w:r>
        <w:rPr>
          <w:rFonts w:hint="eastAsia" w:ascii="宋体" w:hAnsi="宋体"/>
          <w:color w:val="auto"/>
          <w:sz w:val="24"/>
          <w:highlight w:val="none"/>
        </w:rPr>
        <w:t>范围内的管理与维护费用，负责公共区域消防通道、空地、绿地、景观养护及其清洁卫生维护</w:t>
      </w:r>
      <w:r>
        <w:rPr>
          <w:rFonts w:hint="eastAsia" w:ascii="宋体" w:hAnsi="宋体"/>
          <w:color w:val="auto"/>
          <w:sz w:val="24"/>
          <w:highlight w:val="none"/>
          <w:lang w:eastAsia="zh-CN"/>
        </w:rPr>
        <w:t>。</w:t>
      </w:r>
    </w:p>
    <w:p w14:paraId="66E8A1C6">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s="Times New Roman"/>
          <w:color w:val="auto"/>
          <w:kern w:val="2"/>
          <w:sz w:val="24"/>
          <w:szCs w:val="24"/>
          <w:highlight w:val="none"/>
          <w:lang w:val="en-US" w:eastAsia="zh-CN" w:bidi="ar-SA"/>
        </w:rPr>
      </w:pPr>
      <w:r>
        <w:rPr>
          <w:rFonts w:hint="eastAsia" w:ascii="宋体" w:hAnsi="宋体"/>
          <w:color w:val="auto"/>
          <w:sz w:val="24"/>
          <w:highlight w:val="none"/>
          <w:lang w:val="en-US" w:eastAsia="zh-CN"/>
        </w:rPr>
        <w:t>13、</w:t>
      </w:r>
      <w:r>
        <w:rPr>
          <w:rFonts w:hint="eastAsia" w:ascii="宋体" w:hAnsi="宋体"/>
          <w:color w:val="auto"/>
          <w:sz w:val="24"/>
          <w:highlight w:val="none"/>
        </w:rPr>
        <w:t>乙方负责</w:t>
      </w:r>
      <w:r>
        <w:rPr>
          <w:rFonts w:hint="eastAsia" w:ascii="宋体" w:hAnsi="宋体"/>
          <w:color w:val="auto"/>
          <w:sz w:val="24"/>
          <w:highlight w:val="none"/>
          <w:lang w:val="en-US" w:eastAsia="zh-CN"/>
        </w:rPr>
        <w:t>园区范围内的</w:t>
      </w:r>
      <w:r>
        <w:rPr>
          <w:rFonts w:hint="eastAsia" w:ascii="宋体" w:hAnsi="宋体"/>
          <w:color w:val="auto"/>
          <w:sz w:val="24"/>
          <w:highlight w:val="none"/>
        </w:rPr>
        <w:t>安保、维修、绿化、垃圾收集与处理等日常管理工作</w:t>
      </w:r>
      <w:r>
        <w:rPr>
          <w:rFonts w:hint="eastAsia" w:ascii="宋体" w:hAnsi="宋体"/>
          <w:color w:val="auto"/>
          <w:sz w:val="24"/>
          <w:highlight w:val="none"/>
          <w:lang w:eastAsia="zh-CN"/>
        </w:rPr>
        <w:t>，</w:t>
      </w:r>
      <w:r>
        <w:rPr>
          <w:rFonts w:hint="eastAsia" w:ascii="宋体" w:hAnsi="宋体" w:eastAsia="宋体" w:cs="Times New Roman"/>
          <w:color w:val="auto"/>
          <w:kern w:val="2"/>
          <w:sz w:val="24"/>
          <w:szCs w:val="24"/>
          <w:highlight w:val="none"/>
          <w:lang w:val="en-US" w:eastAsia="zh-CN" w:bidi="ar-SA"/>
        </w:rPr>
        <w:t>负责</w:t>
      </w:r>
      <w:r>
        <w:rPr>
          <w:rFonts w:hint="eastAsia" w:ascii="宋体" w:hAnsi="宋体" w:cs="Times New Roman"/>
          <w:color w:val="auto"/>
          <w:kern w:val="2"/>
          <w:sz w:val="24"/>
          <w:szCs w:val="24"/>
          <w:highlight w:val="none"/>
          <w:lang w:val="en-US" w:eastAsia="zh-CN" w:bidi="ar-SA"/>
        </w:rPr>
        <w:t>项目</w:t>
      </w:r>
      <w:r>
        <w:rPr>
          <w:rFonts w:hint="eastAsia" w:ascii="宋体" w:hAnsi="宋体" w:eastAsia="宋体" w:cs="Times New Roman"/>
          <w:color w:val="auto"/>
          <w:kern w:val="2"/>
          <w:sz w:val="24"/>
          <w:szCs w:val="24"/>
          <w:highlight w:val="none"/>
          <w:lang w:val="en-US" w:eastAsia="zh-CN" w:bidi="ar-SA"/>
        </w:rPr>
        <w:t>共用区域日常维修、养护和管理及园区共用设施设备日常维修养护、运行和管理</w:t>
      </w:r>
      <w:r>
        <w:rPr>
          <w:rFonts w:hint="eastAsia" w:ascii="宋体" w:hAnsi="宋体" w:cs="Times New Roman"/>
          <w:color w:val="auto"/>
          <w:kern w:val="2"/>
          <w:sz w:val="24"/>
          <w:szCs w:val="24"/>
          <w:highlight w:val="none"/>
          <w:lang w:val="en-US" w:eastAsia="zh-CN" w:bidi="ar-SA"/>
        </w:rPr>
        <w:t>，协助维护公共秩序，协助做好安全防范工作。</w:t>
      </w:r>
    </w:p>
    <w:p w14:paraId="1AAD68F9">
      <w:pPr>
        <w:pStyle w:val="17"/>
        <w:keepNext w:val="0"/>
        <w:keepLines w:val="0"/>
        <w:pageBreakBefore w:val="0"/>
        <w:kinsoku/>
        <w:overflowPunct/>
        <w:topLinePunct w:val="0"/>
        <w:autoSpaceDE/>
        <w:autoSpaceDN/>
        <w:bidi w:val="0"/>
        <w:adjustRightInd/>
        <w:snapToGrid/>
        <w:spacing w:line="560" w:lineRule="exact"/>
        <w:textAlignment w:val="auto"/>
        <w:rPr>
          <w:rFonts w:hint="default"/>
          <w:color w:val="auto"/>
          <w:highlight w:val="none"/>
          <w:lang w:val="en-US" w:eastAsia="zh-CN"/>
        </w:rPr>
      </w:pPr>
      <w:r>
        <w:rPr>
          <w:rFonts w:hint="eastAsia" w:ascii="宋体" w:hAnsi="宋体" w:cs="Times New Roman"/>
          <w:color w:val="auto"/>
          <w:kern w:val="2"/>
          <w:sz w:val="24"/>
          <w:szCs w:val="24"/>
          <w:highlight w:val="none"/>
          <w:lang w:val="en-US" w:eastAsia="zh-CN" w:bidi="ar-SA"/>
        </w:rPr>
        <w:t xml:space="preserve">    14、乙方不得在园区内从事违法犯罪行为，敦促园区内的企业守法经营，</w:t>
      </w:r>
    </w:p>
    <w:p w14:paraId="58493AC9">
      <w:pPr>
        <w:pStyle w:val="17"/>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15</w:t>
      </w:r>
      <w:r>
        <w:rPr>
          <w:rFonts w:hint="eastAsia" w:ascii="宋体" w:hAnsi="宋体"/>
          <w:color w:val="auto"/>
          <w:sz w:val="24"/>
          <w:highlight w:val="none"/>
          <w:lang w:val="en-US"/>
        </w:rPr>
        <w:t>、</w:t>
      </w:r>
      <w:r>
        <w:rPr>
          <w:rFonts w:hint="eastAsia" w:ascii="宋体" w:hAnsi="宋体"/>
          <w:color w:val="auto"/>
          <w:sz w:val="24"/>
          <w:highlight w:val="none"/>
          <w:lang w:val="en-US" w:eastAsia="zh-CN"/>
        </w:rPr>
        <w:t>乙方有权进行预招商，预招商方案需要提交给甲方审核，乙方与意向承租人签署的合同、收取的诚意金/押金等凭证的复印件需要提交给甲方存档留底。</w:t>
      </w:r>
    </w:p>
    <w:p w14:paraId="2483F67E">
      <w:pPr>
        <w:pStyle w:val="17"/>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default" w:ascii="宋体" w:hAnsi="宋体"/>
          <w:color w:val="auto"/>
          <w:sz w:val="24"/>
          <w:highlight w:val="none"/>
          <w:lang w:val="en-US" w:eastAsia="zh-CN"/>
        </w:rPr>
      </w:pPr>
    </w:p>
    <w:p w14:paraId="2ABB2AE4">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b/>
          <w:color w:val="auto"/>
          <w:sz w:val="24"/>
          <w:highlight w:val="none"/>
        </w:rPr>
      </w:pPr>
      <w:r>
        <w:rPr>
          <w:rFonts w:hint="eastAsia" w:ascii="宋体" w:hAnsi="宋体"/>
          <w:b/>
          <w:color w:val="auto"/>
          <w:sz w:val="24"/>
          <w:highlight w:val="none"/>
        </w:rPr>
        <w:t>第六部分：合同的变更、解除、终止</w:t>
      </w:r>
    </w:p>
    <w:p w14:paraId="29774963">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第二十</w:t>
      </w:r>
      <w:r>
        <w:rPr>
          <w:rFonts w:hint="eastAsia" w:ascii="宋体" w:hAnsi="宋体"/>
          <w:color w:val="auto"/>
          <w:sz w:val="24"/>
          <w:highlight w:val="none"/>
          <w:lang w:val="en-US" w:eastAsia="zh-CN"/>
        </w:rPr>
        <w:t>二</w:t>
      </w:r>
      <w:r>
        <w:rPr>
          <w:rFonts w:hint="eastAsia" w:ascii="宋体" w:hAnsi="宋体"/>
          <w:color w:val="auto"/>
          <w:sz w:val="24"/>
          <w:highlight w:val="none"/>
        </w:rPr>
        <w:t>条  甲乙双方在履行本合同期间，有关合同内容的增加、减少或修改，均需取得双方的一致，达成书面补充合同后方可生效。</w:t>
      </w:r>
    </w:p>
    <w:p w14:paraId="72BB39AD">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第二十</w:t>
      </w:r>
      <w:r>
        <w:rPr>
          <w:rFonts w:hint="eastAsia" w:ascii="宋体" w:hAnsi="宋体"/>
          <w:color w:val="auto"/>
          <w:sz w:val="24"/>
          <w:highlight w:val="none"/>
          <w:lang w:val="en-US" w:eastAsia="zh-CN"/>
        </w:rPr>
        <w:t>三</w:t>
      </w:r>
      <w:r>
        <w:rPr>
          <w:rFonts w:hint="eastAsia" w:ascii="宋体" w:hAnsi="宋体"/>
          <w:color w:val="auto"/>
          <w:sz w:val="24"/>
          <w:highlight w:val="none"/>
        </w:rPr>
        <w:t>条  有下列情形之一的，甲方有权解除本合同，收回租赁物，追回乙方拖欠款项，乙方应向甲方支付违约金，违约金不足以弥补甲方损失的，甲方有权就不足部分向乙方追偿</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对于乙方已经预付的租金，甲方有权选择优先用于扣减违约金，对于剩余应当退还的租金，乙方同意在解除合同后第14年起每年退还不低于15%的比例，直至退还完毕</w:t>
      </w:r>
      <w:r>
        <w:rPr>
          <w:rFonts w:hint="eastAsia" w:ascii="宋体" w:hAnsi="宋体"/>
          <w:color w:val="auto"/>
          <w:sz w:val="24"/>
          <w:highlight w:val="none"/>
        </w:rPr>
        <w:t>：</w:t>
      </w:r>
    </w:p>
    <w:p w14:paraId="66E8A69C">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、乙方逾期支付</w:t>
      </w:r>
      <w:r>
        <w:rPr>
          <w:rFonts w:hint="eastAsia" w:ascii="宋体" w:hAnsi="宋体"/>
          <w:color w:val="auto"/>
          <w:sz w:val="24"/>
          <w:highlight w:val="none"/>
          <w:lang w:val="en-US" w:eastAsia="zh-CN"/>
        </w:rPr>
        <w:t>每月</w:t>
      </w:r>
      <w:r>
        <w:rPr>
          <w:rFonts w:hint="eastAsia" w:ascii="宋体" w:hAnsi="宋体"/>
          <w:color w:val="auto"/>
          <w:sz w:val="24"/>
          <w:highlight w:val="none"/>
        </w:rPr>
        <w:t>租金</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管理费、租金收益固定分成</w:t>
      </w:r>
      <w:r>
        <w:rPr>
          <w:rFonts w:hint="eastAsia" w:ascii="宋体" w:hAnsi="宋体"/>
          <w:color w:val="auto"/>
          <w:sz w:val="24"/>
          <w:highlight w:val="none"/>
        </w:rPr>
        <w:t>连续超过</w:t>
      </w:r>
      <w:r>
        <w:rPr>
          <w:rFonts w:hint="eastAsia" w:ascii="宋体" w:hAnsi="宋体"/>
          <w:color w:val="auto"/>
          <w:sz w:val="24"/>
          <w:highlight w:val="none"/>
          <w:lang w:val="en-US" w:eastAsia="zh-CN"/>
        </w:rPr>
        <w:t>三</w:t>
      </w:r>
      <w:r>
        <w:rPr>
          <w:rFonts w:hint="eastAsia" w:ascii="宋体" w:hAnsi="宋体"/>
          <w:color w:val="auto"/>
          <w:sz w:val="24"/>
          <w:highlight w:val="none"/>
        </w:rPr>
        <w:t>个月的；</w:t>
      </w:r>
    </w:p>
    <w:p w14:paraId="0EC47E2B">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、乙方利用承租的物业进行违法活动的；</w:t>
      </w:r>
    </w:p>
    <w:p w14:paraId="2C021221">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、未经甲方书面同意，擅自改变租赁物主体结构的；</w:t>
      </w:r>
    </w:p>
    <w:p w14:paraId="5EC3092A">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、违反本合同其他约定，经甲方书面通知限期改正，逾期仍不改正的。</w:t>
      </w:r>
    </w:p>
    <w:p w14:paraId="01668A3F">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rPr>
        <w:t>甲方依据上述情形提前解除合同时，应书面通知乙方。甲方亦可选择不予解除合同，但甲方仍有权要求乙方</w:t>
      </w:r>
      <w:r>
        <w:rPr>
          <w:rFonts w:hint="eastAsia" w:ascii="宋体" w:hAnsi="宋体"/>
          <w:color w:val="auto"/>
          <w:sz w:val="24"/>
          <w:highlight w:val="none"/>
          <w:lang w:val="en-US" w:eastAsia="zh-CN"/>
        </w:rPr>
        <w:t>支付违约金，在甲方已经提前支付的租金中扣减违约金，并要求乙方</w:t>
      </w:r>
      <w:r>
        <w:rPr>
          <w:rFonts w:hint="eastAsia" w:ascii="宋体" w:hAnsi="宋体"/>
          <w:color w:val="auto"/>
          <w:sz w:val="24"/>
          <w:highlight w:val="none"/>
        </w:rPr>
        <w:t>赔偿其遭受的一切损失</w:t>
      </w:r>
      <w:r>
        <w:rPr>
          <w:rFonts w:hint="eastAsia" w:ascii="宋体" w:hAnsi="宋体"/>
          <w:color w:val="auto"/>
          <w:sz w:val="24"/>
          <w:highlight w:val="none"/>
          <w:lang w:eastAsia="zh-CN"/>
        </w:rPr>
        <w:t>。</w:t>
      </w:r>
    </w:p>
    <w:p w14:paraId="1D93DA45">
      <w:pPr>
        <w:pStyle w:val="17"/>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第二十四条  如乙方逾期支付本合同第十五条第1款应当提前支付的租金，甲方有权对本合同整体解除（即本项目一期、二期、三期），要求乙方支付违约金</w:t>
      </w:r>
      <w:r>
        <w:rPr>
          <w:rFonts w:hint="eastAsia" w:ascii="宋体" w:hAnsi="宋体"/>
          <w:color w:val="auto"/>
          <w:sz w:val="24"/>
          <w:highlight w:val="none"/>
          <w:u w:val="single"/>
          <w:lang w:val="en-US" w:eastAsia="zh-CN"/>
        </w:rPr>
        <w:t xml:space="preserve"> 2000 </w:t>
      </w:r>
      <w:r>
        <w:rPr>
          <w:rFonts w:hint="eastAsia" w:ascii="宋体" w:hAnsi="宋体"/>
          <w:color w:val="auto"/>
          <w:sz w:val="24"/>
          <w:highlight w:val="none"/>
          <w:lang w:val="en-US" w:eastAsia="zh-CN"/>
        </w:rPr>
        <w:t>万元。</w:t>
      </w:r>
    </w:p>
    <w:p w14:paraId="7793839C">
      <w:pPr>
        <w:pStyle w:val="17"/>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第二十五条  如乙方逾期支付本合同第十五条第2款应当提前支付的租金，则甲方有权按照以下任意一种方式处理，乙方对此无异议：</w:t>
      </w:r>
    </w:p>
    <w:p w14:paraId="1C816677">
      <w:pPr>
        <w:pStyle w:val="17"/>
        <w:keepNext w:val="0"/>
        <w:keepLines w:val="0"/>
        <w:pageBreakBefore w:val="0"/>
        <w:numPr>
          <w:ilvl w:val="0"/>
          <w:numId w:val="36"/>
        </w:numPr>
        <w:kinsoku/>
        <w:overflowPunct/>
        <w:topLinePunct w:val="0"/>
        <w:autoSpaceDE/>
        <w:autoSpaceDN/>
        <w:bidi w:val="0"/>
        <w:adjustRightInd/>
        <w:snapToGrid/>
        <w:spacing w:line="560" w:lineRule="exact"/>
        <w:ind w:left="150" w:firstLine="480" w:firstLineChars="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甲方有权对本合同整体解除（即本项目一期、二期、三期），甲方有权要求乙方支付违约金</w:t>
      </w:r>
      <w:r>
        <w:rPr>
          <w:rFonts w:hint="eastAsia" w:ascii="宋体" w:hAnsi="宋体"/>
          <w:color w:val="auto"/>
          <w:sz w:val="24"/>
          <w:highlight w:val="none"/>
          <w:u w:val="single"/>
          <w:lang w:val="en-US" w:eastAsia="zh-CN"/>
        </w:rPr>
        <w:t xml:space="preserve"> 2000 </w:t>
      </w:r>
      <w:r>
        <w:rPr>
          <w:rFonts w:hint="eastAsia" w:ascii="宋体" w:hAnsi="宋体"/>
          <w:color w:val="auto"/>
          <w:sz w:val="24"/>
          <w:highlight w:val="none"/>
          <w:lang w:val="en-US" w:eastAsia="zh-CN"/>
        </w:rPr>
        <w:t>万元，该违约金可以在乙方提前支付的租金中扣减，扣减后剩余的租金采取分期退还的方式，以应退还租金为基数，甲方在本合同第14年起每年退还不低于15%的比例，直至退还完毕。</w:t>
      </w:r>
    </w:p>
    <w:p w14:paraId="5BF098B4">
      <w:pPr>
        <w:pStyle w:val="17"/>
        <w:keepNext w:val="0"/>
        <w:keepLines w:val="0"/>
        <w:pageBreakBefore w:val="0"/>
        <w:numPr>
          <w:ilvl w:val="0"/>
          <w:numId w:val="36"/>
        </w:numPr>
        <w:kinsoku/>
        <w:overflowPunct/>
        <w:topLinePunct w:val="0"/>
        <w:autoSpaceDE/>
        <w:autoSpaceDN/>
        <w:bidi w:val="0"/>
        <w:adjustRightInd/>
        <w:snapToGrid/>
        <w:spacing w:line="560" w:lineRule="exact"/>
        <w:ind w:left="150" w:firstLine="480" w:firstLineChars="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甲方有权对本合同部分解除，本项目一期物业租赁继续履行，乙方仅能对园区内一期的场所进行管理（包括公共区域），本项目二期、三期的租赁合同不再履行，甲方要求乙方支付违约金</w:t>
      </w:r>
      <w:r>
        <w:rPr>
          <w:rFonts w:hint="eastAsia" w:ascii="宋体" w:hAnsi="宋体"/>
          <w:color w:val="auto"/>
          <w:sz w:val="24"/>
          <w:highlight w:val="none"/>
          <w:u w:val="single"/>
          <w:lang w:val="en-US" w:eastAsia="zh-CN"/>
        </w:rPr>
        <w:t xml:space="preserve"> 2000 </w:t>
      </w:r>
      <w:r>
        <w:rPr>
          <w:rFonts w:hint="eastAsia" w:ascii="宋体" w:hAnsi="宋体"/>
          <w:color w:val="auto"/>
          <w:sz w:val="24"/>
          <w:highlight w:val="none"/>
          <w:lang w:val="en-US" w:eastAsia="zh-CN"/>
        </w:rPr>
        <w:t>万元，该违约金在乙方已经支付的租金中扣减。</w:t>
      </w:r>
    </w:p>
    <w:p w14:paraId="1746F318">
      <w:pPr>
        <w:pStyle w:val="17"/>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第二十六条 如乙方逾期支付本合同第十五条第3款应当提前支付的租金，则甲方有权按照以下任意一种方式处理，乙方对此无异议：</w:t>
      </w:r>
    </w:p>
    <w:p w14:paraId="04F100BD">
      <w:pPr>
        <w:pStyle w:val="17"/>
        <w:keepNext w:val="0"/>
        <w:keepLines w:val="0"/>
        <w:pageBreakBefore w:val="0"/>
        <w:numPr>
          <w:ilvl w:val="-1"/>
          <w:numId w:val="0"/>
        </w:numPr>
        <w:kinsoku/>
        <w:overflowPunct/>
        <w:topLinePunct w:val="0"/>
        <w:autoSpaceDE/>
        <w:autoSpaceDN/>
        <w:bidi w:val="0"/>
        <w:adjustRightInd/>
        <w:snapToGrid/>
        <w:spacing w:line="560" w:lineRule="exact"/>
        <w:ind w:left="0"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1、甲方有权对本合同整体解除（即本项目一期、二期、三期），甲方有权要求乙方支付违约金</w:t>
      </w:r>
      <w:r>
        <w:rPr>
          <w:rFonts w:hint="eastAsia" w:ascii="宋体" w:hAnsi="宋体"/>
          <w:color w:val="auto"/>
          <w:sz w:val="24"/>
          <w:highlight w:val="none"/>
          <w:u w:val="single"/>
          <w:lang w:val="en-US" w:eastAsia="zh-CN"/>
        </w:rPr>
        <w:t xml:space="preserve"> 2000 </w:t>
      </w:r>
      <w:r>
        <w:rPr>
          <w:rFonts w:hint="eastAsia" w:ascii="宋体" w:hAnsi="宋体"/>
          <w:color w:val="auto"/>
          <w:sz w:val="24"/>
          <w:highlight w:val="none"/>
          <w:lang w:val="en-US" w:eastAsia="zh-CN"/>
        </w:rPr>
        <w:t>万元，可以在乙方提前支付的租金中扣减，扣减后剩余的租金采取分期退还的方式，以应退还租金为基数，甲方在本合同第14年起每年退还不低于15%的比例，直至退还完毕。</w:t>
      </w:r>
    </w:p>
    <w:p w14:paraId="3E992414">
      <w:pPr>
        <w:pStyle w:val="17"/>
        <w:keepNext w:val="0"/>
        <w:keepLines w:val="0"/>
        <w:pageBreakBefore w:val="0"/>
        <w:numPr>
          <w:ilvl w:val="-1"/>
          <w:numId w:val="0"/>
        </w:numPr>
        <w:kinsoku/>
        <w:overflowPunct/>
        <w:topLinePunct w:val="0"/>
        <w:autoSpaceDE/>
        <w:autoSpaceDN/>
        <w:bidi w:val="0"/>
        <w:adjustRightInd/>
        <w:snapToGrid/>
        <w:spacing w:line="560" w:lineRule="exact"/>
        <w:ind w:left="0"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2、甲方有权对本合同部分解除，本项目一期、二期物业租赁继续履行，乙方仅能对园区内一期、二期的场所（包括公共区域）进行管理，本项目三期的租赁合同不再履行，甲方要求乙方支付违约金</w:t>
      </w:r>
      <w:r>
        <w:rPr>
          <w:rFonts w:hint="eastAsia" w:ascii="宋体" w:hAnsi="宋体"/>
          <w:color w:val="auto"/>
          <w:sz w:val="24"/>
          <w:highlight w:val="none"/>
          <w:u w:val="single"/>
          <w:lang w:val="en-US" w:eastAsia="zh-CN"/>
        </w:rPr>
        <w:t xml:space="preserve"> 2000 </w:t>
      </w:r>
      <w:r>
        <w:rPr>
          <w:rFonts w:hint="eastAsia" w:ascii="宋体" w:hAnsi="宋体"/>
          <w:color w:val="auto"/>
          <w:sz w:val="24"/>
          <w:highlight w:val="none"/>
          <w:lang w:val="en-US" w:eastAsia="zh-CN"/>
        </w:rPr>
        <w:t>万元，该违约金在乙方已经支付的租金中扣减。</w:t>
      </w:r>
    </w:p>
    <w:p w14:paraId="46ECAEEE">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第二十</w:t>
      </w:r>
      <w:r>
        <w:rPr>
          <w:rFonts w:hint="eastAsia" w:ascii="宋体" w:hAnsi="宋体"/>
          <w:color w:val="auto"/>
          <w:sz w:val="24"/>
          <w:highlight w:val="none"/>
          <w:lang w:val="en-US" w:eastAsia="zh-CN"/>
        </w:rPr>
        <w:t>七</w:t>
      </w:r>
      <w:r>
        <w:rPr>
          <w:rFonts w:hint="eastAsia" w:ascii="宋体" w:hAnsi="宋体"/>
          <w:color w:val="auto"/>
          <w:sz w:val="24"/>
          <w:highlight w:val="none"/>
        </w:rPr>
        <w:t>条 除本合同另有规定外，有下列情形之一的，乙方有权解除本合同：</w:t>
      </w:r>
    </w:p>
    <w:p w14:paraId="4B9D8A20">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、甲方违反本合同的</w:t>
      </w:r>
      <w:r>
        <w:rPr>
          <w:rFonts w:hint="eastAsia" w:ascii="宋体" w:hAnsi="宋体"/>
          <w:color w:val="auto"/>
          <w:sz w:val="24"/>
          <w:highlight w:val="none"/>
          <w:lang w:val="en-US" w:eastAsia="zh-CN"/>
        </w:rPr>
        <w:t>其他约定</w:t>
      </w:r>
      <w:r>
        <w:rPr>
          <w:rFonts w:hint="eastAsia" w:ascii="宋体" w:hAnsi="宋体"/>
          <w:color w:val="auto"/>
          <w:sz w:val="24"/>
          <w:highlight w:val="none"/>
        </w:rPr>
        <w:t>，在甲乙双方协商确定的补救期内未完成补救措施，致使乙方不能</w:t>
      </w:r>
      <w:r>
        <w:rPr>
          <w:rFonts w:hint="eastAsia" w:ascii="宋体" w:hAnsi="宋体"/>
          <w:color w:val="auto"/>
          <w:sz w:val="24"/>
          <w:highlight w:val="none"/>
          <w:lang w:val="en-US" w:eastAsia="zh-CN"/>
        </w:rPr>
        <w:t>连续</w:t>
      </w:r>
      <w:r>
        <w:rPr>
          <w:rFonts w:hint="eastAsia" w:ascii="宋体" w:hAnsi="宋体"/>
          <w:color w:val="auto"/>
          <w:sz w:val="24"/>
          <w:highlight w:val="none"/>
        </w:rPr>
        <w:t>正常经营</w:t>
      </w:r>
      <w:r>
        <w:rPr>
          <w:rFonts w:hint="eastAsia" w:ascii="宋体" w:hAnsi="宋体"/>
          <w:color w:val="auto"/>
          <w:sz w:val="24"/>
          <w:highlight w:val="none"/>
          <w:lang w:val="en-US" w:eastAsia="zh-CN"/>
        </w:rPr>
        <w:t>6个月以上</w:t>
      </w:r>
      <w:r>
        <w:rPr>
          <w:rFonts w:hint="eastAsia" w:ascii="宋体" w:hAnsi="宋体"/>
          <w:color w:val="auto"/>
          <w:sz w:val="24"/>
          <w:highlight w:val="none"/>
        </w:rPr>
        <w:t>的。</w:t>
      </w:r>
    </w:p>
    <w:p w14:paraId="7B54075C">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、厂房、宿舍（含首层商铺）及其配套设施的地基基础或主体结构因自然损坏或甲方的原因而遭受损坏，导致乙方或入驻企业连续</w:t>
      </w:r>
      <w:r>
        <w:rPr>
          <w:rFonts w:hint="eastAsia" w:ascii="宋体" w:hAnsi="宋体"/>
          <w:color w:val="auto"/>
          <w:sz w:val="24"/>
          <w:highlight w:val="none"/>
          <w:lang w:val="en-US" w:eastAsia="zh-CN"/>
        </w:rPr>
        <w:t>六</w:t>
      </w:r>
      <w:r>
        <w:rPr>
          <w:rFonts w:hint="eastAsia" w:ascii="宋体" w:hAnsi="宋体"/>
          <w:color w:val="auto"/>
          <w:sz w:val="24"/>
          <w:highlight w:val="none"/>
        </w:rPr>
        <w:t>个月无法正常使用的，乙方可选择遭受损坏部分合同的解除。</w:t>
      </w:r>
      <w:r>
        <w:rPr>
          <w:rFonts w:hint="eastAsia" w:ascii="宋体" w:hAnsi="宋体"/>
          <w:color w:val="auto"/>
          <w:sz w:val="24"/>
          <w:highlight w:val="none"/>
          <w:lang w:val="en-US" w:eastAsia="zh-CN"/>
        </w:rPr>
        <w:t>其他</w:t>
      </w:r>
      <w:r>
        <w:rPr>
          <w:rFonts w:hint="eastAsia" w:ascii="宋体" w:hAnsi="宋体"/>
          <w:color w:val="auto"/>
          <w:sz w:val="24"/>
          <w:highlight w:val="none"/>
        </w:rPr>
        <w:t>继续履行。</w:t>
      </w:r>
    </w:p>
    <w:p w14:paraId="654E533E">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、厂房、宿舍（含首层商铺）及其配套设施等物业因甲方原因被法院强制执行</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并进行司法拍卖程序的</w:t>
      </w:r>
      <w:r>
        <w:rPr>
          <w:rFonts w:hint="eastAsia" w:ascii="宋体" w:hAnsi="宋体"/>
          <w:color w:val="auto"/>
          <w:sz w:val="24"/>
          <w:highlight w:val="none"/>
        </w:rPr>
        <w:t>。</w:t>
      </w:r>
    </w:p>
    <w:p w14:paraId="5D06CE8F">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乙方依据上述情形解除合同时，应书面通知甲方。乙方亦可选择不予解除合同，但乙方仍有权要求甲方赔偿其遭受的一切损失</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不包括乙方提前预付租金的成本对价或者可期待利益）</w:t>
      </w:r>
      <w:r>
        <w:rPr>
          <w:rFonts w:hint="eastAsia" w:ascii="宋体" w:hAnsi="宋体"/>
          <w:color w:val="auto"/>
          <w:sz w:val="24"/>
          <w:highlight w:val="none"/>
        </w:rPr>
        <w:t>。</w:t>
      </w:r>
    </w:p>
    <w:p w14:paraId="1E8E188E">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color w:val="auto"/>
          <w:highlight w:val="none"/>
        </w:rPr>
      </w:pPr>
      <w:r>
        <w:rPr>
          <w:rFonts w:hint="eastAsia" w:ascii="宋体" w:hAnsi="宋体"/>
          <w:color w:val="auto"/>
          <w:sz w:val="24"/>
          <w:highlight w:val="none"/>
        </w:rPr>
        <w:t>第二十</w:t>
      </w:r>
      <w:r>
        <w:rPr>
          <w:rFonts w:hint="eastAsia" w:ascii="宋体" w:hAnsi="宋体"/>
          <w:color w:val="auto"/>
          <w:sz w:val="24"/>
          <w:highlight w:val="none"/>
          <w:lang w:val="en-US" w:eastAsia="zh-CN"/>
        </w:rPr>
        <w:t>八</w:t>
      </w:r>
      <w:r>
        <w:rPr>
          <w:rFonts w:hint="eastAsia" w:ascii="宋体" w:hAnsi="宋体"/>
          <w:color w:val="auto"/>
          <w:sz w:val="24"/>
          <w:highlight w:val="none"/>
        </w:rPr>
        <w:t>条  合同的解除应采取书面形式，双方协商一致共同解除的，应签订书面解除合同。</w:t>
      </w:r>
    </w:p>
    <w:p w14:paraId="5F7983A5">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第二十</w:t>
      </w:r>
      <w:r>
        <w:rPr>
          <w:rFonts w:hint="eastAsia" w:ascii="宋体" w:hAnsi="宋体"/>
          <w:color w:val="auto"/>
          <w:sz w:val="24"/>
          <w:highlight w:val="none"/>
          <w:lang w:val="en-US" w:eastAsia="zh-CN"/>
        </w:rPr>
        <w:t>九</w:t>
      </w:r>
      <w:r>
        <w:rPr>
          <w:rFonts w:hint="eastAsia" w:ascii="宋体" w:hAnsi="宋体"/>
          <w:color w:val="auto"/>
          <w:sz w:val="24"/>
          <w:highlight w:val="none"/>
        </w:rPr>
        <w:t>条  有下列情形之一的，合同终止：</w:t>
      </w:r>
    </w:p>
    <w:p w14:paraId="4ECA274F">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、合同期满；</w:t>
      </w:r>
    </w:p>
    <w:p w14:paraId="3AF1B7EF">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color w:val="auto"/>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、双方协商解除。</w:t>
      </w:r>
    </w:p>
    <w:p w14:paraId="5192B830">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第</w:t>
      </w:r>
      <w:r>
        <w:rPr>
          <w:rFonts w:hint="eastAsia" w:ascii="宋体" w:hAnsi="宋体"/>
          <w:color w:val="auto"/>
          <w:sz w:val="24"/>
          <w:highlight w:val="none"/>
          <w:lang w:val="en-US" w:eastAsia="zh-CN"/>
        </w:rPr>
        <w:t>三十</w:t>
      </w:r>
      <w:r>
        <w:rPr>
          <w:rFonts w:hint="eastAsia" w:ascii="宋体" w:hAnsi="宋体"/>
          <w:color w:val="auto"/>
          <w:sz w:val="24"/>
          <w:highlight w:val="none"/>
        </w:rPr>
        <w:t>条  合同终止</w:t>
      </w:r>
      <w:r>
        <w:rPr>
          <w:rFonts w:hint="eastAsia" w:ascii="宋体" w:hAnsi="宋体"/>
          <w:color w:val="auto"/>
          <w:sz w:val="24"/>
          <w:highlight w:val="none"/>
          <w:lang w:val="en-US" w:eastAsia="zh-CN"/>
        </w:rPr>
        <w:t>或者提前解除后五个工作日内</w:t>
      </w:r>
      <w:r>
        <w:rPr>
          <w:rFonts w:hint="eastAsia" w:ascii="宋体" w:hAnsi="宋体"/>
          <w:color w:val="auto"/>
          <w:sz w:val="24"/>
          <w:highlight w:val="none"/>
        </w:rPr>
        <w:t>，乙方</w:t>
      </w:r>
      <w:r>
        <w:rPr>
          <w:rFonts w:hint="eastAsia" w:ascii="宋体" w:hAnsi="宋体"/>
          <w:color w:val="auto"/>
          <w:sz w:val="24"/>
          <w:highlight w:val="none"/>
          <w:lang w:val="en-US" w:eastAsia="zh-CN"/>
        </w:rPr>
        <w:t>将物业以及甲方投入的设备设施归还给甲方，</w:t>
      </w:r>
      <w:r>
        <w:rPr>
          <w:rFonts w:hint="eastAsia" w:ascii="宋体" w:hAnsi="宋体"/>
          <w:color w:val="auto"/>
          <w:sz w:val="24"/>
          <w:highlight w:val="none"/>
        </w:rPr>
        <w:t>须将其在园内</w:t>
      </w:r>
      <w:r>
        <w:rPr>
          <w:rFonts w:hint="eastAsia" w:ascii="宋体" w:hAnsi="宋体"/>
          <w:color w:val="auto"/>
          <w:sz w:val="24"/>
          <w:highlight w:val="none"/>
          <w:lang w:val="en-US" w:eastAsia="zh-CN"/>
        </w:rPr>
        <w:t>属乙方所有的</w:t>
      </w:r>
      <w:r>
        <w:rPr>
          <w:rFonts w:hint="eastAsia" w:ascii="宋体" w:hAnsi="宋体"/>
          <w:color w:val="auto"/>
          <w:sz w:val="24"/>
          <w:highlight w:val="none"/>
        </w:rPr>
        <w:t>财产清理退场。对不可转移、因转移而不可再行使用或因转移而遭受损害的财物，</w:t>
      </w:r>
      <w:r>
        <w:rPr>
          <w:rFonts w:hint="eastAsia" w:ascii="宋体" w:hAnsi="宋体"/>
          <w:color w:val="auto"/>
          <w:sz w:val="24"/>
          <w:highlight w:val="none"/>
          <w:lang w:val="en-US" w:eastAsia="zh-CN"/>
        </w:rPr>
        <w:t>或者加建、添附的物业</w:t>
      </w:r>
      <w:r>
        <w:rPr>
          <w:rFonts w:hint="default" w:ascii="宋体" w:hAnsi="宋体"/>
          <w:color w:val="auto"/>
          <w:sz w:val="24"/>
          <w:highlight w:val="none"/>
          <w:lang w:val="en-US" w:eastAsia="zh-CN"/>
        </w:rPr>
        <w:t>/</w:t>
      </w:r>
      <w:r>
        <w:rPr>
          <w:rFonts w:hint="eastAsia" w:ascii="宋体" w:hAnsi="宋体"/>
          <w:color w:val="auto"/>
          <w:sz w:val="24"/>
          <w:highlight w:val="none"/>
          <w:lang w:val="en-US" w:eastAsia="zh-CN"/>
        </w:rPr>
        <w:t>构筑物、入墙入室的附着物等</w:t>
      </w:r>
      <w:r>
        <w:rPr>
          <w:rFonts w:hint="eastAsia" w:ascii="宋体" w:hAnsi="宋体"/>
          <w:color w:val="auto"/>
          <w:sz w:val="24"/>
          <w:highlight w:val="none"/>
        </w:rPr>
        <w:t>无偿归甲方所有</w:t>
      </w:r>
      <w:r>
        <w:rPr>
          <w:rFonts w:hint="eastAsia" w:ascii="宋体" w:hAnsi="宋体"/>
          <w:color w:val="auto"/>
          <w:sz w:val="24"/>
          <w:highlight w:val="none"/>
          <w:lang w:eastAsia="zh-CN"/>
        </w:rPr>
        <w:t>。</w:t>
      </w:r>
      <w:r>
        <w:rPr>
          <w:rFonts w:hint="eastAsia" w:ascii="宋体" w:hAnsi="宋体"/>
          <w:color w:val="auto"/>
          <w:sz w:val="24"/>
          <w:highlight w:val="none"/>
        </w:rPr>
        <w:t>乙方向甲方归还租赁物业时，除物业自身的正常损耗外，其</w:t>
      </w:r>
      <w:r>
        <w:rPr>
          <w:rFonts w:hint="eastAsia" w:ascii="宋体" w:hAnsi="宋体"/>
          <w:color w:val="auto"/>
          <w:sz w:val="24"/>
          <w:highlight w:val="none"/>
          <w:lang w:eastAsia="zh-CN"/>
        </w:rPr>
        <w:t>他</w:t>
      </w:r>
      <w:r>
        <w:rPr>
          <w:rFonts w:hint="eastAsia" w:ascii="宋体" w:hAnsi="宋体"/>
          <w:color w:val="auto"/>
          <w:sz w:val="24"/>
          <w:highlight w:val="none"/>
        </w:rPr>
        <w:t>对租赁物业造成的损坏由乙方负责修复</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保证租赁物（包括甲方交付的设备设施）具备正常使用状态</w:t>
      </w:r>
      <w:r>
        <w:rPr>
          <w:rFonts w:hint="eastAsia" w:ascii="宋体" w:hAnsi="宋体"/>
          <w:color w:val="auto"/>
          <w:sz w:val="24"/>
          <w:highlight w:val="none"/>
        </w:rPr>
        <w:t>。</w:t>
      </w:r>
    </w:p>
    <w:p w14:paraId="1194157F">
      <w:pPr>
        <w:pStyle w:val="17"/>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第三十一条   合同到期终止或者提前解除后，乙方逾期交还物业以及配套设备设施给甲方超过7天的，甲方有权按照届时租金标准的1.5计算场地占用费，直至物业交还为止。</w:t>
      </w:r>
    </w:p>
    <w:p w14:paraId="0584FE87">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b/>
          <w:color w:val="auto"/>
          <w:sz w:val="24"/>
          <w:highlight w:val="none"/>
        </w:rPr>
      </w:pPr>
    </w:p>
    <w:p w14:paraId="52D30B9A">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b/>
          <w:color w:val="auto"/>
          <w:sz w:val="24"/>
          <w:highlight w:val="none"/>
        </w:rPr>
      </w:pPr>
      <w:r>
        <w:rPr>
          <w:rFonts w:hint="eastAsia" w:ascii="宋体" w:hAnsi="宋体"/>
          <w:b/>
          <w:color w:val="auto"/>
          <w:sz w:val="24"/>
          <w:highlight w:val="none"/>
        </w:rPr>
        <w:t>第七部分：违约责任</w:t>
      </w:r>
    </w:p>
    <w:p w14:paraId="386196B2">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rPr>
        <w:t>第</w:t>
      </w:r>
      <w:r>
        <w:rPr>
          <w:rFonts w:hint="eastAsia" w:ascii="宋体" w:hAnsi="宋体"/>
          <w:color w:val="auto"/>
          <w:sz w:val="24"/>
          <w:highlight w:val="none"/>
          <w:lang w:val="en-US" w:eastAsia="zh-CN"/>
        </w:rPr>
        <w:t>三十二</w:t>
      </w:r>
      <w:r>
        <w:rPr>
          <w:rFonts w:hint="eastAsia" w:ascii="宋体" w:hAnsi="宋体"/>
          <w:color w:val="auto"/>
          <w:sz w:val="24"/>
          <w:highlight w:val="none"/>
        </w:rPr>
        <w:t>条  甲、乙双方除本合同约定的原因外，任何一方不得单方面解除本合同，否则，违约方应赔偿对方因违约行为造成的一切</w:t>
      </w:r>
      <w:r>
        <w:rPr>
          <w:rFonts w:hint="eastAsia" w:ascii="宋体" w:hAnsi="宋体"/>
          <w:color w:val="auto"/>
          <w:sz w:val="24"/>
          <w:highlight w:val="none"/>
          <w:lang w:val="en-US" w:eastAsia="zh-CN"/>
        </w:rPr>
        <w:t>损失</w:t>
      </w:r>
      <w:r>
        <w:rPr>
          <w:rFonts w:hint="eastAsia" w:ascii="宋体" w:hAnsi="宋体"/>
          <w:color w:val="auto"/>
          <w:sz w:val="24"/>
          <w:highlight w:val="none"/>
        </w:rPr>
        <w:t>。</w:t>
      </w:r>
      <w:r>
        <w:rPr>
          <w:rFonts w:hint="eastAsia" w:ascii="宋体" w:hAnsi="宋体"/>
          <w:color w:val="auto"/>
          <w:sz w:val="24"/>
          <w:highlight w:val="none"/>
          <w:lang w:val="en-US" w:eastAsia="zh-CN"/>
        </w:rPr>
        <w:t xml:space="preserve"> </w:t>
      </w:r>
    </w:p>
    <w:p w14:paraId="5A2D49AF">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default" w:ascii="宋体" w:hAnsi="宋体"/>
          <w:color w:val="auto"/>
          <w:sz w:val="24"/>
          <w:highlight w:val="none"/>
          <w:lang w:val="en-US"/>
        </w:rPr>
      </w:pPr>
      <w:r>
        <w:rPr>
          <w:rFonts w:hint="eastAsia" w:ascii="宋体" w:hAnsi="宋体"/>
          <w:color w:val="auto"/>
          <w:sz w:val="24"/>
          <w:highlight w:val="none"/>
          <w:lang w:val="en-US" w:eastAsia="zh-CN"/>
        </w:rPr>
        <w:t>第三十三条 如乙方单方面解除本合同或者由于乙方的原因导致合同解除的，甲方有权取消乙方的免租期优惠，乙方须补足免租期租金，甲方有权按照本合同第二十三条追究乙方违约责任。</w:t>
      </w:r>
    </w:p>
    <w:p w14:paraId="347EBC76">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第</w:t>
      </w:r>
      <w:r>
        <w:rPr>
          <w:rFonts w:hint="eastAsia" w:ascii="宋体" w:hAnsi="宋体"/>
          <w:color w:val="auto"/>
          <w:sz w:val="24"/>
          <w:highlight w:val="none"/>
          <w:lang w:val="en-US" w:eastAsia="zh-CN"/>
        </w:rPr>
        <w:t>三十四</w:t>
      </w:r>
      <w:r>
        <w:rPr>
          <w:rFonts w:hint="eastAsia" w:ascii="宋体" w:hAnsi="宋体"/>
          <w:color w:val="auto"/>
          <w:sz w:val="24"/>
          <w:highlight w:val="none"/>
        </w:rPr>
        <w:t>条  若乙方无故未按本合同约定依时向甲方缴纳租金</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管理费、租金收益固定分成超过十天的</w:t>
      </w:r>
      <w:r>
        <w:rPr>
          <w:rFonts w:hint="eastAsia" w:ascii="宋体" w:hAnsi="宋体"/>
          <w:color w:val="auto"/>
          <w:sz w:val="24"/>
          <w:highlight w:val="none"/>
        </w:rPr>
        <w:t>，乙方必须向甲方支付违约金，违约金按天计算，其标准为所欠款项的</w:t>
      </w:r>
      <w:r>
        <w:rPr>
          <w:rFonts w:hint="eastAsia" w:ascii="宋体" w:hAnsi="宋体"/>
          <w:color w:val="auto"/>
          <w:sz w:val="24"/>
          <w:highlight w:val="none"/>
          <w:u w:val="single"/>
        </w:rPr>
        <w:t>3‰</w:t>
      </w:r>
      <w:r>
        <w:rPr>
          <w:rFonts w:hint="eastAsia" w:ascii="宋体" w:hAnsi="宋体"/>
          <w:color w:val="auto"/>
          <w:sz w:val="24"/>
          <w:highlight w:val="none"/>
          <w:u w:val="single"/>
          <w:lang w:eastAsia="zh-CN"/>
        </w:rPr>
        <w:t>（</w:t>
      </w:r>
      <w:r>
        <w:rPr>
          <w:rFonts w:hint="eastAsia" w:ascii="宋体" w:hAnsi="宋体"/>
          <w:color w:val="auto"/>
          <w:sz w:val="24"/>
          <w:highlight w:val="none"/>
        </w:rPr>
        <w:t>千分之叁）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直至清偿为止</w:t>
      </w:r>
      <w:r>
        <w:rPr>
          <w:rFonts w:hint="eastAsia" w:ascii="宋体" w:hAnsi="宋体"/>
          <w:color w:val="auto"/>
          <w:sz w:val="24"/>
          <w:highlight w:val="none"/>
        </w:rPr>
        <w:t>。</w:t>
      </w:r>
    </w:p>
    <w:p w14:paraId="4079E963">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第</w:t>
      </w:r>
      <w:r>
        <w:rPr>
          <w:rFonts w:hint="eastAsia" w:ascii="宋体" w:hAnsi="宋体"/>
          <w:color w:val="auto"/>
          <w:sz w:val="24"/>
          <w:highlight w:val="none"/>
          <w:lang w:val="en-US" w:eastAsia="zh-CN"/>
        </w:rPr>
        <w:t>三十五</w:t>
      </w:r>
      <w:r>
        <w:rPr>
          <w:rFonts w:hint="eastAsia" w:ascii="宋体" w:hAnsi="宋体"/>
          <w:color w:val="auto"/>
          <w:sz w:val="24"/>
          <w:highlight w:val="none"/>
        </w:rPr>
        <w:t>条  甲、乙双方任何一方不履行本合同项下的任一义务，均构成违约，应承担违约责任。除本合同另有规定外，违约方应向对方支付违约金。如因一方的违约行为导致本合同的解除或不能履行时，违约方应当赔偿对方因此而遭受的实际损失。</w:t>
      </w:r>
    </w:p>
    <w:p w14:paraId="682FFFD3">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b/>
          <w:color w:val="auto"/>
          <w:sz w:val="24"/>
          <w:highlight w:val="none"/>
        </w:rPr>
      </w:pPr>
    </w:p>
    <w:p w14:paraId="5B85BB2E">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b/>
          <w:color w:val="auto"/>
          <w:sz w:val="24"/>
          <w:highlight w:val="none"/>
        </w:rPr>
      </w:pPr>
      <w:r>
        <w:rPr>
          <w:rFonts w:hint="eastAsia" w:ascii="宋体" w:hAnsi="宋体"/>
          <w:b/>
          <w:color w:val="auto"/>
          <w:sz w:val="24"/>
          <w:highlight w:val="none"/>
        </w:rPr>
        <w:t>第八部分：其他约定</w:t>
      </w:r>
    </w:p>
    <w:p w14:paraId="14367BF1">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第</w:t>
      </w:r>
      <w:r>
        <w:rPr>
          <w:rFonts w:hint="eastAsia" w:ascii="宋体" w:hAnsi="宋体"/>
          <w:color w:val="auto"/>
          <w:sz w:val="24"/>
          <w:highlight w:val="none"/>
          <w:lang w:val="en-US" w:eastAsia="zh-CN"/>
        </w:rPr>
        <w:t>三十六</w:t>
      </w:r>
      <w:r>
        <w:rPr>
          <w:rFonts w:hint="eastAsia" w:ascii="宋体" w:hAnsi="宋体"/>
          <w:color w:val="auto"/>
          <w:sz w:val="24"/>
          <w:highlight w:val="none"/>
        </w:rPr>
        <w:t>条  租赁期间，如果该等租赁物业的产权或使用权存在</w:t>
      </w:r>
      <w:r>
        <w:rPr>
          <w:rFonts w:hint="eastAsia" w:ascii="宋体" w:hAnsi="宋体"/>
          <w:color w:val="auto"/>
          <w:sz w:val="24"/>
          <w:highlight w:val="none"/>
          <w:lang w:val="en-US" w:eastAsia="zh-CN"/>
        </w:rPr>
        <w:t>司法纠纷</w:t>
      </w:r>
      <w:r>
        <w:rPr>
          <w:rFonts w:hint="eastAsia" w:ascii="宋体" w:hAnsi="宋体"/>
          <w:color w:val="auto"/>
          <w:sz w:val="24"/>
          <w:highlight w:val="none"/>
        </w:rPr>
        <w:t>，致使乙方在本合同项下的权利无法实现，甲方赔偿由此造成乙方的一切实际的和可预见的损失，而且乙方此时有权解除本合同。</w:t>
      </w:r>
    </w:p>
    <w:p w14:paraId="521F5E9E">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第三十</w:t>
      </w:r>
      <w:r>
        <w:rPr>
          <w:rFonts w:hint="eastAsia" w:ascii="宋体" w:hAnsi="宋体"/>
          <w:color w:val="auto"/>
          <w:sz w:val="24"/>
          <w:highlight w:val="none"/>
          <w:lang w:val="en-US" w:eastAsia="zh-CN"/>
        </w:rPr>
        <w:t>七</w:t>
      </w:r>
      <w:r>
        <w:rPr>
          <w:rFonts w:hint="eastAsia" w:ascii="宋体" w:hAnsi="宋体"/>
          <w:color w:val="auto"/>
          <w:sz w:val="24"/>
          <w:highlight w:val="none"/>
        </w:rPr>
        <w:t>条  违约金的计算：</w:t>
      </w:r>
    </w:p>
    <w:p w14:paraId="31FED4F2">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一、</w:t>
      </w:r>
      <w:r>
        <w:rPr>
          <w:rFonts w:hint="eastAsia" w:ascii="宋体" w:hAnsi="宋体"/>
          <w:color w:val="auto"/>
          <w:sz w:val="24"/>
          <w:highlight w:val="none"/>
          <w:lang w:val="en-US" w:eastAsia="zh-CN"/>
        </w:rPr>
        <w:t>除本合同对违约金金额另有约定外，</w:t>
      </w:r>
      <w:r>
        <w:rPr>
          <w:rFonts w:hint="eastAsia" w:ascii="宋体" w:hAnsi="宋体"/>
          <w:color w:val="auto"/>
          <w:sz w:val="24"/>
          <w:highlight w:val="none"/>
        </w:rPr>
        <w:t>本合同所指</w:t>
      </w:r>
      <w:r>
        <w:rPr>
          <w:rFonts w:hint="eastAsia" w:ascii="宋体" w:hAnsi="宋体"/>
          <w:color w:val="auto"/>
          <w:sz w:val="24"/>
          <w:highlight w:val="none"/>
          <w:lang w:val="en-US" w:eastAsia="zh-CN"/>
        </w:rPr>
        <w:t>违约金</w:t>
      </w:r>
      <w:r>
        <w:rPr>
          <w:rFonts w:hint="eastAsia" w:ascii="宋体" w:hAnsi="宋体"/>
          <w:color w:val="auto"/>
          <w:sz w:val="24"/>
          <w:highlight w:val="none"/>
        </w:rPr>
        <w:t>为</w:t>
      </w:r>
      <w:r>
        <w:rPr>
          <w:rFonts w:hint="eastAsia" w:ascii="宋体" w:hAnsi="宋体"/>
          <w:color w:val="auto"/>
          <w:sz w:val="24"/>
          <w:highlight w:val="none"/>
          <w:lang w:val="en-US" w:eastAsia="zh-CN"/>
        </w:rPr>
        <w:t>违约方实施违约行为导致合同解除（或者守约方选择继续履行合同，追究违约金违约责任）</w:t>
      </w:r>
      <w:r>
        <w:rPr>
          <w:rFonts w:hint="eastAsia" w:ascii="宋体" w:hAnsi="宋体"/>
          <w:color w:val="auto"/>
          <w:sz w:val="24"/>
          <w:highlight w:val="none"/>
        </w:rPr>
        <w:t>的当月之上一月份，依本合同该月份的租金总额为标准，计算</w:t>
      </w:r>
      <w:r>
        <w:rPr>
          <w:rFonts w:hint="eastAsia" w:ascii="宋体" w:hAnsi="宋体"/>
          <w:color w:val="auto"/>
          <w:sz w:val="24"/>
          <w:highlight w:val="none"/>
          <w:u w:val="single"/>
        </w:rPr>
        <w:t>六</w:t>
      </w:r>
      <w:r>
        <w:rPr>
          <w:rFonts w:hint="eastAsia" w:ascii="宋体" w:hAnsi="宋体"/>
          <w:color w:val="auto"/>
          <w:sz w:val="24"/>
          <w:highlight w:val="none"/>
        </w:rPr>
        <w:t>个月。</w:t>
      </w:r>
    </w:p>
    <w:p w14:paraId="033FC7BD">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二</w:t>
      </w:r>
      <w:r>
        <w:rPr>
          <w:rFonts w:hint="eastAsia" w:ascii="宋体" w:hAnsi="宋体"/>
          <w:color w:val="auto"/>
          <w:sz w:val="24"/>
          <w:highlight w:val="none"/>
        </w:rPr>
        <w:t>、合同期内，如因政府征用或征收标的物业，需对标的物业进场拆除或重建的，政府给予的装修补偿按“谁装修谁享有”原则</w:t>
      </w:r>
      <w:r>
        <w:rPr>
          <w:rFonts w:hint="eastAsia" w:ascii="宋体" w:hAnsi="宋体"/>
          <w:color w:val="auto"/>
          <w:sz w:val="24"/>
          <w:highlight w:val="none"/>
          <w:lang w:eastAsia="zh-CN"/>
        </w:rPr>
        <w:t>。</w:t>
      </w:r>
    </w:p>
    <w:p w14:paraId="0831719F">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第三十</w:t>
      </w:r>
      <w:r>
        <w:rPr>
          <w:rFonts w:hint="eastAsia" w:ascii="宋体" w:hAnsi="宋体"/>
          <w:color w:val="auto"/>
          <w:sz w:val="24"/>
          <w:highlight w:val="none"/>
          <w:lang w:val="en-US" w:eastAsia="zh-CN"/>
        </w:rPr>
        <w:t>八</w:t>
      </w:r>
      <w:r>
        <w:rPr>
          <w:rFonts w:hint="eastAsia" w:ascii="宋体" w:hAnsi="宋体"/>
          <w:color w:val="auto"/>
          <w:sz w:val="24"/>
          <w:highlight w:val="none"/>
        </w:rPr>
        <w:t>条 为保障安全和降低风险，乙方作为该物业的实际运营者，须为该物业购买管理责任险。</w:t>
      </w:r>
    </w:p>
    <w:p w14:paraId="59F37BEB">
      <w:pPr>
        <w:pStyle w:val="17"/>
        <w:keepNext w:val="0"/>
        <w:keepLines w:val="0"/>
        <w:pageBreakBefore w:val="0"/>
        <w:kinsoku/>
        <w:overflowPunct/>
        <w:topLinePunct w:val="0"/>
        <w:autoSpaceDE/>
        <w:autoSpaceDN/>
        <w:bidi w:val="0"/>
        <w:adjustRightInd/>
        <w:snapToGrid/>
        <w:spacing w:line="560" w:lineRule="exact"/>
        <w:textAlignment w:val="auto"/>
        <w:rPr>
          <w:rFonts w:hint="default" w:ascii="宋体" w:hAnsi="宋体" w:eastAsia="宋体"/>
          <w:color w:val="auto"/>
          <w:sz w:val="24"/>
          <w:highlight w:val="none"/>
          <w:lang w:val="en-US" w:eastAsia="zh-CN"/>
        </w:rPr>
      </w:pPr>
      <w:r>
        <w:rPr>
          <w:rFonts w:hint="eastAsia"/>
          <w:color w:val="auto"/>
          <w:highlight w:val="none"/>
          <w:lang w:val="en-US" w:eastAsia="zh-CN"/>
        </w:rPr>
        <w:t xml:space="preserve">  </w:t>
      </w:r>
      <w:r>
        <w:rPr>
          <w:rFonts w:hint="eastAsia" w:ascii="宋体" w:hAnsi="宋体"/>
          <w:color w:val="auto"/>
          <w:sz w:val="24"/>
          <w:highlight w:val="none"/>
          <w:lang w:val="en-US" w:eastAsia="zh-CN"/>
        </w:rPr>
        <w:t xml:space="preserve">  第三十九条  即使双方因拖欠租金、解除合同或者其他违约责任等导致双方产生纠纷，乙方不得以甲方没有尽到管理责任或者管理失责等理由主张不支付或者减免支付管理费，乙方对此确认且无异议。</w:t>
      </w:r>
    </w:p>
    <w:p w14:paraId="307D50A5">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rPr>
        <w:t>第</w:t>
      </w:r>
      <w:r>
        <w:rPr>
          <w:rFonts w:hint="eastAsia" w:ascii="宋体" w:hAnsi="宋体"/>
          <w:color w:val="auto"/>
          <w:sz w:val="24"/>
          <w:highlight w:val="none"/>
          <w:lang w:val="en-US" w:eastAsia="zh-CN"/>
        </w:rPr>
        <w:t>四十</w:t>
      </w:r>
      <w:r>
        <w:rPr>
          <w:rFonts w:hint="eastAsia" w:ascii="宋体" w:hAnsi="宋体"/>
          <w:color w:val="auto"/>
          <w:sz w:val="24"/>
          <w:highlight w:val="none"/>
        </w:rPr>
        <w:t>条  因不可抗力事件</w:t>
      </w:r>
      <w:r>
        <w:rPr>
          <w:rFonts w:hint="eastAsia" w:ascii="宋体" w:hAnsi="宋体"/>
          <w:color w:val="auto"/>
          <w:sz w:val="24"/>
          <w:highlight w:val="none"/>
          <w:lang w:val="en-US" w:eastAsia="zh-CN"/>
        </w:rPr>
        <w:t>或者政府政策等非甲方原因</w:t>
      </w:r>
      <w:r>
        <w:rPr>
          <w:rFonts w:hint="eastAsia" w:ascii="宋体" w:hAnsi="宋体"/>
          <w:color w:val="auto"/>
          <w:sz w:val="24"/>
          <w:highlight w:val="none"/>
        </w:rPr>
        <w:t>而导致厂房、宿舍（含首层商铺）及其配套设施未能在</w:t>
      </w:r>
      <w:r>
        <w:rPr>
          <w:rFonts w:hint="eastAsia" w:ascii="宋体" w:hAnsi="宋体"/>
          <w:color w:val="auto"/>
          <w:sz w:val="24"/>
          <w:highlight w:val="none"/>
          <w:lang w:val="en-US" w:eastAsia="zh-CN"/>
        </w:rPr>
        <w:t>约</w:t>
      </w:r>
      <w:r>
        <w:rPr>
          <w:rFonts w:hint="eastAsia" w:ascii="宋体" w:hAnsi="宋体"/>
          <w:color w:val="auto"/>
          <w:sz w:val="24"/>
          <w:highlight w:val="none"/>
        </w:rPr>
        <w:t>定的交付期限内交付乙方，则该交付期限应作相应顺延，</w:t>
      </w:r>
      <w:r>
        <w:rPr>
          <w:rFonts w:hint="eastAsia" w:ascii="宋体" w:hAnsi="宋体"/>
          <w:color w:val="auto"/>
          <w:sz w:val="24"/>
          <w:highlight w:val="none"/>
          <w:lang w:val="en-US" w:eastAsia="zh-CN"/>
        </w:rPr>
        <w:t>按照该期的建设周期计算超过2年仍无法交付，乙方</w:t>
      </w:r>
      <w:r>
        <w:rPr>
          <w:rFonts w:hint="eastAsia" w:ascii="宋体" w:hAnsi="宋体"/>
          <w:color w:val="auto"/>
          <w:sz w:val="24"/>
          <w:highlight w:val="none"/>
        </w:rPr>
        <w:t>可选择无偿解除合同</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不视为甲方违约，对于乙方已经预付的租金，甲方同意在解除合同后第14年起每年退还不低于15%比例，直至退还完毕，因乙方原因导致无法完工或者交付除外。</w:t>
      </w:r>
    </w:p>
    <w:p w14:paraId="7E1A017A">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因不可抗力导致任何乙方不能或难于履行本合同的，任何一方均可无偿解除本合同。</w:t>
      </w:r>
    </w:p>
    <w:p w14:paraId="76970753">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第四十一条  乙方违约导致合同解除、乙方单方面解除合同（甲方违约导致乙方提出解除合同除外）、情势变更或者不可抗力等情形导致合同解除的，如涉及甲方应当退还乙方提前支付的租金，甲方有权在解除合同后第14年起每年退还不低于15%比例，直至退还完毕。  </w:t>
      </w:r>
    </w:p>
    <w:p w14:paraId="259D7CA0">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第四十二条   本合同签订后，本项目由于银行审核原因或者其他客观原因导致该项目超过18个月年无法对项目一期动工的，如因清租解约存在争议，甲方有权在对每期额外增加6个月的宽限期，宽限期届满仍未能动工的，乙方有权提出解除本合同，如由于甲方资金问题或者其他客观原因导致项目一期竣工验收后18个月内无法启动项目二期的，或者二期竣工验收后18个月内无法启动项目三期的，乙方基于清租解约存在争议的，额外对每期再给予6个月宽限期，宽限期届满仍未能动工的，乙方有权解除对本合同未履行部分解除合同，甲方不承担违约责任，甲方须在90天内无息退还该期对应的提前支付租金给乙方。如因乙方无法按照本合同约定支付租金，导致甲方无法完成20%自有资金筹措的情形除外，甲方有权按照合同约定处理。</w:t>
      </w:r>
    </w:p>
    <w:p w14:paraId="1FED5025">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第</w:t>
      </w:r>
      <w:r>
        <w:rPr>
          <w:rFonts w:hint="eastAsia" w:ascii="宋体" w:hAnsi="宋体"/>
          <w:color w:val="auto"/>
          <w:sz w:val="24"/>
          <w:highlight w:val="none"/>
          <w:lang w:val="en-US" w:eastAsia="zh-CN"/>
        </w:rPr>
        <w:t>四十三</w:t>
      </w:r>
      <w:r>
        <w:rPr>
          <w:rFonts w:hint="eastAsia" w:ascii="宋体" w:hAnsi="宋体"/>
          <w:color w:val="auto"/>
          <w:sz w:val="24"/>
          <w:highlight w:val="none"/>
        </w:rPr>
        <w:t>条  甲、乙双方因履行本合同及其组成部分产生争议时，应首先通过友好协商解决。若双方未能协商一致，由</w:t>
      </w:r>
      <w:r>
        <w:rPr>
          <w:rFonts w:hint="eastAsia" w:ascii="宋体" w:hAnsi="宋体"/>
          <w:color w:val="auto"/>
          <w:sz w:val="24"/>
          <w:highlight w:val="none"/>
          <w:lang w:val="en-US" w:eastAsia="zh-CN"/>
        </w:rPr>
        <w:t>物业所在地</w:t>
      </w:r>
      <w:r>
        <w:rPr>
          <w:rFonts w:hint="eastAsia" w:ascii="宋体" w:hAnsi="宋体"/>
          <w:color w:val="auto"/>
          <w:sz w:val="24"/>
          <w:highlight w:val="none"/>
        </w:rPr>
        <w:t>人民法院裁决。</w:t>
      </w:r>
    </w:p>
    <w:p w14:paraId="6CB064EB">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第</w:t>
      </w:r>
      <w:r>
        <w:rPr>
          <w:rFonts w:hint="eastAsia" w:ascii="宋体" w:hAnsi="宋体"/>
          <w:color w:val="auto"/>
          <w:sz w:val="24"/>
          <w:highlight w:val="none"/>
          <w:lang w:val="en-US" w:eastAsia="zh-CN"/>
        </w:rPr>
        <w:t>四十四</w:t>
      </w:r>
      <w:r>
        <w:rPr>
          <w:rFonts w:hint="eastAsia" w:ascii="宋体" w:hAnsi="宋体"/>
          <w:color w:val="auto"/>
          <w:sz w:val="24"/>
          <w:highlight w:val="none"/>
        </w:rPr>
        <w:t>条  凡涉及双方权利、义务的事宜，双方应以书面形式通知。</w:t>
      </w:r>
    </w:p>
    <w:p w14:paraId="4C87B849">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第</w:t>
      </w:r>
      <w:r>
        <w:rPr>
          <w:rFonts w:hint="eastAsia" w:ascii="宋体" w:hAnsi="宋体"/>
          <w:color w:val="auto"/>
          <w:sz w:val="24"/>
          <w:highlight w:val="none"/>
          <w:lang w:val="en-US" w:eastAsia="zh-CN"/>
        </w:rPr>
        <w:t>四十五</w:t>
      </w:r>
      <w:r>
        <w:rPr>
          <w:rFonts w:hint="eastAsia" w:ascii="宋体" w:hAnsi="宋体"/>
          <w:color w:val="auto"/>
          <w:sz w:val="24"/>
          <w:highlight w:val="none"/>
        </w:rPr>
        <w:t>条  合同中所列甲乙双方的法定代表人或签约代表有权签收有关通知，如有变更，变更方应在变更之日起十天内书面通知对方，经签收的通知为有效送达的通知。</w:t>
      </w:r>
    </w:p>
    <w:p w14:paraId="2BD7E3CB">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第</w:t>
      </w:r>
      <w:r>
        <w:rPr>
          <w:rFonts w:hint="eastAsia" w:ascii="宋体" w:hAnsi="宋体"/>
          <w:color w:val="auto"/>
          <w:sz w:val="24"/>
          <w:highlight w:val="none"/>
          <w:lang w:val="en-US" w:eastAsia="zh-CN"/>
        </w:rPr>
        <w:t>四十六</w:t>
      </w:r>
      <w:r>
        <w:rPr>
          <w:rFonts w:hint="eastAsia" w:ascii="宋体" w:hAnsi="宋体"/>
          <w:color w:val="auto"/>
          <w:sz w:val="24"/>
          <w:highlight w:val="none"/>
        </w:rPr>
        <w:t>条  合同中所列甲乙双方的通讯地址如有变更，变更方应在变更之日起十天内书面通知对方。如不通知，则按原通讯地址发出的通知为有效送达的通知。</w:t>
      </w:r>
    </w:p>
    <w:p w14:paraId="4EFE1E5E">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第</w:t>
      </w:r>
      <w:r>
        <w:rPr>
          <w:rFonts w:hint="eastAsia" w:ascii="宋体" w:hAnsi="宋体"/>
          <w:color w:val="auto"/>
          <w:sz w:val="24"/>
          <w:highlight w:val="none"/>
          <w:lang w:val="en-US" w:eastAsia="zh-CN"/>
        </w:rPr>
        <w:t>四十七</w:t>
      </w:r>
      <w:r>
        <w:rPr>
          <w:rFonts w:hint="eastAsia" w:ascii="宋体" w:hAnsi="宋体"/>
          <w:color w:val="auto"/>
          <w:sz w:val="24"/>
          <w:highlight w:val="none"/>
        </w:rPr>
        <w:t>条  甲乙双方基于产业园的租赁所签署的所有合同、合同附件及补充合同均是双方租赁关系的不可分割的组成部分，具有同等效力。对于其中任何一份合同的违约，均视为对所有合同的违约。</w:t>
      </w:r>
    </w:p>
    <w:p w14:paraId="6F991F99">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第</w:t>
      </w:r>
      <w:r>
        <w:rPr>
          <w:rFonts w:hint="eastAsia" w:ascii="宋体" w:hAnsi="宋体"/>
          <w:color w:val="auto"/>
          <w:sz w:val="24"/>
          <w:highlight w:val="none"/>
          <w:lang w:val="en-US" w:eastAsia="zh-CN"/>
        </w:rPr>
        <w:t>四十八</w:t>
      </w:r>
      <w:r>
        <w:rPr>
          <w:rFonts w:hint="eastAsia" w:ascii="宋体" w:hAnsi="宋体"/>
          <w:color w:val="auto"/>
          <w:sz w:val="24"/>
          <w:highlight w:val="none"/>
        </w:rPr>
        <w:t>条  本合同中部分条款的无效不影响本合同其他部分的效力。</w:t>
      </w:r>
    </w:p>
    <w:p w14:paraId="33426481">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第四十</w:t>
      </w:r>
      <w:r>
        <w:rPr>
          <w:rFonts w:hint="eastAsia" w:ascii="宋体" w:hAnsi="宋体"/>
          <w:color w:val="auto"/>
          <w:sz w:val="24"/>
          <w:highlight w:val="none"/>
          <w:lang w:val="en-US" w:eastAsia="zh-CN"/>
        </w:rPr>
        <w:t>九</w:t>
      </w:r>
      <w:r>
        <w:rPr>
          <w:rFonts w:hint="eastAsia" w:ascii="宋体" w:hAnsi="宋体"/>
          <w:color w:val="auto"/>
          <w:sz w:val="24"/>
          <w:highlight w:val="none"/>
        </w:rPr>
        <w:t>条  本合同经双方签字盖章后生效，企业名称变更、法定代表人变更不影响本合同的履行。同时如甲、乙双方的企业发生合并、分立、改制、注销的情形均不影响本合同的效力。但该情形发生时，本合同相关的权利人应当就本合同签订书面协议，以确定权利人的权利及应当承担的义务。</w:t>
      </w:r>
    </w:p>
    <w:p w14:paraId="3C20F638">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第</w:t>
      </w:r>
      <w:r>
        <w:rPr>
          <w:rFonts w:hint="eastAsia" w:ascii="宋体" w:hAnsi="宋体"/>
          <w:color w:val="auto"/>
          <w:sz w:val="24"/>
          <w:highlight w:val="none"/>
          <w:lang w:val="en-US" w:eastAsia="zh-CN"/>
        </w:rPr>
        <w:t>五十</w:t>
      </w:r>
      <w:r>
        <w:rPr>
          <w:rFonts w:hint="eastAsia" w:ascii="宋体" w:hAnsi="宋体"/>
          <w:color w:val="auto"/>
          <w:sz w:val="24"/>
          <w:highlight w:val="none"/>
        </w:rPr>
        <w:t>条  本合同未尽部分，双方书面另行约定。</w:t>
      </w:r>
    </w:p>
    <w:p w14:paraId="70EF84B1">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第</w:t>
      </w:r>
      <w:r>
        <w:rPr>
          <w:rFonts w:hint="eastAsia" w:ascii="宋体" w:hAnsi="宋体"/>
          <w:color w:val="auto"/>
          <w:sz w:val="24"/>
          <w:highlight w:val="none"/>
          <w:lang w:val="en-US" w:eastAsia="zh-CN"/>
        </w:rPr>
        <w:t>五十一</w:t>
      </w:r>
      <w:r>
        <w:rPr>
          <w:rFonts w:hint="eastAsia" w:ascii="宋体" w:hAnsi="宋体"/>
          <w:color w:val="auto"/>
          <w:sz w:val="24"/>
          <w:highlight w:val="none"/>
        </w:rPr>
        <w:t>条  本合同一式肆份，具有同等法律效力，甲、乙双方各执二份。</w:t>
      </w:r>
    </w:p>
    <w:p w14:paraId="263AC862">
      <w:pPr>
        <w:pStyle w:val="17"/>
        <w:keepNext w:val="0"/>
        <w:keepLines w:val="0"/>
        <w:pageBreakBefore w:val="0"/>
        <w:kinsoku/>
        <w:overflowPunct/>
        <w:topLinePunct w:val="0"/>
        <w:autoSpaceDE/>
        <w:autoSpaceDN/>
        <w:bidi w:val="0"/>
        <w:adjustRightInd/>
        <w:snapToGrid/>
        <w:spacing w:line="560" w:lineRule="exact"/>
        <w:textAlignment w:val="auto"/>
        <w:rPr>
          <w:rFonts w:hint="eastAsia" w:ascii="宋体" w:hAnsi="宋体"/>
          <w:color w:val="auto"/>
          <w:sz w:val="24"/>
          <w:highlight w:val="none"/>
        </w:rPr>
      </w:pPr>
    </w:p>
    <w:p w14:paraId="7FA1AFFC">
      <w:pPr>
        <w:pStyle w:val="17"/>
        <w:keepNext w:val="0"/>
        <w:keepLines w:val="0"/>
        <w:pageBreakBefore w:val="0"/>
        <w:kinsoku/>
        <w:overflowPunct/>
        <w:topLinePunct w:val="0"/>
        <w:autoSpaceDE/>
        <w:autoSpaceDN/>
        <w:bidi w:val="0"/>
        <w:adjustRightInd/>
        <w:snapToGrid/>
        <w:spacing w:line="560" w:lineRule="exac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附件：</w:t>
      </w:r>
    </w:p>
    <w:p w14:paraId="7EF4FF29">
      <w:pPr>
        <w:pStyle w:val="17"/>
        <w:keepNext w:val="0"/>
        <w:keepLines w:val="0"/>
        <w:pageBreakBefore w:val="0"/>
        <w:kinsoku/>
        <w:overflowPunct/>
        <w:topLinePunct w:val="0"/>
        <w:autoSpaceDE/>
        <w:autoSpaceDN/>
        <w:bidi w:val="0"/>
        <w:adjustRightInd/>
        <w:snapToGrid/>
        <w:spacing w:line="560" w:lineRule="exact"/>
        <w:textAlignment w:val="auto"/>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A、设备设施清单</w:t>
      </w:r>
    </w:p>
    <w:p w14:paraId="6AC22469">
      <w:pPr>
        <w:keepNext w:val="0"/>
        <w:keepLines w:val="0"/>
        <w:pageBreakBefore w:val="0"/>
        <w:kinsoku/>
        <w:overflowPunct/>
        <w:topLinePunct w:val="0"/>
        <w:autoSpaceDE/>
        <w:autoSpaceDN/>
        <w:bidi w:val="0"/>
        <w:adjustRightInd/>
        <w:snapToGrid/>
        <w:spacing w:line="560" w:lineRule="exact"/>
        <w:textAlignment w:val="auto"/>
        <w:rPr>
          <w:rFonts w:hint="eastAsia" w:ascii="宋体" w:hAnsi="宋体"/>
          <w:color w:val="auto"/>
          <w:sz w:val="24"/>
          <w:highlight w:val="none"/>
          <w:lang w:eastAsia="zh-CN"/>
        </w:rPr>
      </w:pPr>
    </w:p>
    <w:p w14:paraId="04794501">
      <w:pPr>
        <w:keepNext w:val="0"/>
        <w:keepLines w:val="0"/>
        <w:pageBreakBefore w:val="0"/>
        <w:kinsoku/>
        <w:overflowPunct/>
        <w:topLinePunct w:val="0"/>
        <w:autoSpaceDE/>
        <w:autoSpaceDN/>
        <w:bidi w:val="0"/>
        <w:adjustRightInd/>
        <w:snapToGrid/>
        <w:spacing w:line="560" w:lineRule="exact"/>
        <w:textAlignment w:val="auto"/>
        <w:rPr>
          <w:rFonts w:hint="eastAsia" w:ascii="宋体" w:hAnsi="宋体"/>
          <w:color w:val="auto"/>
          <w:sz w:val="24"/>
          <w:highlight w:val="none"/>
          <w:lang w:eastAsia="zh-CN"/>
        </w:rPr>
      </w:pPr>
    </w:p>
    <w:p w14:paraId="3F2356F0">
      <w:pPr>
        <w:keepNext w:val="0"/>
        <w:keepLines w:val="0"/>
        <w:pageBreakBefore w:val="0"/>
        <w:kinsoku/>
        <w:overflowPunct/>
        <w:topLinePunct w:val="0"/>
        <w:autoSpaceDE/>
        <w:autoSpaceDN/>
        <w:bidi w:val="0"/>
        <w:adjustRightInd/>
        <w:snapToGrid/>
        <w:spacing w:line="560" w:lineRule="exact"/>
        <w:textAlignment w:val="auto"/>
        <w:rPr>
          <w:rFonts w:hint="eastAsia" w:ascii="宋体" w:hAnsi="宋体"/>
          <w:color w:val="auto"/>
          <w:sz w:val="24"/>
          <w:highlight w:val="none"/>
          <w:lang w:eastAsia="zh-CN"/>
        </w:rPr>
      </w:pPr>
    </w:p>
    <w:p w14:paraId="4C3DE756">
      <w:pPr>
        <w:keepNext w:val="0"/>
        <w:keepLines w:val="0"/>
        <w:pageBreakBefore w:val="0"/>
        <w:kinsoku/>
        <w:overflowPunct/>
        <w:topLinePunct w:val="0"/>
        <w:autoSpaceDE/>
        <w:autoSpaceDN/>
        <w:bidi w:val="0"/>
        <w:adjustRightInd/>
        <w:snapToGrid/>
        <w:spacing w:line="560" w:lineRule="exact"/>
        <w:textAlignment w:val="auto"/>
        <w:rPr>
          <w:rFonts w:hint="eastAsia" w:ascii="宋体" w:hAnsi="宋体"/>
          <w:color w:val="auto"/>
          <w:sz w:val="24"/>
          <w:highlight w:val="none"/>
          <w:lang w:eastAsia="zh-CN"/>
        </w:rPr>
      </w:pPr>
      <w:r>
        <w:rPr>
          <w:rFonts w:hint="eastAsia" w:ascii="宋体" w:hAnsi="宋体"/>
          <w:color w:val="auto"/>
          <w:sz w:val="24"/>
          <w:highlight w:val="none"/>
          <w:lang w:eastAsia="zh-CN"/>
        </w:rPr>
        <w:t>以下无正文，为合同签署页。</w:t>
      </w:r>
    </w:p>
    <w:p w14:paraId="69460BF6">
      <w:pPr>
        <w:keepNext w:val="0"/>
        <w:keepLines w:val="0"/>
        <w:pageBreakBefore w:val="0"/>
        <w:kinsoku/>
        <w:overflowPunct/>
        <w:topLinePunct w:val="0"/>
        <w:autoSpaceDE/>
        <w:autoSpaceDN/>
        <w:bidi w:val="0"/>
        <w:adjustRightInd/>
        <w:snapToGrid/>
        <w:spacing w:line="560" w:lineRule="exact"/>
        <w:textAlignment w:val="auto"/>
        <w:rPr>
          <w:rFonts w:hint="eastAsia" w:ascii="宋体" w:hAnsi="宋体"/>
          <w:color w:val="auto"/>
          <w:sz w:val="24"/>
          <w:highlight w:val="none"/>
          <w:lang w:eastAsia="zh-CN"/>
        </w:rPr>
      </w:pPr>
    </w:p>
    <w:p w14:paraId="2C4B4310">
      <w:pPr>
        <w:keepNext w:val="0"/>
        <w:keepLines w:val="0"/>
        <w:pageBreakBefore w:val="0"/>
        <w:kinsoku/>
        <w:overflowPunct/>
        <w:topLinePunct w:val="0"/>
        <w:autoSpaceDE/>
        <w:autoSpaceDN/>
        <w:bidi w:val="0"/>
        <w:adjustRightInd/>
        <w:snapToGrid/>
        <w:spacing w:line="560" w:lineRule="exact"/>
        <w:textAlignment w:val="auto"/>
        <w:rPr>
          <w:rFonts w:hint="eastAsia" w:ascii="宋体" w:hAnsi="宋体"/>
          <w:color w:val="auto"/>
          <w:sz w:val="24"/>
          <w:highlight w:val="none"/>
        </w:rPr>
      </w:pPr>
    </w:p>
    <w:p w14:paraId="62F68762">
      <w:pPr>
        <w:keepNext w:val="0"/>
        <w:keepLines w:val="0"/>
        <w:pageBreakBefore w:val="0"/>
        <w:kinsoku/>
        <w:overflowPunct/>
        <w:topLinePunct w:val="0"/>
        <w:autoSpaceDE/>
        <w:autoSpaceDN/>
        <w:bidi w:val="0"/>
        <w:adjustRightInd/>
        <w:snapToGrid/>
        <w:spacing w:line="560" w:lineRule="exact"/>
        <w:textAlignment w:val="auto"/>
        <w:rPr>
          <w:rFonts w:hint="eastAsia" w:ascii="宋体" w:hAnsi="宋体"/>
          <w:color w:val="auto"/>
          <w:sz w:val="24"/>
          <w:highlight w:val="none"/>
        </w:rPr>
      </w:pPr>
      <w:r>
        <w:rPr>
          <w:rFonts w:hint="eastAsia" w:ascii="宋体" w:hAnsi="宋体"/>
          <w:color w:val="auto"/>
          <w:sz w:val="24"/>
          <w:highlight w:val="none"/>
        </w:rPr>
        <w:t xml:space="preserve">甲 方：                               乙 方： </w:t>
      </w:r>
    </w:p>
    <w:p w14:paraId="02B8C828">
      <w:pPr>
        <w:keepNext w:val="0"/>
        <w:keepLines w:val="0"/>
        <w:pageBreakBefore w:val="0"/>
        <w:kinsoku/>
        <w:overflowPunct/>
        <w:topLinePunct w:val="0"/>
        <w:autoSpaceDE/>
        <w:autoSpaceDN/>
        <w:bidi w:val="0"/>
        <w:adjustRightInd/>
        <w:snapToGrid/>
        <w:spacing w:line="560" w:lineRule="exact"/>
        <w:textAlignment w:val="auto"/>
        <w:rPr>
          <w:rFonts w:hint="eastAsia" w:ascii="宋体" w:hAnsi="宋体"/>
          <w:color w:val="auto"/>
          <w:sz w:val="24"/>
          <w:highlight w:val="none"/>
        </w:rPr>
      </w:pPr>
    </w:p>
    <w:p w14:paraId="2F313982">
      <w:pPr>
        <w:keepNext w:val="0"/>
        <w:keepLines w:val="0"/>
        <w:pageBreakBefore w:val="0"/>
        <w:kinsoku/>
        <w:overflowPunct/>
        <w:topLinePunct w:val="0"/>
        <w:autoSpaceDE/>
        <w:autoSpaceDN/>
        <w:bidi w:val="0"/>
        <w:adjustRightInd/>
        <w:snapToGrid/>
        <w:spacing w:line="560" w:lineRule="exact"/>
        <w:textAlignment w:val="auto"/>
        <w:rPr>
          <w:rFonts w:hint="eastAsia" w:ascii="宋体" w:hAnsi="宋体"/>
          <w:color w:val="auto"/>
          <w:sz w:val="24"/>
          <w:highlight w:val="non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法定代表人：</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008C571E">
      <w:pPr>
        <w:keepNext w:val="0"/>
        <w:keepLines w:val="0"/>
        <w:pageBreakBefore w:val="0"/>
        <w:kinsoku/>
        <w:overflowPunct/>
        <w:topLinePunct w:val="0"/>
        <w:autoSpaceDE/>
        <w:autoSpaceDN/>
        <w:bidi w:val="0"/>
        <w:adjustRightInd/>
        <w:snapToGrid/>
        <w:spacing w:line="560" w:lineRule="exact"/>
        <w:textAlignment w:val="auto"/>
        <w:rPr>
          <w:rFonts w:hint="eastAsia" w:ascii="宋体" w:hAnsi="宋体"/>
          <w:color w:val="auto"/>
          <w:sz w:val="24"/>
          <w:highlight w:val="none"/>
        </w:rPr>
      </w:pPr>
      <w:r>
        <w:rPr>
          <w:rFonts w:hint="eastAsia" w:ascii="宋体" w:hAnsi="宋体"/>
          <w:color w:val="auto"/>
          <w:sz w:val="24"/>
          <w:highlight w:val="none"/>
        </w:rPr>
        <w:t xml:space="preserve"> </w:t>
      </w:r>
    </w:p>
    <w:p w14:paraId="7DDFC775">
      <w:pPr>
        <w:keepNext w:val="0"/>
        <w:keepLines w:val="0"/>
        <w:widowControl/>
        <w:suppressLineNumbers w:val="0"/>
        <w:jc w:val="both"/>
        <w:textAlignment w:val="center"/>
        <w:rPr>
          <w:rFonts w:ascii="宋体" w:hAnsi="宋体"/>
          <w:color w:val="auto"/>
          <w:sz w:val="24"/>
          <w:highlight w:val="none"/>
        </w:rPr>
      </w:pPr>
      <w:r>
        <w:rPr>
          <w:rFonts w:hint="eastAsia" w:ascii="宋体" w:hAnsi="宋体"/>
          <w:color w:val="auto"/>
          <w:sz w:val="24"/>
          <w:highlight w:val="none"/>
        </w:rPr>
        <w:t>签订日期：</w:t>
      </w:r>
      <w:r>
        <w:rPr>
          <w:rFonts w:ascii="宋体" w:hAnsi="宋体"/>
          <w:color w:val="auto"/>
          <w:sz w:val="24"/>
          <w:highlight w:val="none"/>
        </w:rPr>
        <w:t>20</w:t>
      </w:r>
      <w:r>
        <w:rPr>
          <w:rFonts w:hint="eastAsia" w:ascii="宋体" w:hAnsi="宋体"/>
          <w:color w:val="auto"/>
          <w:sz w:val="24"/>
          <w:highlight w:val="none"/>
        </w:rPr>
        <w:t>25</w:t>
      </w:r>
      <w:r>
        <w:rPr>
          <w:rFonts w:ascii="宋体" w:hAnsi="宋体"/>
          <w:color w:val="auto"/>
          <w:sz w:val="24"/>
          <w:highlight w:val="none"/>
        </w:rPr>
        <w:t>年</w:t>
      </w:r>
      <w:r>
        <w:rPr>
          <w:rFonts w:hint="eastAsia" w:ascii="宋体" w:hAnsi="宋体"/>
          <w:color w:val="auto"/>
          <w:sz w:val="24"/>
          <w:highlight w:val="none"/>
        </w:rPr>
        <w:t xml:space="preserve">   </w:t>
      </w:r>
      <w:r>
        <w:rPr>
          <w:rFonts w:ascii="宋体" w:hAnsi="宋体"/>
          <w:color w:val="auto"/>
          <w:sz w:val="24"/>
          <w:highlight w:val="none"/>
        </w:rPr>
        <w:t>月</w:t>
      </w:r>
      <w:r>
        <w:rPr>
          <w:rFonts w:hint="eastAsia" w:ascii="宋体" w:hAnsi="宋体"/>
          <w:color w:val="auto"/>
          <w:sz w:val="24"/>
          <w:highlight w:val="none"/>
        </w:rPr>
        <w:t xml:space="preserve">   </w:t>
      </w:r>
      <w:r>
        <w:rPr>
          <w:rFonts w:ascii="宋体" w:hAnsi="宋体"/>
          <w:color w:val="auto"/>
          <w:sz w:val="24"/>
          <w:highlight w:val="none"/>
        </w:rPr>
        <w:t>日</w:t>
      </w:r>
      <w:r>
        <w:rPr>
          <w:rFonts w:hint="eastAsia" w:ascii="宋体" w:hAnsi="宋体"/>
          <w:color w:val="auto"/>
          <w:sz w:val="24"/>
          <w:highlight w:val="none"/>
        </w:rPr>
        <w:t xml:space="preserve">            </w:t>
      </w:r>
      <w:r>
        <w:rPr>
          <w:rFonts w:hint="eastAsia" w:ascii="宋体" w:hAnsi="宋体"/>
          <w:color w:val="auto"/>
          <w:sz w:val="28"/>
          <w:szCs w:val="28"/>
          <w:highlight w:val="none"/>
        </w:rPr>
        <w:t>签订日期：</w:t>
      </w:r>
      <w:r>
        <w:rPr>
          <w:rFonts w:ascii="宋体" w:hAnsi="宋体"/>
          <w:color w:val="auto"/>
          <w:sz w:val="24"/>
          <w:highlight w:val="none"/>
        </w:rPr>
        <w:t>20</w:t>
      </w:r>
      <w:r>
        <w:rPr>
          <w:rFonts w:hint="eastAsia" w:ascii="宋体" w:hAnsi="宋体"/>
          <w:color w:val="auto"/>
          <w:sz w:val="24"/>
          <w:highlight w:val="none"/>
        </w:rPr>
        <w:t>25</w:t>
      </w:r>
      <w:r>
        <w:rPr>
          <w:rFonts w:ascii="宋体" w:hAnsi="宋体"/>
          <w:color w:val="auto"/>
          <w:sz w:val="24"/>
          <w:highlight w:val="none"/>
        </w:rPr>
        <w:t>年</w:t>
      </w:r>
      <w:r>
        <w:rPr>
          <w:rFonts w:hint="eastAsia" w:ascii="宋体" w:hAnsi="宋体"/>
          <w:color w:val="auto"/>
          <w:sz w:val="24"/>
          <w:highlight w:val="none"/>
        </w:rPr>
        <w:t xml:space="preserve">   </w:t>
      </w:r>
      <w:r>
        <w:rPr>
          <w:rFonts w:ascii="宋体" w:hAnsi="宋体"/>
          <w:color w:val="auto"/>
          <w:sz w:val="24"/>
          <w:highlight w:val="none"/>
        </w:rPr>
        <w:t>月</w:t>
      </w:r>
      <w:r>
        <w:rPr>
          <w:rFonts w:hint="eastAsia" w:ascii="宋体" w:hAnsi="宋体"/>
          <w:color w:val="auto"/>
          <w:sz w:val="24"/>
          <w:highlight w:val="none"/>
        </w:rPr>
        <w:t xml:space="preserve">   </w:t>
      </w:r>
      <w:r>
        <w:rPr>
          <w:rFonts w:ascii="宋体" w:hAnsi="宋体"/>
          <w:color w:val="auto"/>
          <w:sz w:val="24"/>
          <w:highlight w:val="none"/>
        </w:rPr>
        <w:t>日</w:t>
      </w:r>
    </w:p>
    <w:p w14:paraId="26B763A8">
      <w:pPr>
        <w:keepNext w:val="0"/>
        <w:keepLines w:val="0"/>
        <w:widowControl/>
        <w:suppressLineNumbers w:val="0"/>
        <w:jc w:val="both"/>
        <w:textAlignment w:val="center"/>
        <w:rPr>
          <w:rFonts w:ascii="宋体" w:hAnsi="宋体"/>
          <w:color w:val="auto"/>
          <w:sz w:val="24"/>
          <w:highlight w:val="none"/>
        </w:rPr>
      </w:pPr>
    </w:p>
    <w:p w14:paraId="108C74F2">
      <w:pPr>
        <w:keepNext w:val="0"/>
        <w:keepLines w:val="0"/>
        <w:widowControl/>
        <w:suppressLineNumbers w:val="0"/>
        <w:jc w:val="both"/>
        <w:textAlignment w:val="center"/>
        <w:rPr>
          <w:rFonts w:ascii="宋体" w:hAnsi="宋体"/>
          <w:color w:val="auto"/>
          <w:sz w:val="24"/>
          <w:highlight w:val="none"/>
        </w:rPr>
      </w:pPr>
    </w:p>
    <w:p w14:paraId="5E8FA45A">
      <w:pPr>
        <w:keepNext w:val="0"/>
        <w:keepLines w:val="0"/>
        <w:widowControl/>
        <w:suppressLineNumbers w:val="0"/>
        <w:jc w:val="both"/>
        <w:textAlignment w:val="center"/>
        <w:rPr>
          <w:rFonts w:ascii="宋体" w:hAnsi="宋体"/>
          <w:color w:val="auto"/>
          <w:sz w:val="24"/>
          <w:highlight w:val="none"/>
        </w:rPr>
      </w:pPr>
    </w:p>
    <w:p w14:paraId="27E686F8">
      <w:pPr>
        <w:keepNext w:val="0"/>
        <w:keepLines w:val="0"/>
        <w:widowControl/>
        <w:suppressLineNumbers w:val="0"/>
        <w:jc w:val="both"/>
        <w:textAlignment w:val="center"/>
        <w:rPr>
          <w:rFonts w:ascii="宋体" w:hAnsi="宋体"/>
          <w:color w:val="auto"/>
          <w:sz w:val="24"/>
          <w:highlight w:val="none"/>
        </w:rPr>
      </w:pPr>
    </w:p>
    <w:p w14:paraId="269D2018">
      <w:pPr>
        <w:keepNext w:val="0"/>
        <w:keepLines w:val="0"/>
        <w:widowControl/>
        <w:suppressLineNumbers w:val="0"/>
        <w:jc w:val="both"/>
        <w:textAlignment w:val="center"/>
        <w:rPr>
          <w:rFonts w:ascii="宋体" w:hAnsi="宋体"/>
          <w:color w:val="auto"/>
          <w:sz w:val="24"/>
          <w:highlight w:val="none"/>
        </w:rPr>
      </w:pPr>
    </w:p>
    <w:p w14:paraId="10B6DAE9">
      <w:pPr>
        <w:keepNext w:val="0"/>
        <w:keepLines w:val="0"/>
        <w:widowControl/>
        <w:suppressLineNumbers w:val="0"/>
        <w:jc w:val="both"/>
        <w:textAlignment w:val="center"/>
        <w:rPr>
          <w:rFonts w:ascii="宋体" w:hAnsi="宋体"/>
          <w:color w:val="auto"/>
          <w:sz w:val="24"/>
          <w:highlight w:val="none"/>
        </w:rPr>
      </w:pPr>
    </w:p>
    <w:p w14:paraId="05B90DD5">
      <w:pPr>
        <w:keepNext w:val="0"/>
        <w:keepLines w:val="0"/>
        <w:widowControl/>
        <w:suppressLineNumbers w:val="0"/>
        <w:jc w:val="both"/>
        <w:textAlignment w:val="center"/>
        <w:rPr>
          <w:rFonts w:ascii="宋体" w:hAnsi="宋体"/>
          <w:color w:val="auto"/>
          <w:sz w:val="24"/>
          <w:highlight w:val="none"/>
        </w:rPr>
      </w:pPr>
    </w:p>
    <w:p w14:paraId="5DA20947">
      <w:pPr>
        <w:keepNext w:val="0"/>
        <w:keepLines w:val="0"/>
        <w:widowControl/>
        <w:suppressLineNumbers w:val="0"/>
        <w:jc w:val="both"/>
        <w:textAlignment w:val="center"/>
        <w:rPr>
          <w:rFonts w:ascii="宋体" w:hAnsi="宋体"/>
          <w:color w:val="auto"/>
          <w:sz w:val="24"/>
          <w:highlight w:val="none"/>
        </w:rPr>
      </w:pPr>
    </w:p>
    <w:p w14:paraId="63D9DC63">
      <w:pPr>
        <w:keepNext w:val="0"/>
        <w:keepLines w:val="0"/>
        <w:widowControl/>
        <w:suppressLineNumbers w:val="0"/>
        <w:jc w:val="both"/>
        <w:textAlignment w:val="center"/>
        <w:rPr>
          <w:rFonts w:ascii="宋体" w:hAnsi="宋体"/>
          <w:color w:val="auto"/>
          <w:sz w:val="24"/>
          <w:highlight w:val="none"/>
        </w:rPr>
      </w:pPr>
    </w:p>
    <w:p w14:paraId="7C3229B0">
      <w:pPr>
        <w:keepNext w:val="0"/>
        <w:keepLines w:val="0"/>
        <w:widowControl/>
        <w:suppressLineNumbers w:val="0"/>
        <w:jc w:val="both"/>
        <w:textAlignment w:val="center"/>
        <w:rPr>
          <w:rFonts w:ascii="宋体" w:hAnsi="宋体"/>
          <w:color w:val="auto"/>
          <w:sz w:val="24"/>
          <w:highlight w:val="none"/>
        </w:rPr>
      </w:pPr>
    </w:p>
    <w:p w14:paraId="02220E0F">
      <w:pPr>
        <w:keepNext w:val="0"/>
        <w:keepLines w:val="0"/>
        <w:widowControl/>
        <w:suppressLineNumbers w:val="0"/>
        <w:jc w:val="both"/>
        <w:textAlignment w:val="center"/>
        <w:rPr>
          <w:rFonts w:ascii="宋体" w:hAnsi="宋体"/>
          <w:color w:val="auto"/>
          <w:sz w:val="24"/>
          <w:highlight w:val="none"/>
        </w:rPr>
      </w:pPr>
    </w:p>
    <w:p w14:paraId="68F55993">
      <w:pPr>
        <w:keepNext w:val="0"/>
        <w:keepLines w:val="0"/>
        <w:widowControl/>
        <w:suppressLineNumbers w:val="0"/>
        <w:jc w:val="both"/>
        <w:textAlignment w:val="center"/>
        <w:rPr>
          <w:rFonts w:ascii="宋体" w:hAnsi="宋体"/>
          <w:color w:val="auto"/>
          <w:sz w:val="24"/>
          <w:highlight w:val="none"/>
        </w:rPr>
      </w:pPr>
    </w:p>
    <w:p w14:paraId="117F5580">
      <w:pPr>
        <w:keepNext w:val="0"/>
        <w:keepLines w:val="0"/>
        <w:widowControl/>
        <w:suppressLineNumbers w:val="0"/>
        <w:jc w:val="both"/>
        <w:textAlignment w:val="center"/>
        <w:rPr>
          <w:rFonts w:ascii="宋体" w:hAnsi="宋体"/>
          <w:color w:val="auto"/>
          <w:sz w:val="24"/>
          <w:highlight w:val="none"/>
        </w:rPr>
      </w:pPr>
    </w:p>
    <w:p w14:paraId="18AE8A34">
      <w:pPr>
        <w:keepNext w:val="0"/>
        <w:keepLines w:val="0"/>
        <w:widowControl/>
        <w:suppressLineNumbers w:val="0"/>
        <w:jc w:val="both"/>
        <w:textAlignment w:val="center"/>
        <w:rPr>
          <w:rFonts w:ascii="宋体" w:hAnsi="宋体"/>
          <w:color w:val="auto"/>
          <w:sz w:val="24"/>
          <w:highlight w:val="none"/>
        </w:rPr>
      </w:pPr>
    </w:p>
    <w:p w14:paraId="09A6353A">
      <w:pPr>
        <w:keepNext w:val="0"/>
        <w:keepLines w:val="0"/>
        <w:widowControl/>
        <w:suppressLineNumbers w:val="0"/>
        <w:jc w:val="both"/>
        <w:textAlignment w:val="center"/>
        <w:rPr>
          <w:rFonts w:ascii="宋体" w:hAnsi="宋体"/>
          <w:color w:val="auto"/>
          <w:sz w:val="24"/>
          <w:highlight w:val="none"/>
        </w:rPr>
      </w:pPr>
    </w:p>
    <w:p w14:paraId="62D43C8C">
      <w:pPr>
        <w:keepNext w:val="0"/>
        <w:keepLines w:val="0"/>
        <w:widowControl/>
        <w:suppressLineNumbers w:val="0"/>
        <w:jc w:val="both"/>
        <w:textAlignment w:val="center"/>
        <w:rPr>
          <w:rFonts w:ascii="宋体" w:hAnsi="宋体"/>
          <w:color w:val="auto"/>
          <w:sz w:val="24"/>
          <w:highlight w:val="none"/>
        </w:rPr>
      </w:pPr>
    </w:p>
    <w:p w14:paraId="0483D444">
      <w:pPr>
        <w:keepNext w:val="0"/>
        <w:keepLines w:val="0"/>
        <w:widowControl/>
        <w:suppressLineNumbers w:val="0"/>
        <w:jc w:val="both"/>
        <w:textAlignment w:val="center"/>
        <w:rPr>
          <w:rFonts w:ascii="宋体" w:hAnsi="宋体"/>
          <w:color w:val="auto"/>
          <w:sz w:val="24"/>
          <w:highlight w:val="none"/>
        </w:rPr>
      </w:pPr>
    </w:p>
    <w:p w14:paraId="42A84015">
      <w:pPr>
        <w:keepNext w:val="0"/>
        <w:keepLines w:val="0"/>
        <w:widowControl/>
        <w:suppressLineNumbers w:val="0"/>
        <w:jc w:val="both"/>
        <w:textAlignment w:val="center"/>
        <w:rPr>
          <w:rFonts w:ascii="宋体" w:hAnsi="宋体"/>
          <w:color w:val="auto"/>
          <w:sz w:val="24"/>
          <w:highlight w:val="none"/>
        </w:rPr>
      </w:pPr>
    </w:p>
    <w:p w14:paraId="6054B829">
      <w:pPr>
        <w:keepNext w:val="0"/>
        <w:keepLines w:val="0"/>
        <w:widowControl/>
        <w:suppressLineNumbers w:val="0"/>
        <w:jc w:val="both"/>
        <w:textAlignment w:val="center"/>
        <w:rPr>
          <w:rFonts w:ascii="宋体" w:hAnsi="宋体"/>
          <w:color w:val="auto"/>
          <w:sz w:val="24"/>
          <w:highlight w:val="none"/>
        </w:rPr>
      </w:pPr>
    </w:p>
    <w:p w14:paraId="5C225DF0">
      <w:pPr>
        <w:keepNext w:val="0"/>
        <w:keepLines w:val="0"/>
        <w:widowControl/>
        <w:suppressLineNumbers w:val="0"/>
        <w:jc w:val="both"/>
        <w:textAlignment w:val="center"/>
        <w:rPr>
          <w:rFonts w:ascii="宋体" w:hAnsi="宋体"/>
          <w:color w:val="auto"/>
          <w:sz w:val="24"/>
          <w:highlight w:val="none"/>
        </w:rPr>
      </w:pPr>
    </w:p>
    <w:p w14:paraId="4F06177D">
      <w:pPr>
        <w:keepNext w:val="0"/>
        <w:keepLines w:val="0"/>
        <w:widowControl/>
        <w:suppressLineNumbers w:val="0"/>
        <w:jc w:val="both"/>
        <w:textAlignment w:val="center"/>
        <w:rPr>
          <w:rFonts w:ascii="宋体" w:hAnsi="宋体"/>
          <w:color w:val="auto"/>
          <w:sz w:val="24"/>
          <w:highlight w:val="none"/>
        </w:rPr>
      </w:pPr>
    </w:p>
    <w:p w14:paraId="550269AF">
      <w:pPr>
        <w:keepNext w:val="0"/>
        <w:keepLines w:val="0"/>
        <w:widowControl/>
        <w:suppressLineNumbers w:val="0"/>
        <w:jc w:val="both"/>
        <w:textAlignment w:val="center"/>
        <w:rPr>
          <w:rFonts w:ascii="宋体" w:hAnsi="宋体"/>
          <w:color w:val="auto"/>
          <w:sz w:val="24"/>
          <w:highlight w:val="none"/>
        </w:rPr>
      </w:pPr>
    </w:p>
    <w:p w14:paraId="79B6E55F">
      <w:pPr>
        <w:keepNext w:val="0"/>
        <w:keepLines w:val="0"/>
        <w:widowControl/>
        <w:suppressLineNumbers w:val="0"/>
        <w:jc w:val="both"/>
        <w:textAlignment w:val="center"/>
        <w:rPr>
          <w:rFonts w:ascii="宋体" w:hAnsi="宋体"/>
          <w:color w:val="auto"/>
          <w:sz w:val="24"/>
          <w:highlight w:val="none"/>
        </w:rPr>
      </w:pPr>
    </w:p>
    <w:p w14:paraId="72F70084">
      <w:pPr>
        <w:keepNext w:val="0"/>
        <w:keepLines w:val="0"/>
        <w:widowControl/>
        <w:suppressLineNumbers w:val="0"/>
        <w:jc w:val="both"/>
        <w:textAlignment w:val="center"/>
        <w:rPr>
          <w:rFonts w:ascii="宋体" w:hAnsi="宋体"/>
          <w:color w:val="auto"/>
          <w:sz w:val="24"/>
          <w:highlight w:val="none"/>
        </w:rPr>
      </w:pPr>
    </w:p>
    <w:p w14:paraId="29CA3C95">
      <w:pPr>
        <w:keepNext w:val="0"/>
        <w:keepLines w:val="0"/>
        <w:widowControl/>
        <w:suppressLineNumbers w:val="0"/>
        <w:jc w:val="both"/>
        <w:textAlignment w:val="center"/>
        <w:rPr>
          <w:rFonts w:ascii="宋体" w:hAnsi="宋体"/>
          <w:color w:val="auto"/>
          <w:sz w:val="24"/>
          <w:highlight w:val="none"/>
        </w:rPr>
      </w:pPr>
    </w:p>
    <w:p w14:paraId="5E0041D7">
      <w:pPr>
        <w:keepNext w:val="0"/>
        <w:keepLines w:val="0"/>
        <w:widowControl/>
        <w:suppressLineNumbers w:val="0"/>
        <w:jc w:val="both"/>
        <w:textAlignment w:val="center"/>
        <w:rPr>
          <w:rFonts w:ascii="宋体" w:hAnsi="宋体"/>
          <w:color w:val="auto"/>
          <w:sz w:val="24"/>
          <w:highlight w:val="none"/>
        </w:rPr>
      </w:pPr>
    </w:p>
    <w:p w14:paraId="54E99AE9">
      <w:pPr>
        <w:keepNext w:val="0"/>
        <w:keepLines w:val="0"/>
        <w:widowControl/>
        <w:suppressLineNumbers w:val="0"/>
        <w:jc w:val="both"/>
        <w:textAlignment w:val="center"/>
        <w:rPr>
          <w:rFonts w:ascii="宋体" w:hAnsi="宋体"/>
          <w:color w:val="auto"/>
          <w:sz w:val="24"/>
          <w:highlight w:val="none"/>
        </w:rPr>
      </w:pPr>
    </w:p>
    <w:p w14:paraId="35A9BED3">
      <w:pPr>
        <w:keepNext w:val="0"/>
        <w:keepLines w:val="0"/>
        <w:widowControl/>
        <w:suppressLineNumbers w:val="0"/>
        <w:jc w:val="both"/>
        <w:textAlignment w:val="center"/>
        <w:rPr>
          <w:rFonts w:ascii="宋体" w:hAnsi="宋体"/>
          <w:color w:val="auto"/>
          <w:sz w:val="24"/>
          <w:highlight w:val="none"/>
        </w:rPr>
      </w:pPr>
    </w:p>
    <w:p w14:paraId="5A5A1334">
      <w:pPr>
        <w:keepNext w:val="0"/>
        <w:keepLines w:val="0"/>
        <w:widowControl/>
        <w:suppressLineNumbers w:val="0"/>
        <w:jc w:val="both"/>
        <w:textAlignment w:val="center"/>
        <w:rPr>
          <w:rFonts w:ascii="宋体" w:hAnsi="宋体"/>
          <w:color w:val="auto"/>
          <w:sz w:val="24"/>
          <w:highlight w:val="none"/>
        </w:rPr>
      </w:pPr>
    </w:p>
    <w:p w14:paraId="20862E17">
      <w:pPr>
        <w:keepNext w:val="0"/>
        <w:keepLines w:val="0"/>
        <w:widowControl/>
        <w:suppressLineNumbers w:val="0"/>
        <w:jc w:val="both"/>
        <w:textAlignment w:val="center"/>
        <w:rPr>
          <w:rFonts w:ascii="宋体" w:hAnsi="宋体"/>
          <w:color w:val="auto"/>
          <w:sz w:val="24"/>
          <w:highlight w:val="none"/>
        </w:rPr>
      </w:pPr>
    </w:p>
    <w:p w14:paraId="2FC7AC60">
      <w:pPr>
        <w:keepNext w:val="0"/>
        <w:keepLines w:val="0"/>
        <w:widowControl/>
        <w:suppressLineNumbers w:val="0"/>
        <w:jc w:val="both"/>
        <w:textAlignment w:val="center"/>
        <w:rPr>
          <w:rFonts w:ascii="宋体" w:hAnsi="宋体"/>
          <w:color w:val="auto"/>
          <w:sz w:val="24"/>
          <w:highlight w:val="none"/>
        </w:rPr>
      </w:pPr>
    </w:p>
    <w:p w14:paraId="563548EA">
      <w:pPr>
        <w:keepNext w:val="0"/>
        <w:keepLines w:val="0"/>
        <w:widowControl/>
        <w:suppressLineNumbers w:val="0"/>
        <w:jc w:val="both"/>
        <w:textAlignment w:val="center"/>
        <w:rPr>
          <w:rFonts w:ascii="宋体" w:hAnsi="宋体"/>
          <w:color w:val="auto"/>
          <w:sz w:val="24"/>
          <w:highlight w:val="none"/>
        </w:rPr>
      </w:pPr>
    </w:p>
    <w:p w14:paraId="4F271913">
      <w:pPr>
        <w:keepNext w:val="0"/>
        <w:keepLines w:val="0"/>
        <w:widowControl/>
        <w:suppressLineNumbers w:val="0"/>
        <w:jc w:val="both"/>
        <w:textAlignment w:val="center"/>
        <w:rPr>
          <w:rFonts w:ascii="宋体" w:hAnsi="宋体"/>
          <w:color w:val="auto"/>
          <w:sz w:val="24"/>
          <w:highlight w:val="none"/>
        </w:rPr>
      </w:pPr>
    </w:p>
    <w:p w14:paraId="0D6A6164">
      <w:pPr>
        <w:keepNext w:val="0"/>
        <w:keepLines w:val="0"/>
        <w:widowControl/>
        <w:suppressLineNumbers w:val="0"/>
        <w:jc w:val="both"/>
        <w:textAlignment w:val="center"/>
        <w:rPr>
          <w:rFonts w:ascii="宋体" w:hAnsi="宋体"/>
          <w:color w:val="auto"/>
          <w:sz w:val="24"/>
          <w:highlight w:val="none"/>
        </w:rPr>
      </w:pPr>
    </w:p>
    <w:p w14:paraId="02F9F02C">
      <w:pPr>
        <w:keepNext w:val="0"/>
        <w:keepLines w:val="0"/>
        <w:widowControl/>
        <w:suppressLineNumbers w:val="0"/>
        <w:jc w:val="both"/>
        <w:textAlignment w:val="center"/>
        <w:rPr>
          <w:rFonts w:ascii="宋体" w:hAnsi="宋体"/>
          <w:color w:val="auto"/>
          <w:sz w:val="24"/>
          <w:highlight w:val="none"/>
        </w:rPr>
      </w:pPr>
    </w:p>
    <w:p w14:paraId="09EF847A">
      <w:pPr>
        <w:keepNext w:val="0"/>
        <w:keepLines w:val="0"/>
        <w:widowControl/>
        <w:suppressLineNumbers w:val="0"/>
        <w:jc w:val="both"/>
        <w:textAlignment w:val="center"/>
        <w:rPr>
          <w:rFonts w:ascii="宋体" w:hAnsi="宋体"/>
          <w:color w:val="auto"/>
          <w:sz w:val="24"/>
          <w:highlight w:val="none"/>
        </w:rPr>
      </w:pPr>
    </w:p>
    <w:p w14:paraId="2CD367C5">
      <w:pPr>
        <w:keepNext w:val="0"/>
        <w:keepLines w:val="0"/>
        <w:widowControl/>
        <w:suppressLineNumbers w:val="0"/>
        <w:jc w:val="both"/>
        <w:textAlignment w:val="center"/>
        <w:rPr>
          <w:rFonts w:hint="default" w:ascii="宋体" w:hAnsi="宋体" w:eastAsia="宋体" w:cs="宋体"/>
          <w:b/>
          <w:bCs/>
          <w:i w:val="0"/>
          <w:iCs w:val="0"/>
          <w:color w:val="auto"/>
          <w:kern w:val="0"/>
          <w:sz w:val="36"/>
          <w:szCs w:val="36"/>
          <w:highlight w:val="none"/>
          <w:u w:val="none"/>
          <w:lang w:val="en-US" w:eastAsia="zh-CN" w:bidi="ar"/>
        </w:rPr>
      </w:pPr>
      <w:r>
        <w:rPr>
          <w:rFonts w:hint="eastAsia" w:ascii="宋体" w:hAnsi="宋体" w:eastAsia="宋体" w:cs="宋体"/>
          <w:b/>
          <w:bCs/>
          <w:i w:val="0"/>
          <w:iCs w:val="0"/>
          <w:color w:val="auto"/>
          <w:kern w:val="0"/>
          <w:sz w:val="36"/>
          <w:szCs w:val="36"/>
          <w:highlight w:val="none"/>
          <w:u w:val="none"/>
          <w:lang w:val="en-US" w:eastAsia="zh-CN" w:bidi="ar"/>
        </w:rPr>
        <w:t>附件A</w:t>
      </w:r>
    </w:p>
    <w:tbl>
      <w:tblPr>
        <w:tblStyle w:val="45"/>
        <w:tblW w:w="9023"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8"/>
        <w:gridCol w:w="1208"/>
        <w:gridCol w:w="2921"/>
        <w:gridCol w:w="4346"/>
      </w:tblGrid>
      <w:tr w14:paraId="47EAE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023" w:type="dxa"/>
            <w:gridSpan w:val="4"/>
            <w:tcBorders>
              <w:top w:val="nil"/>
              <w:left w:val="nil"/>
              <w:bottom w:val="nil"/>
              <w:right w:val="nil"/>
            </w:tcBorders>
            <w:shd w:val="clear" w:color="auto" w:fill="auto"/>
            <w:noWrap/>
            <w:vAlign w:val="center"/>
          </w:tcPr>
          <w:p w14:paraId="3C9B3B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36"/>
                <w:szCs w:val="36"/>
                <w:highlight w:val="none"/>
                <w:u w:val="none"/>
              </w:rPr>
            </w:pPr>
            <w:r>
              <w:rPr>
                <w:rFonts w:hint="eastAsia" w:ascii="宋体" w:hAnsi="宋体" w:cs="宋体"/>
                <w:bCs/>
                <w:color w:val="auto"/>
                <w:sz w:val="32"/>
                <w:szCs w:val="32"/>
                <w:highlight w:val="none"/>
                <w:lang w:val="en-US" w:eastAsia="zh-CN"/>
              </w:rPr>
              <w:t>设备设施清单</w:t>
            </w:r>
          </w:p>
        </w:tc>
      </w:tr>
      <w:tr w14:paraId="6279A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513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建筑属性</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004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项目名称</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D7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实施部位</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38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完成标准</w:t>
            </w:r>
          </w:p>
        </w:tc>
      </w:tr>
      <w:tr w14:paraId="67856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9" w:hRule="atLeast"/>
        </w:trPr>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79F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1号宿舍楼</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87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天棚工程（天花）</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AA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疏散通道、安全出口门厅、楼梯间、前室、设备房、厨房、宿舍等</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7F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楼梯间、安全出口门厅、疏散通道、宿舍喷涂白色无机涂料；商业、变配电房为毛坯顶棚、首层扩大前室、货梯厅为吊顶天棚，食堂、厨房、空调机位为毛坯顶棚</w:t>
            </w:r>
          </w:p>
        </w:tc>
      </w:tr>
      <w:tr w14:paraId="48364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651F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9E6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857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卫生间</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ED7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防潮顶棚</w:t>
            </w:r>
          </w:p>
        </w:tc>
      </w:tr>
      <w:tr w14:paraId="48C0E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EB24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2EF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内墙工程</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C9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厨房、厕所、卫生间及有防水要求的房间墙体</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FC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厨房为水泥砂浆墙面，卫生间为无机涂料墙面</w:t>
            </w:r>
          </w:p>
        </w:tc>
      </w:tr>
      <w:tr w14:paraId="58909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C21A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8B8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F4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疏散通道、安全出口门厅、楼梯间、前室、设备房、厨房等</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D5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配电房为毛坯墙面，商业为水泥砂浆墙面，扩大前室，货梯厅为面砖墙面；食堂，厨房为水泥砂浆墙面</w:t>
            </w:r>
          </w:p>
        </w:tc>
      </w:tr>
      <w:tr w14:paraId="01DFA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29ED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CE3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F8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宿舍内部墙体</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3B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无机涂料墙面</w:t>
            </w:r>
          </w:p>
        </w:tc>
      </w:tr>
      <w:tr w14:paraId="12E26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7927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48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外墙工程</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BB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主体外墙</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1C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水泥砂浆找平，喷或滚刷外墙涂料</w:t>
            </w:r>
          </w:p>
        </w:tc>
      </w:tr>
      <w:tr w14:paraId="4275F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3AD8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77F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F3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天面</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600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C20细石砼压光</w:t>
            </w:r>
          </w:p>
        </w:tc>
      </w:tr>
      <w:tr w14:paraId="6785B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DD2E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DF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楼地面装饰工程</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D2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阳台地面</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13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陶瓷地砖</w:t>
            </w:r>
          </w:p>
        </w:tc>
      </w:tr>
      <w:tr w14:paraId="02C66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DCED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577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22A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卫生间、宿舍地面</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00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陶瓷地砖</w:t>
            </w:r>
          </w:p>
        </w:tc>
      </w:tr>
      <w:tr w14:paraId="0F7E9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594B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AF75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E7D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电梯厅，前室，配套用房，首层扩大前室，货梯厅等</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A9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地砖</w:t>
            </w:r>
          </w:p>
        </w:tc>
      </w:tr>
      <w:tr w14:paraId="5960A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DD9E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4A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门安装工程</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6C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所以门洞口</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D8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全部安装门</w:t>
            </w:r>
          </w:p>
        </w:tc>
      </w:tr>
      <w:tr w14:paraId="20585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E129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AF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栏杆工程</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96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楼梯栏杆（高度900mm）</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CA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楼梯</w:t>
            </w:r>
          </w:p>
        </w:tc>
      </w:tr>
      <w:tr w14:paraId="65BA2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5600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2BC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F7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无障碍靠墙扶手</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F8A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无障碍通道</w:t>
            </w:r>
          </w:p>
        </w:tc>
      </w:tr>
      <w:tr w14:paraId="70D91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49EF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8CD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4F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玻璃栏板</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7A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楼层边缘</w:t>
            </w:r>
          </w:p>
        </w:tc>
      </w:tr>
      <w:tr w14:paraId="5520E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A47C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DA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卫生间</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86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卫生间配套</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16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洗脸盆、坐便器/蹲便器、淋浴器</w:t>
            </w:r>
          </w:p>
        </w:tc>
      </w:tr>
      <w:tr w14:paraId="1AF4F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A082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03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消防、通风工程</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10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各部位</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21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满足竣工联合验收规范标准</w:t>
            </w:r>
          </w:p>
        </w:tc>
      </w:tr>
      <w:tr w14:paraId="4D056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trPr>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408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2号商业楼</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F0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天棚工程（天花）</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246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所有天花</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44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喷涂白色无机涂料</w:t>
            </w:r>
          </w:p>
        </w:tc>
      </w:tr>
      <w:tr w14:paraId="16793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2CBD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8E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内墙工程</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21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加气块砌体</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3D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抹灰、喷涂白色无机涂料</w:t>
            </w:r>
          </w:p>
        </w:tc>
      </w:tr>
      <w:tr w14:paraId="125A4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A265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276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034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混凝土内墙</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5F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喷涂白色无机涂料</w:t>
            </w:r>
          </w:p>
        </w:tc>
      </w:tr>
      <w:tr w14:paraId="4F0A4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8A60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B5BD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62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卫生间</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54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毛坯交付</w:t>
            </w:r>
          </w:p>
        </w:tc>
      </w:tr>
      <w:tr w14:paraId="1DF4C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DBC8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FF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外墙工程</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E6F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所有外墙</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8B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外墙涂料完成</w:t>
            </w:r>
          </w:p>
        </w:tc>
      </w:tr>
      <w:tr w14:paraId="101D0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3CCD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E28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楼地面装饰工程</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0E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卫生间</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31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毛坯交付</w:t>
            </w:r>
          </w:p>
        </w:tc>
      </w:tr>
      <w:tr w14:paraId="340CC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CD1B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E54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DD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楼梯间</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78B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水泥砂浆楼地面</w:t>
            </w:r>
          </w:p>
        </w:tc>
      </w:tr>
      <w:tr w14:paraId="612F1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62EC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2ED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9E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楼梯台阶</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DC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防滑地砖</w:t>
            </w:r>
          </w:p>
        </w:tc>
      </w:tr>
      <w:tr w14:paraId="6CB11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489A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250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1D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其他楼地面</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DA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防滑地砖</w:t>
            </w:r>
          </w:p>
        </w:tc>
      </w:tr>
      <w:tr w14:paraId="46D88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670A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3B5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门安装工程</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94C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所以门洞口</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44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非门窗编号的为土建预留洞口，其他洞口有门窗编号的为门窗安装洞口</w:t>
            </w:r>
          </w:p>
        </w:tc>
      </w:tr>
      <w:tr w14:paraId="11443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08A1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2E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栏杆工程</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D1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楼梯</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298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不锈钢栏杆</w:t>
            </w:r>
          </w:p>
        </w:tc>
      </w:tr>
      <w:tr w14:paraId="408F2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2857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D58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2D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窗台栏杆</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C5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铁艺栏杆</w:t>
            </w:r>
          </w:p>
        </w:tc>
      </w:tr>
      <w:tr w14:paraId="130FC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3595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AB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消防、通风工程</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DD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各部位</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06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满足竣工联合验收规范标准</w:t>
            </w:r>
          </w:p>
        </w:tc>
      </w:tr>
      <w:tr w14:paraId="32712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trPr>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1C6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工业厂房</w:t>
            </w:r>
          </w:p>
        </w:tc>
        <w:tc>
          <w:tcPr>
            <w:tcW w:w="1208" w:type="dxa"/>
            <w:tcBorders>
              <w:top w:val="single" w:color="000000" w:sz="4" w:space="0"/>
              <w:left w:val="nil"/>
              <w:bottom w:val="single" w:color="000000" w:sz="4" w:space="0"/>
              <w:right w:val="single" w:color="000000" w:sz="4" w:space="0"/>
            </w:tcBorders>
            <w:shd w:val="clear" w:color="auto" w:fill="auto"/>
            <w:noWrap/>
            <w:vAlign w:val="center"/>
          </w:tcPr>
          <w:p w14:paraId="432D4F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天棚工程（天花）</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BDD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所有天花</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FD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表面喷刷白色无机涂料</w:t>
            </w:r>
          </w:p>
        </w:tc>
      </w:tr>
      <w:tr w14:paraId="6CE82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F9C7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tcBorders>
              <w:top w:val="single" w:color="000000" w:sz="4" w:space="0"/>
              <w:left w:val="nil"/>
              <w:bottom w:val="single" w:color="000000" w:sz="4" w:space="0"/>
              <w:right w:val="single" w:color="000000" w:sz="4" w:space="0"/>
            </w:tcBorders>
            <w:shd w:val="clear" w:color="auto" w:fill="auto"/>
            <w:noWrap/>
            <w:vAlign w:val="center"/>
          </w:tcPr>
          <w:p w14:paraId="04EF66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内墙工程</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5F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所有内墙</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4E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除设备房水泥砂浆墙面和卫生间做釉面砖墙面外，其他均是喷刷白色无机涂料</w:t>
            </w:r>
          </w:p>
        </w:tc>
      </w:tr>
      <w:tr w14:paraId="38B78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9331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tcBorders>
              <w:top w:val="single" w:color="000000" w:sz="4" w:space="0"/>
              <w:left w:val="nil"/>
              <w:bottom w:val="single" w:color="000000" w:sz="4" w:space="0"/>
              <w:right w:val="single" w:color="000000" w:sz="4" w:space="0"/>
            </w:tcBorders>
            <w:shd w:val="clear" w:color="auto" w:fill="auto"/>
            <w:noWrap/>
            <w:vAlign w:val="center"/>
          </w:tcPr>
          <w:p w14:paraId="25A5CD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外墙工程</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58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所有外墙</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1C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外墙涂料完成</w:t>
            </w:r>
          </w:p>
        </w:tc>
      </w:tr>
      <w:tr w14:paraId="37F29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1546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tcBorders>
              <w:top w:val="single" w:color="000000" w:sz="4" w:space="0"/>
              <w:left w:val="nil"/>
              <w:bottom w:val="single" w:color="000000" w:sz="4" w:space="0"/>
              <w:right w:val="single" w:color="000000" w:sz="4" w:space="0"/>
            </w:tcBorders>
            <w:shd w:val="clear" w:color="auto" w:fill="auto"/>
            <w:noWrap/>
            <w:vAlign w:val="center"/>
          </w:tcPr>
          <w:p w14:paraId="0F8F88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门安装工程</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61B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所有门洞口</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D5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非门窗编号的为土建预留洞口，其他洞口有门窗编号的为门窗安装洞口</w:t>
            </w:r>
          </w:p>
        </w:tc>
      </w:tr>
      <w:tr w14:paraId="0557C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66C1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5A466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楼地面工程</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CB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厂房生产楼地面</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F0F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混凝土找平楼地面</w:t>
            </w:r>
          </w:p>
        </w:tc>
      </w:tr>
      <w:tr w14:paraId="024D4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4FDC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C33FC3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E5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楼梯、楼梯间</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9F6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水泥砂浆找平楼地面</w:t>
            </w:r>
          </w:p>
        </w:tc>
      </w:tr>
      <w:tr w14:paraId="02F6A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3E2D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9C4F5D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AE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墙角处</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D2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踢脚线</w:t>
            </w:r>
          </w:p>
        </w:tc>
      </w:tr>
      <w:tr w14:paraId="2985B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8B59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78D0CB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栏杆工程</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45B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楼梯</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54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楼梯栏杆（高度900mm）</w:t>
            </w:r>
          </w:p>
        </w:tc>
      </w:tr>
      <w:tr w14:paraId="35FA3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7D64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11B526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FF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出入口</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1D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可拆卸金属栏杆，吊装口处为可拆卸金属栏杆</w:t>
            </w:r>
          </w:p>
        </w:tc>
      </w:tr>
      <w:tr w14:paraId="4422F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10A8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BCAD60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C1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护窗</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02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不锈钢栏杆</w:t>
            </w:r>
          </w:p>
        </w:tc>
      </w:tr>
      <w:tr w14:paraId="25432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4FF2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tcBorders>
              <w:top w:val="single" w:color="000000" w:sz="4" w:space="0"/>
              <w:left w:val="nil"/>
              <w:bottom w:val="single" w:color="000000" w:sz="4" w:space="0"/>
              <w:right w:val="single" w:color="000000" w:sz="4" w:space="0"/>
            </w:tcBorders>
            <w:shd w:val="clear" w:color="auto" w:fill="auto"/>
            <w:noWrap/>
            <w:vAlign w:val="center"/>
          </w:tcPr>
          <w:p w14:paraId="3CB865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消防、通风工程</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10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各部位</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6A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满足竣工联合验收规范标准</w:t>
            </w:r>
          </w:p>
        </w:tc>
      </w:tr>
      <w:tr w14:paraId="5F104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7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A08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市政道路、园林景观</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EE8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机动车道</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6E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沥青铺装路面</w:t>
            </w:r>
          </w:p>
        </w:tc>
      </w:tr>
      <w:tr w14:paraId="3F655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7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D24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4F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人行道</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774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铺装人行道砖、树池，绿化树种植，路灯安装</w:t>
            </w:r>
          </w:p>
        </w:tc>
      </w:tr>
      <w:tr w14:paraId="66D14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7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D82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E4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雨水、污水排放</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D1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雨水、污水管安装，雨水井、污水井砌筑和井盖</w:t>
            </w:r>
          </w:p>
        </w:tc>
      </w:tr>
      <w:tr w14:paraId="4F836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7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185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EE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室外消防</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99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消防水管预埋</w:t>
            </w:r>
          </w:p>
        </w:tc>
      </w:tr>
      <w:tr w14:paraId="483D9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17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EFF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2F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园林绿化</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D8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庭院灯、路灯、投光灯安装，乔灌木、植被种植，绿化给水</w:t>
            </w:r>
          </w:p>
        </w:tc>
      </w:tr>
      <w:tr w14:paraId="63C4A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trPr>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880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地下室</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16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天棚工程（天花）</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65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所有天花</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AA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喷涂白色无机涂料</w:t>
            </w:r>
          </w:p>
        </w:tc>
      </w:tr>
      <w:tr w14:paraId="7457C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CA11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57C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内墙工程</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57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内墙</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95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喷涂白色无机涂料</w:t>
            </w:r>
          </w:p>
        </w:tc>
      </w:tr>
      <w:tr w14:paraId="2CD3C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C1C5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A0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楼地面工程</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23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前室、走道</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4E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陶瓷地砖</w:t>
            </w:r>
          </w:p>
        </w:tc>
      </w:tr>
      <w:tr w14:paraId="1AFA1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872F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ADC2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D5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楼梯、楼梯间</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FE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水泥砂浆找平</w:t>
            </w:r>
          </w:p>
        </w:tc>
      </w:tr>
      <w:tr w14:paraId="3D9B4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D850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0C7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F7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其他地面</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50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固化剂地坪</w:t>
            </w:r>
          </w:p>
        </w:tc>
      </w:tr>
      <w:tr w14:paraId="5064D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1328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789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门安装工程</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77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人防地下室</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865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人防门</w:t>
            </w:r>
          </w:p>
        </w:tc>
      </w:tr>
      <w:tr w14:paraId="236EF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30B1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01F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BA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DF0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全部安装门</w:t>
            </w:r>
          </w:p>
        </w:tc>
      </w:tr>
      <w:tr w14:paraId="7743A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C5C1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tcBorders>
              <w:top w:val="single" w:color="000000" w:sz="4" w:space="0"/>
              <w:left w:val="nil"/>
              <w:bottom w:val="single" w:color="000000" w:sz="4" w:space="0"/>
              <w:right w:val="single" w:color="000000" w:sz="4" w:space="0"/>
            </w:tcBorders>
            <w:shd w:val="clear" w:color="auto" w:fill="auto"/>
            <w:noWrap/>
            <w:vAlign w:val="center"/>
          </w:tcPr>
          <w:p w14:paraId="4113AA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消防、通风工程</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FB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各部位</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ED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满足竣工联合验收规范标准</w:t>
            </w:r>
          </w:p>
        </w:tc>
      </w:tr>
      <w:tr w14:paraId="20385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84F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垃圾收集站</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BD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楼地面工程</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87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楼地面</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AD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陶瓷地砖楼地面</w:t>
            </w:r>
          </w:p>
        </w:tc>
      </w:tr>
      <w:tr w14:paraId="48E8C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121B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E6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屋面工程</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E9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不上人屋面</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E1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细石混凝土找坡</w:t>
            </w:r>
          </w:p>
        </w:tc>
      </w:tr>
      <w:tr w14:paraId="0CB30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0DEC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8A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外墙工程</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26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外墙</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82F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外墙涂料</w:t>
            </w:r>
          </w:p>
        </w:tc>
      </w:tr>
      <w:tr w14:paraId="22903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527E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DB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内墙工程</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CE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内墙</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DD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毛坯交付</w:t>
            </w:r>
          </w:p>
        </w:tc>
      </w:tr>
      <w:tr w14:paraId="11664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7F26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DF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天棚工程（天花）</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56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天花</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222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毛坯交付</w:t>
            </w:r>
          </w:p>
        </w:tc>
      </w:tr>
      <w:tr w14:paraId="05557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8289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E5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门安装工程</w:t>
            </w:r>
          </w:p>
        </w:tc>
        <w:tc>
          <w:tcPr>
            <w:tcW w:w="29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6A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所有门洞口</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7D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普通钢质门【M105220\M150220】</w:t>
            </w:r>
          </w:p>
        </w:tc>
      </w:tr>
      <w:tr w14:paraId="08D50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A050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E43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9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4080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2F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铝合金卷帘门【JLM400400\JLM450450等】</w:t>
            </w:r>
          </w:p>
        </w:tc>
      </w:tr>
    </w:tbl>
    <w:p w14:paraId="19D80A0E">
      <w:pPr>
        <w:keepNext w:val="0"/>
        <w:keepLines w:val="0"/>
        <w:pageBreakBefore w:val="0"/>
        <w:kinsoku/>
        <w:overflowPunct/>
        <w:topLinePunct w:val="0"/>
        <w:autoSpaceDE/>
        <w:autoSpaceDN/>
        <w:bidi w:val="0"/>
        <w:adjustRightInd/>
        <w:snapToGrid/>
        <w:spacing w:line="560" w:lineRule="exact"/>
        <w:textAlignment w:val="auto"/>
        <w:rPr>
          <w:rFonts w:hint="eastAsia" w:ascii="宋体" w:hAnsi="宋体"/>
          <w:color w:val="auto"/>
          <w:sz w:val="28"/>
          <w:szCs w:val="28"/>
          <w:highlight w:val="none"/>
        </w:rPr>
      </w:pPr>
    </w:p>
    <w:p w14:paraId="3D35DDD2">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宋体" w:hAnsi="宋体"/>
          <w:color w:val="auto"/>
          <w:sz w:val="28"/>
          <w:szCs w:val="28"/>
          <w:highlight w:val="none"/>
        </w:rPr>
      </w:pPr>
    </w:p>
    <w:p w14:paraId="72A56F61">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宋体" w:hAnsi="宋体"/>
          <w:color w:val="auto"/>
          <w:sz w:val="28"/>
          <w:szCs w:val="28"/>
          <w:highlight w:val="none"/>
        </w:rPr>
      </w:pPr>
    </w:p>
    <w:p w14:paraId="7CA4087D">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宋体" w:hAnsi="宋体"/>
          <w:color w:val="auto"/>
          <w:sz w:val="28"/>
          <w:szCs w:val="28"/>
          <w:highlight w:val="none"/>
        </w:rPr>
      </w:pPr>
    </w:p>
    <w:p w14:paraId="51B5F55D">
      <w:pPr>
        <w:pStyle w:val="6"/>
        <w:spacing w:line="360" w:lineRule="auto"/>
        <w:ind w:firstLine="0" w:firstLineChars="0"/>
        <w:rPr>
          <w:rFonts w:hint="eastAsia" w:ascii="宋体" w:hAnsi="宋体" w:eastAsia="宋体" w:cs="宋体"/>
          <w:color w:val="auto"/>
          <w:sz w:val="24"/>
          <w:highlight w:val="none"/>
        </w:rPr>
      </w:pPr>
    </w:p>
    <w:p w14:paraId="22E01A19">
      <w:pPr>
        <w:pStyle w:val="6"/>
        <w:spacing w:line="360" w:lineRule="auto"/>
        <w:ind w:firstLine="0" w:firstLineChars="0"/>
        <w:rPr>
          <w:rFonts w:hint="eastAsia" w:ascii="宋体" w:hAnsi="宋体" w:eastAsia="宋体" w:cs="宋体"/>
          <w:color w:val="auto"/>
          <w:sz w:val="24"/>
          <w:highlight w:val="none"/>
        </w:rPr>
      </w:pPr>
    </w:p>
    <w:p w14:paraId="123DE1D9">
      <w:pPr>
        <w:spacing w:after="480" w:afterLines="200"/>
        <w:rPr>
          <w:rFonts w:hint="eastAsia" w:ascii="宋体" w:hAnsi="宋体" w:eastAsia="宋体" w:cs="宋体"/>
          <w:b/>
          <w:color w:val="auto"/>
          <w:highlight w:val="none"/>
        </w:rPr>
      </w:pPr>
    </w:p>
    <w:p w14:paraId="414AFE7F">
      <w:pPr>
        <w:pStyle w:val="81"/>
        <w:spacing w:after="480" w:afterLines="200"/>
        <w:rPr>
          <w:rFonts w:hint="eastAsia" w:ascii="宋体" w:hAnsi="宋体" w:eastAsia="宋体" w:cs="宋体"/>
          <w:b/>
          <w:bCs w:val="0"/>
          <w:color w:val="auto"/>
          <w:highlight w:val="none"/>
        </w:rPr>
      </w:pPr>
      <w:r>
        <w:rPr>
          <w:rFonts w:hint="eastAsia" w:ascii="宋体" w:hAnsi="宋体" w:eastAsia="宋体" w:cs="宋体"/>
          <w:b/>
          <w:bCs w:val="0"/>
          <w:color w:val="auto"/>
          <w:highlight w:val="none"/>
        </w:rPr>
        <w:t>第六篇　组成合同附件</w:t>
      </w:r>
      <w:bookmarkEnd w:id="301"/>
    </w:p>
    <w:p w14:paraId="076EC076">
      <w:pPr>
        <w:spacing w:line="30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附件一：</w:t>
      </w:r>
    </w:p>
    <w:p w14:paraId="1858106F">
      <w:pPr>
        <w:spacing w:line="30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廉政合同</w:t>
      </w:r>
    </w:p>
    <w:p w14:paraId="54E7A40A">
      <w:pPr>
        <w:spacing w:line="300" w:lineRule="auto"/>
        <w:jc w:val="center"/>
        <w:rPr>
          <w:rFonts w:hint="eastAsia" w:ascii="宋体" w:hAnsi="宋体" w:eastAsia="宋体" w:cs="宋体"/>
          <w:b/>
          <w:bCs/>
          <w:color w:val="auto"/>
          <w:sz w:val="24"/>
          <w:highlight w:val="none"/>
        </w:rPr>
      </w:pPr>
    </w:p>
    <w:p w14:paraId="63F79DE9">
      <w:pPr>
        <w:spacing w:line="360" w:lineRule="auto"/>
        <w:ind w:firstLine="482" w:firstLineChars="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甲方：（全称）</w:t>
      </w:r>
      <w:r>
        <w:rPr>
          <w:rFonts w:hint="eastAsia" w:ascii="宋体" w:hAnsi="宋体" w:eastAsia="宋体" w:cs="宋体"/>
          <w:b/>
          <w:bCs/>
          <w:color w:val="auto"/>
          <w:sz w:val="24"/>
          <w:highlight w:val="none"/>
          <w:u w:val="single"/>
          <w:lang w:eastAsia="zh-CN"/>
        </w:rPr>
        <w:t>广州市番禺区石碁镇桥山村股份合作经济社</w:t>
      </w:r>
    </w:p>
    <w:p w14:paraId="3B2F050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乙方：（全称）（主）</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 xml:space="preserve">  </w:t>
      </w:r>
    </w:p>
    <w:p w14:paraId="6D57F412">
      <w:pPr>
        <w:pStyle w:val="6"/>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w:t xml:space="preserve">               </w:t>
      </w:r>
      <w:r>
        <w:rPr>
          <w:rFonts w:hint="eastAsia" w:ascii="宋体" w:hAnsi="宋体" w:eastAsia="宋体" w:cs="宋体"/>
          <w:b/>
          <w:bCs/>
          <w:color w:val="auto"/>
          <w:sz w:val="24"/>
          <w:highlight w:val="none"/>
        </w:rPr>
        <w:t>（成）</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 xml:space="preserve"> </w:t>
      </w:r>
    </w:p>
    <w:p w14:paraId="3DD4AF2E">
      <w:pPr>
        <w:spacing w:line="360" w:lineRule="auto"/>
        <w:ind w:left="3271" w:leftChars="200" w:hanging="2851" w:hangingChars="1188"/>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r>
        <w:rPr>
          <w:rFonts w:hint="eastAsia" w:ascii="宋体" w:hAnsi="宋体" w:eastAsia="宋体" w:cs="宋体"/>
          <w:b/>
          <w:bCs/>
          <w:color w:val="auto"/>
          <w:sz w:val="24"/>
          <w:highlight w:val="none"/>
        </w:rPr>
        <w:t>（成）</w:t>
      </w:r>
      <w:r>
        <w:rPr>
          <w:rFonts w:hint="eastAsia" w:ascii="宋体" w:hAnsi="宋体" w:eastAsia="宋体" w:cs="宋体"/>
          <w:b/>
          <w:bCs/>
          <w:color w:val="auto"/>
          <w:sz w:val="24"/>
          <w:highlight w:val="none"/>
          <w:u w:val="single"/>
        </w:rPr>
        <w:t xml:space="preserve">                            </w:t>
      </w:r>
    </w:p>
    <w:p w14:paraId="5CF94010">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根据国家、省工程建设和廉政建设的有关规定，为做好合同工程的廉政建设，保证工程质量与施工安全，提高建设资金的有效使用和投资效益，甲方和乙方就加强合同工程的廉政建设，订立本合同。</w:t>
      </w:r>
    </w:p>
    <w:p w14:paraId="2EAA1CB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  双方权利和义务</w:t>
      </w:r>
    </w:p>
    <w:p w14:paraId="375B18C5">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  严格遵守国家有关法律法规的规定。</w:t>
      </w:r>
    </w:p>
    <w:p w14:paraId="42DC9D38">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1.2  严格执行一切合同文件，自觉按合同办事。</w:t>
      </w:r>
    </w:p>
    <w:p w14:paraId="5BA8568C">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1.3  双方的业务活动坚持公平、公开、公正和诚信的原则（法律认定的商业秘密和合同文件另有规定除外），不得损害国家和集体利益，不得违反工程建设管理规章制度。</w:t>
      </w:r>
    </w:p>
    <w:p w14:paraId="7C05C745">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1.4  建立健全廉政制度，开展廉政教育，设立廉政告示牌，公布举报电话，监督并认真查处违法违纪行为。</w:t>
      </w:r>
    </w:p>
    <w:p w14:paraId="5F490D69">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  发现对方在业务活动中有违反廉政建设规定的行为，应及时给予提醒和纠正。</w:t>
      </w:r>
    </w:p>
    <w:p w14:paraId="0E4763DB">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1.6  发现对方严重违反合同的行为，有向其上级部门举报、建议给予处理并要求告知处理结果的权利。</w:t>
      </w:r>
    </w:p>
    <w:p w14:paraId="411EC7E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甲方义务</w:t>
      </w:r>
    </w:p>
    <w:p w14:paraId="73259874">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  甲方及其工作人员不得索要或接受乙方的礼金、有价证券和贵重物品，不得在乙方报销任何应由甲方或工作人员个人支付的费用等。</w:t>
      </w:r>
    </w:p>
    <w:p w14:paraId="48B1EC88">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2.2  甲方及其工作人员不得参加乙方安排的宴请（工作餐除外）和娱乐活动；不得接受乙方提供的通讯工具、交通工具和高档办公用品等。</w:t>
      </w:r>
    </w:p>
    <w:p w14:paraId="39335ADD">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2.3  甲方及其工作人员不得要求或者接受乙方为其住房装修、婚丧嫁娶活动、配偶子女的工作安排以及出国出境、旅游等提供方便等。</w:t>
      </w:r>
    </w:p>
    <w:p w14:paraId="1294304D">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2.4  甲方及其工作人员及其配偶、子女不得从事与乙方有关的工程材料设备供应、工程分包、劳务等经济活动。</w:t>
      </w:r>
    </w:p>
    <w:p w14:paraId="27623358">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2.5 甲方及其工作人员不得以任何理由向乙方推荐分包单位或推销材料，不得要求乙方购买合同约定外的材料和设备。</w:t>
      </w:r>
    </w:p>
    <w:p w14:paraId="2FDCA8FA">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2.6  甲方及其工作人员要秉公办事，不准营私舞弊，不准利用职权从事各种个人有偿中介活动和安排个人施工队伍。</w:t>
      </w:r>
    </w:p>
    <w:p w14:paraId="4BC333F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  乙方义务</w:t>
      </w:r>
    </w:p>
    <w:p w14:paraId="24EF5DA9">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3.1  乙方不得以任何理由向甲方及其工作人员行贿或馈赠礼金、有价证券、贵重礼品。</w:t>
      </w:r>
    </w:p>
    <w:p w14:paraId="05482225">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3.2  乙方不得以任何名义为甲方及其工作人员报销应由甲方或工作人员个人支付的任何费用。</w:t>
      </w:r>
    </w:p>
    <w:p w14:paraId="389CA2AC">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3.3  乙方不得以任何理由安排甲方及其工作人员参加宴请（工作餐除外）及娱乐活动。</w:t>
      </w:r>
    </w:p>
    <w:p w14:paraId="064477FD">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3.4  乙方不得为甲方购置或提供高档通讯工具和高档办公用品等。</w:t>
      </w:r>
    </w:p>
    <w:p w14:paraId="54A2A30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  违约责任</w:t>
      </w:r>
    </w:p>
    <w:p w14:paraId="2A3346AA">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4.1  甲方及其工作人员违反本合同第1条和第2条规定，应依据有关规定给予廉政建设规定的处分；涉嫌犯罪的，移交司法机关追究刑事责任；给乙方造成经济损失的，应予赔偿。</w:t>
      </w:r>
    </w:p>
    <w:p w14:paraId="082650CD">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4.2  乙方及其工作人员违反本合同第1条和第3条规定，应依据有关规定给予廉政建设规定的处分；给甲方造成经济损失的，应予赔偿；情节严重的，由建设主管部门给予乙方一至三年内不得进入工程建设市场的处罚。</w:t>
      </w:r>
    </w:p>
    <w:p w14:paraId="2236C49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  双方约定</w:t>
      </w:r>
    </w:p>
    <w:p w14:paraId="2CB1A04B">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本合同由各方或其上级部门负责监督执行，并由各方或其上级部门相互约请对本合同执行情况进行检查。</w:t>
      </w:r>
    </w:p>
    <w:p w14:paraId="6AE92E9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  合同生效</w:t>
      </w:r>
    </w:p>
    <w:p w14:paraId="521269EA">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本合同的有效期自各方签署之日起至该工程竣工验收合格之日止。</w:t>
      </w:r>
    </w:p>
    <w:p w14:paraId="756F04D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  合同法律效力</w:t>
      </w:r>
    </w:p>
    <w:p w14:paraId="6E569F9A">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本合同作为广园新村片区成片连片改造项目勘察设计施工总承包合同的附件，与该合同具有同等的法律效力，经各方签署后生效。</w:t>
      </w:r>
    </w:p>
    <w:p w14:paraId="56E95731">
      <w:pPr>
        <w:pStyle w:val="6"/>
        <w:rPr>
          <w:rFonts w:hint="eastAsia" w:ascii="宋体" w:hAnsi="宋体" w:eastAsia="宋体" w:cs="宋体"/>
          <w:color w:val="auto"/>
          <w:highlight w:val="none"/>
        </w:rPr>
      </w:pPr>
    </w:p>
    <w:p w14:paraId="70D95510">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lang w:eastAsia="zh-CN"/>
        </w:rPr>
        <w:t>广州市番禺区石碁镇桥山村股份合作经济社</w:t>
      </w:r>
      <w:r>
        <w:rPr>
          <w:rFonts w:hint="eastAsia" w:ascii="宋体" w:hAnsi="宋体" w:eastAsia="宋体" w:cs="宋体"/>
          <w:color w:val="auto"/>
          <w:sz w:val="24"/>
          <w:highlight w:val="none"/>
        </w:rPr>
        <w:t>（盖章）</w:t>
      </w:r>
    </w:p>
    <w:p w14:paraId="677A3E16">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3B95EC15">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     </w:t>
      </w:r>
    </w:p>
    <w:p w14:paraId="6D260D1E">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p w14:paraId="292869F6">
      <w:pPr>
        <w:pStyle w:val="6"/>
        <w:adjustRightInd w:val="0"/>
        <w:snapToGrid w:val="0"/>
        <w:spacing w:line="360" w:lineRule="auto"/>
        <w:ind w:firstLine="480"/>
        <w:rPr>
          <w:rFonts w:hint="eastAsia" w:ascii="宋体" w:hAnsi="宋体" w:eastAsia="宋体" w:cs="宋体"/>
          <w:color w:val="auto"/>
          <w:sz w:val="24"/>
          <w:highlight w:val="none"/>
        </w:rPr>
      </w:pPr>
    </w:p>
    <w:p w14:paraId="3390CA5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乙方（主）：               （盖章）              </w:t>
      </w:r>
    </w:p>
    <w:p w14:paraId="4D405D4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3756A62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                                                  </w:t>
      </w:r>
    </w:p>
    <w:p w14:paraId="31777129">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p>
    <w:p w14:paraId="09B08C6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14:paraId="29A750A5">
      <w:pPr>
        <w:adjustRightInd w:val="0"/>
        <w:snapToGrid w:val="0"/>
        <w:spacing w:line="360" w:lineRule="auto"/>
        <w:ind w:firstLine="480" w:firstLineChars="200"/>
        <w:rPr>
          <w:rFonts w:hint="eastAsia" w:ascii="宋体" w:hAnsi="宋体" w:eastAsia="宋体" w:cs="宋体"/>
          <w:color w:val="auto"/>
          <w:sz w:val="24"/>
          <w:highlight w:val="none"/>
        </w:rPr>
      </w:pPr>
    </w:p>
    <w:p w14:paraId="166B688C">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乙方（成）：                （盖章） </w:t>
      </w:r>
    </w:p>
    <w:p w14:paraId="7C38597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5F9EF835">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p w14:paraId="22EA288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p>
    <w:p w14:paraId="35363F6E">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14:paraId="215DDD1E">
      <w:pPr>
        <w:pStyle w:val="6"/>
        <w:adjustRightInd w:val="0"/>
        <w:snapToGrid w:val="0"/>
        <w:spacing w:line="360" w:lineRule="auto"/>
        <w:ind w:firstLine="480"/>
        <w:rPr>
          <w:rFonts w:hint="eastAsia" w:ascii="宋体" w:hAnsi="宋体" w:eastAsia="宋体" w:cs="宋体"/>
          <w:color w:val="auto"/>
          <w:sz w:val="24"/>
          <w:highlight w:val="none"/>
        </w:rPr>
      </w:pPr>
    </w:p>
    <w:p w14:paraId="2DC7899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乙方（成）：                 （盖章） </w:t>
      </w:r>
    </w:p>
    <w:p w14:paraId="014CDE5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2B93ACBC">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p w14:paraId="20B45FB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p>
    <w:p w14:paraId="56ABD3C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14:paraId="6292777A">
      <w:pPr>
        <w:snapToGrid w:val="0"/>
        <w:spacing w:line="360" w:lineRule="auto"/>
        <w:rPr>
          <w:rFonts w:hint="eastAsia" w:ascii="宋体" w:hAnsi="宋体" w:eastAsia="宋体" w:cs="宋体"/>
          <w:color w:val="auto"/>
          <w:sz w:val="24"/>
          <w:highlight w:val="none"/>
        </w:rPr>
      </w:pPr>
    </w:p>
    <w:p w14:paraId="0285273C">
      <w:pPr>
        <w:snapToGrid w:val="0"/>
        <w:spacing w:line="360" w:lineRule="auto"/>
        <w:rPr>
          <w:rFonts w:hint="eastAsia" w:ascii="宋体" w:hAnsi="宋体" w:eastAsia="宋体" w:cs="宋体"/>
          <w:color w:val="auto"/>
          <w:sz w:val="24"/>
          <w:highlight w:val="none"/>
        </w:rPr>
      </w:pPr>
    </w:p>
    <w:p w14:paraId="0202260B">
      <w:pPr>
        <w:snapToGrid w:val="0"/>
        <w:spacing w:line="360" w:lineRule="auto"/>
        <w:rPr>
          <w:rFonts w:hint="eastAsia" w:ascii="宋体" w:hAnsi="宋体" w:eastAsia="宋体" w:cs="宋体"/>
          <w:color w:val="auto"/>
          <w:sz w:val="24"/>
          <w:highlight w:val="none"/>
        </w:rPr>
      </w:pPr>
    </w:p>
    <w:p w14:paraId="687A1C0E">
      <w:pPr>
        <w:snapToGrid w:val="0"/>
        <w:spacing w:line="360" w:lineRule="auto"/>
        <w:rPr>
          <w:rFonts w:hint="eastAsia" w:ascii="宋体" w:hAnsi="宋体" w:eastAsia="宋体" w:cs="宋体"/>
          <w:color w:val="auto"/>
          <w:sz w:val="24"/>
          <w:highlight w:val="none"/>
        </w:rPr>
      </w:pPr>
    </w:p>
    <w:p w14:paraId="4E5A1F9C">
      <w:pPr>
        <w:snapToGrid w:val="0"/>
        <w:spacing w:line="360" w:lineRule="auto"/>
        <w:rPr>
          <w:rFonts w:hint="eastAsia" w:ascii="宋体" w:hAnsi="宋体" w:eastAsia="宋体" w:cs="宋体"/>
          <w:color w:val="auto"/>
          <w:sz w:val="24"/>
          <w:highlight w:val="none"/>
        </w:rPr>
      </w:pPr>
    </w:p>
    <w:p w14:paraId="250AACE0">
      <w:pPr>
        <w:snapToGrid w:val="0"/>
        <w:spacing w:line="360" w:lineRule="auto"/>
        <w:rPr>
          <w:rFonts w:hint="eastAsia" w:ascii="宋体" w:hAnsi="宋体" w:eastAsia="宋体" w:cs="宋体"/>
          <w:color w:val="auto"/>
          <w:sz w:val="24"/>
          <w:highlight w:val="none"/>
        </w:rPr>
      </w:pPr>
    </w:p>
    <w:p w14:paraId="53D905B2">
      <w:pPr>
        <w:snapToGrid w:val="0"/>
        <w:spacing w:line="360" w:lineRule="auto"/>
        <w:rPr>
          <w:rFonts w:hint="eastAsia" w:ascii="宋体" w:hAnsi="宋体" w:eastAsia="宋体" w:cs="宋体"/>
          <w:color w:val="auto"/>
          <w:sz w:val="24"/>
          <w:highlight w:val="none"/>
        </w:rPr>
      </w:pPr>
    </w:p>
    <w:p w14:paraId="724E0048">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附件二：</w:t>
      </w:r>
    </w:p>
    <w:p w14:paraId="6BFF6431">
      <w:pPr>
        <w:spacing w:before="120" w:after="120" w:line="360" w:lineRule="auto"/>
        <w:ind w:firstLine="562" w:firstLineChars="200"/>
        <w:jc w:val="center"/>
        <w:rPr>
          <w:rFonts w:hint="eastAsia" w:ascii="宋体" w:eastAsia="宋体" w:cs="宋体"/>
          <w:b/>
          <w:bCs/>
          <w:color w:val="auto"/>
          <w:sz w:val="28"/>
          <w:szCs w:val="28"/>
          <w:highlight w:val="none"/>
        </w:rPr>
      </w:pPr>
      <w:r>
        <w:rPr>
          <w:rFonts w:hint="eastAsia" w:ascii="宋体" w:eastAsia="宋体" w:cs="宋体"/>
          <w:b/>
          <w:bCs/>
          <w:color w:val="auto"/>
          <w:sz w:val="28"/>
          <w:szCs w:val="28"/>
          <w:highlight w:val="none"/>
        </w:rPr>
        <w:t>联合体共同投标协议书</w:t>
      </w:r>
    </w:p>
    <w:p w14:paraId="28FB2156">
      <w:pPr>
        <w:spacing w:before="120" w:after="120" w:line="360" w:lineRule="auto"/>
        <w:ind w:firstLine="560" w:firstLineChars="200"/>
        <w:jc w:val="center"/>
        <w:rPr>
          <w:rFonts w:hint="eastAsia" w:ascii="宋体" w:eastAsia="宋体" w:cs="宋体"/>
          <w:color w:val="auto"/>
          <w:sz w:val="28"/>
          <w:szCs w:val="28"/>
          <w:highlight w:val="none"/>
          <w:lang w:eastAsia="zh-CN"/>
        </w:rPr>
      </w:pPr>
    </w:p>
    <w:p w14:paraId="689CF217">
      <w:pPr>
        <w:topLinePunct/>
        <w:snapToGrid w:val="0"/>
        <w:spacing w:line="360" w:lineRule="auto"/>
        <w:ind w:firstLine="560" w:firstLineChars="200"/>
        <w:jc w:val="center"/>
        <w:rPr>
          <w:rFonts w:hint="eastAsia" w:ascii="宋体" w:hAnsi="宋体" w:eastAsia="宋体" w:cs="宋体"/>
          <w:color w:val="auto"/>
          <w:highlight w:val="none"/>
        </w:rPr>
        <w:sectPr>
          <w:pgSz w:w="11906" w:h="16838"/>
          <w:pgMar w:top="1440" w:right="1797" w:bottom="1440" w:left="1800" w:header="851" w:footer="992" w:gutter="0"/>
          <w:pgNumType w:fmt="numberInDash"/>
          <w:cols w:space="720" w:num="1"/>
          <w:docGrid w:linePitch="312" w:charSpace="0"/>
        </w:sectPr>
      </w:pPr>
      <w:r>
        <w:rPr>
          <w:rFonts w:hint="eastAsia" w:ascii="宋体" w:eastAsia="宋体" w:cs="宋体"/>
          <w:color w:val="auto"/>
          <w:sz w:val="28"/>
          <w:szCs w:val="28"/>
          <w:highlight w:val="none"/>
          <w:lang w:eastAsia="zh-CN"/>
        </w:rPr>
        <w:t>（</w:t>
      </w:r>
      <w:r>
        <w:rPr>
          <w:rFonts w:hint="eastAsia" w:ascii="宋体" w:eastAsia="宋体" w:cs="宋体"/>
          <w:color w:val="auto"/>
          <w:sz w:val="28"/>
          <w:szCs w:val="28"/>
          <w:highlight w:val="none"/>
          <w:lang w:val="en-US" w:eastAsia="zh-CN"/>
        </w:rPr>
        <w:t>按投标文件格式）</w:t>
      </w:r>
    </w:p>
    <w:p w14:paraId="216F1716">
      <w:pPr>
        <w:pStyle w:val="6"/>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（本页为签署页）</w:t>
      </w:r>
    </w:p>
    <w:p w14:paraId="31E3104B">
      <w:pPr>
        <w:pStyle w:val="6"/>
        <w:rPr>
          <w:rFonts w:hint="eastAsia" w:ascii="宋体" w:hAnsi="宋体" w:eastAsia="宋体" w:cs="宋体"/>
          <w:color w:val="auto"/>
          <w:highlight w:val="none"/>
        </w:rPr>
      </w:pPr>
    </w:p>
    <w:p w14:paraId="33EDD9F5">
      <w:pPr>
        <w:topLinePunct/>
        <w:snapToGrid w:val="0"/>
        <w:spacing w:line="324" w:lineRule="auto"/>
        <w:ind w:firstLine="820" w:firstLineChars="342"/>
        <w:rPr>
          <w:rFonts w:hint="eastAsia" w:ascii="宋体" w:hAnsi="宋体" w:eastAsia="宋体" w:cs="宋体"/>
          <w:color w:val="auto"/>
          <w:sz w:val="24"/>
          <w:highlight w:val="none"/>
        </w:rPr>
      </w:pPr>
    </w:p>
    <w:p w14:paraId="405FB06C">
      <w:pPr>
        <w:topLinePunct/>
        <w:snapToGrid w:val="0"/>
        <w:spacing w:line="324"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主办方名称：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042E6AF4">
      <w:pPr>
        <w:topLinePunct/>
        <w:snapToGrid w:val="0"/>
        <w:spacing w:line="324"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54847A19">
      <w:pPr>
        <w:pStyle w:val="6"/>
        <w:ind w:firstLine="0" w:firstLineChars="0"/>
        <w:rPr>
          <w:rFonts w:hint="eastAsia" w:ascii="宋体" w:hAnsi="宋体" w:eastAsia="宋体" w:cs="宋体"/>
          <w:color w:val="auto"/>
          <w:highlight w:val="none"/>
        </w:rPr>
      </w:pPr>
    </w:p>
    <w:p w14:paraId="3E275EB2">
      <w:pPr>
        <w:pStyle w:val="6"/>
        <w:ind w:firstLine="0" w:firstLineChars="0"/>
        <w:rPr>
          <w:rFonts w:hint="eastAsia" w:ascii="宋体" w:hAnsi="宋体" w:eastAsia="宋体" w:cs="宋体"/>
          <w:color w:val="auto"/>
          <w:highlight w:val="none"/>
        </w:rPr>
      </w:pPr>
    </w:p>
    <w:p w14:paraId="0FDAB9C8">
      <w:pPr>
        <w:pStyle w:val="6"/>
        <w:ind w:firstLine="0" w:firstLineChars="0"/>
        <w:rPr>
          <w:rFonts w:hint="eastAsia" w:ascii="宋体" w:hAnsi="宋体" w:eastAsia="宋体" w:cs="宋体"/>
          <w:color w:val="auto"/>
          <w:highlight w:val="none"/>
        </w:rPr>
      </w:pPr>
    </w:p>
    <w:p w14:paraId="4195F33F">
      <w:pPr>
        <w:topLinePunct/>
        <w:snapToGrid w:val="0"/>
        <w:spacing w:line="324"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成员一名称：         （盖单位章）</w:t>
      </w:r>
    </w:p>
    <w:p w14:paraId="21F30002">
      <w:pPr>
        <w:topLinePunct/>
        <w:snapToGrid w:val="0"/>
        <w:spacing w:line="324"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6CDF74C5">
      <w:pPr>
        <w:pStyle w:val="6"/>
        <w:ind w:firstLine="0" w:firstLineChars="0"/>
        <w:rPr>
          <w:rFonts w:hint="eastAsia" w:ascii="宋体" w:hAnsi="宋体" w:eastAsia="宋体" w:cs="宋体"/>
          <w:color w:val="auto"/>
          <w:highlight w:val="none"/>
        </w:rPr>
      </w:pPr>
    </w:p>
    <w:p w14:paraId="00CB9D91">
      <w:pPr>
        <w:pStyle w:val="6"/>
        <w:ind w:firstLine="0" w:firstLineChars="0"/>
        <w:rPr>
          <w:rFonts w:hint="eastAsia" w:ascii="宋体" w:hAnsi="宋体" w:eastAsia="宋体" w:cs="宋体"/>
          <w:color w:val="auto"/>
          <w:highlight w:val="none"/>
        </w:rPr>
      </w:pPr>
    </w:p>
    <w:p w14:paraId="4829336F">
      <w:pPr>
        <w:pStyle w:val="6"/>
        <w:ind w:firstLine="0" w:firstLineChars="0"/>
        <w:rPr>
          <w:rFonts w:hint="eastAsia" w:ascii="宋体" w:hAnsi="宋体" w:eastAsia="宋体" w:cs="宋体"/>
          <w:color w:val="auto"/>
          <w:highlight w:val="none"/>
        </w:rPr>
      </w:pPr>
    </w:p>
    <w:p w14:paraId="3845363D">
      <w:pPr>
        <w:topLinePunct/>
        <w:snapToGrid w:val="0"/>
        <w:spacing w:line="324"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成员二名称：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54B7368B">
      <w:pPr>
        <w:topLinePunct/>
        <w:snapToGrid w:val="0"/>
        <w:spacing w:line="324"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0C89FCCA">
      <w:pPr>
        <w:pStyle w:val="6"/>
        <w:ind w:firstLine="480"/>
        <w:rPr>
          <w:rFonts w:hint="eastAsia" w:ascii="宋体" w:hAnsi="宋体" w:eastAsia="宋体" w:cs="宋体"/>
          <w:color w:val="auto"/>
          <w:sz w:val="24"/>
          <w:highlight w:val="none"/>
        </w:rPr>
      </w:pPr>
    </w:p>
    <w:p w14:paraId="551DB86D">
      <w:pPr>
        <w:pStyle w:val="6"/>
        <w:ind w:firstLine="480"/>
        <w:rPr>
          <w:rFonts w:hint="eastAsia" w:ascii="宋体" w:hAnsi="宋体" w:eastAsia="宋体" w:cs="宋体"/>
          <w:color w:val="auto"/>
          <w:sz w:val="24"/>
          <w:highlight w:val="none"/>
        </w:rPr>
      </w:pPr>
    </w:p>
    <w:p w14:paraId="326153F2">
      <w:pPr>
        <w:topLinePunct/>
        <w:snapToGrid w:val="0"/>
        <w:spacing w:line="324"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成员三名称：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7552592D">
      <w:pPr>
        <w:topLinePunct/>
        <w:snapToGrid w:val="0"/>
        <w:spacing w:line="324"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0FAF044E">
      <w:pPr>
        <w:pStyle w:val="22"/>
        <w:snapToGrid w:val="0"/>
        <w:spacing w:line="324" w:lineRule="auto"/>
        <w:jc w:val="right"/>
        <w:rPr>
          <w:rFonts w:hint="eastAsia" w:hAnsi="宋体" w:eastAsia="宋体" w:cs="宋体"/>
          <w:color w:val="auto"/>
          <w:sz w:val="24"/>
          <w:szCs w:val="24"/>
          <w:highlight w:val="none"/>
          <w:u w:val="single"/>
        </w:rPr>
      </w:pPr>
    </w:p>
    <w:p w14:paraId="34CB01B1">
      <w:pPr>
        <w:pStyle w:val="22"/>
        <w:snapToGrid w:val="0"/>
        <w:spacing w:line="324" w:lineRule="auto"/>
        <w:jc w:val="right"/>
        <w:rPr>
          <w:rFonts w:hint="eastAsia" w:hAnsi="宋体" w:eastAsia="宋体" w:cs="宋体"/>
          <w:color w:val="auto"/>
          <w:sz w:val="24"/>
          <w:szCs w:val="24"/>
          <w:highlight w:val="none"/>
          <w:u w:val="single"/>
        </w:rPr>
      </w:pPr>
    </w:p>
    <w:p w14:paraId="6EEA66D1">
      <w:pPr>
        <w:pStyle w:val="22"/>
        <w:snapToGrid w:val="0"/>
        <w:spacing w:line="324" w:lineRule="auto"/>
        <w:jc w:val="right"/>
        <w:rPr>
          <w:rFonts w:hint="eastAsia" w:hAnsi="宋体" w:eastAsia="宋体" w:cs="宋体"/>
          <w:color w:val="auto"/>
          <w:sz w:val="24"/>
          <w:szCs w:val="24"/>
          <w:highlight w:val="none"/>
          <w:u w:val="single"/>
        </w:rPr>
      </w:pPr>
    </w:p>
    <w:p w14:paraId="613190FE">
      <w:pPr>
        <w:pStyle w:val="22"/>
        <w:snapToGrid w:val="0"/>
        <w:spacing w:line="324" w:lineRule="auto"/>
        <w:jc w:val="right"/>
        <w:rPr>
          <w:rFonts w:hint="eastAsia" w:hAnsi="宋体" w:eastAsia="宋体" w:cs="宋体"/>
          <w:color w:val="auto"/>
          <w:sz w:val="24"/>
          <w:szCs w:val="24"/>
          <w:highlight w:val="none"/>
        </w:rPr>
      </w:pP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年</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月</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日</w:t>
      </w:r>
    </w:p>
    <w:p w14:paraId="45050149">
      <w:pPr>
        <w:pStyle w:val="22"/>
        <w:snapToGrid w:val="0"/>
        <w:spacing w:line="324" w:lineRule="auto"/>
        <w:jc w:val="right"/>
        <w:rPr>
          <w:rFonts w:hint="eastAsia" w:hAnsi="宋体" w:eastAsia="宋体" w:cs="宋体"/>
          <w:color w:val="auto"/>
          <w:sz w:val="24"/>
          <w:szCs w:val="24"/>
          <w:highlight w:val="none"/>
        </w:rPr>
      </w:pPr>
    </w:p>
    <w:p w14:paraId="59A35BE9">
      <w:pPr>
        <w:pStyle w:val="22"/>
        <w:snapToGrid w:val="0"/>
        <w:spacing w:line="324" w:lineRule="auto"/>
        <w:jc w:val="right"/>
        <w:rPr>
          <w:rFonts w:hint="eastAsia" w:hAnsi="宋体" w:eastAsia="宋体" w:cs="宋体"/>
          <w:color w:val="auto"/>
          <w:sz w:val="24"/>
          <w:szCs w:val="24"/>
          <w:highlight w:val="none"/>
        </w:rPr>
      </w:pPr>
    </w:p>
    <w:p w14:paraId="7137529F">
      <w:pPr>
        <w:pStyle w:val="22"/>
        <w:snapToGrid w:val="0"/>
        <w:spacing w:line="324" w:lineRule="auto"/>
        <w:jc w:val="right"/>
        <w:rPr>
          <w:rFonts w:hint="eastAsia" w:hAnsi="宋体" w:eastAsia="宋体" w:cs="宋体"/>
          <w:color w:val="auto"/>
          <w:sz w:val="24"/>
          <w:szCs w:val="24"/>
          <w:highlight w:val="none"/>
        </w:rPr>
      </w:pPr>
    </w:p>
    <w:p w14:paraId="0BF16846">
      <w:pPr>
        <w:pStyle w:val="22"/>
        <w:snapToGrid w:val="0"/>
        <w:spacing w:line="324" w:lineRule="auto"/>
        <w:jc w:val="right"/>
        <w:rPr>
          <w:rFonts w:hint="eastAsia" w:hAnsi="宋体" w:eastAsia="宋体" w:cs="宋体"/>
          <w:color w:val="auto"/>
          <w:sz w:val="24"/>
          <w:szCs w:val="24"/>
          <w:highlight w:val="none"/>
        </w:rPr>
      </w:pPr>
    </w:p>
    <w:p w14:paraId="4594E99A">
      <w:pPr>
        <w:pStyle w:val="22"/>
        <w:snapToGrid w:val="0"/>
        <w:spacing w:line="324" w:lineRule="auto"/>
        <w:jc w:val="right"/>
        <w:rPr>
          <w:rFonts w:hint="eastAsia" w:hAnsi="宋体" w:eastAsia="宋体" w:cs="宋体"/>
          <w:color w:val="auto"/>
          <w:sz w:val="24"/>
          <w:szCs w:val="24"/>
          <w:highlight w:val="none"/>
        </w:rPr>
      </w:pPr>
    </w:p>
    <w:p w14:paraId="6DAB9CE8">
      <w:pPr>
        <w:pStyle w:val="22"/>
        <w:snapToGrid w:val="0"/>
        <w:spacing w:line="324" w:lineRule="auto"/>
        <w:jc w:val="right"/>
        <w:rPr>
          <w:rFonts w:hint="eastAsia" w:hAnsi="宋体" w:eastAsia="宋体" w:cs="宋体"/>
          <w:color w:val="auto"/>
          <w:sz w:val="24"/>
          <w:szCs w:val="24"/>
          <w:highlight w:val="none"/>
        </w:rPr>
      </w:pPr>
    </w:p>
    <w:p w14:paraId="3A038DC6">
      <w:pPr>
        <w:pStyle w:val="22"/>
        <w:snapToGrid w:val="0"/>
        <w:spacing w:line="324" w:lineRule="auto"/>
        <w:jc w:val="right"/>
        <w:rPr>
          <w:rFonts w:hint="eastAsia" w:hAnsi="宋体" w:eastAsia="宋体" w:cs="宋体"/>
          <w:color w:val="auto"/>
          <w:sz w:val="24"/>
          <w:szCs w:val="24"/>
          <w:highlight w:val="none"/>
        </w:rPr>
      </w:pPr>
    </w:p>
    <w:p w14:paraId="58D0920B">
      <w:pPr>
        <w:pStyle w:val="22"/>
        <w:snapToGrid w:val="0"/>
        <w:spacing w:line="324" w:lineRule="auto"/>
        <w:jc w:val="right"/>
        <w:rPr>
          <w:rFonts w:hint="eastAsia" w:hAnsi="宋体" w:eastAsia="宋体" w:cs="宋体"/>
          <w:color w:val="auto"/>
          <w:sz w:val="24"/>
          <w:szCs w:val="24"/>
          <w:highlight w:val="none"/>
        </w:rPr>
      </w:pPr>
    </w:p>
    <w:p w14:paraId="1468F483">
      <w:pPr>
        <w:pStyle w:val="22"/>
        <w:snapToGrid w:val="0"/>
        <w:spacing w:line="324" w:lineRule="auto"/>
        <w:jc w:val="right"/>
        <w:rPr>
          <w:rFonts w:hint="eastAsia" w:hAnsi="宋体" w:eastAsia="宋体" w:cs="宋体"/>
          <w:color w:val="auto"/>
          <w:sz w:val="24"/>
          <w:szCs w:val="24"/>
          <w:highlight w:val="none"/>
        </w:rPr>
      </w:pPr>
    </w:p>
    <w:p w14:paraId="126CF31B">
      <w:pPr>
        <w:pStyle w:val="22"/>
        <w:snapToGrid w:val="0"/>
        <w:spacing w:line="324" w:lineRule="auto"/>
        <w:jc w:val="right"/>
        <w:rPr>
          <w:rFonts w:hint="eastAsia" w:hAnsi="宋体" w:eastAsia="宋体" w:cs="宋体"/>
          <w:color w:val="auto"/>
          <w:sz w:val="24"/>
          <w:szCs w:val="24"/>
          <w:highlight w:val="none"/>
        </w:rPr>
      </w:pPr>
    </w:p>
    <w:p w14:paraId="74F8D92A">
      <w:pPr>
        <w:pStyle w:val="22"/>
        <w:snapToGrid w:val="0"/>
        <w:spacing w:line="324" w:lineRule="auto"/>
        <w:ind w:right="960"/>
        <w:rPr>
          <w:rFonts w:hint="eastAsia" w:hAnsi="宋体" w:eastAsia="宋体" w:cs="宋体"/>
          <w:color w:val="auto"/>
          <w:sz w:val="24"/>
          <w:szCs w:val="24"/>
          <w:highlight w:val="none"/>
        </w:rPr>
      </w:pPr>
    </w:p>
    <w:p w14:paraId="2773C23B">
      <w:pPr>
        <w:rPr>
          <w:rFonts w:hint="eastAsia" w:ascii="宋体" w:hAnsi="宋体" w:eastAsia="宋体" w:cs="宋体"/>
          <w:color w:val="auto"/>
          <w:highlight w:val="none"/>
        </w:rPr>
        <w:sectPr>
          <w:pgSz w:w="11906" w:h="16838"/>
          <w:pgMar w:top="1440" w:right="1797" w:bottom="1440" w:left="1800" w:header="851" w:footer="992" w:gutter="0"/>
          <w:pgNumType w:fmt="numberInDash"/>
          <w:cols w:space="720" w:num="1"/>
          <w:docGrid w:linePitch="312" w:charSpace="0"/>
        </w:sectPr>
      </w:pPr>
    </w:p>
    <w:p w14:paraId="3547E531">
      <w:pPr>
        <w:autoSpaceDE w:val="0"/>
        <w:autoSpaceDN w:val="0"/>
        <w:adjustRightInd w:val="0"/>
        <w:spacing w:line="360" w:lineRule="auto"/>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附件一：</w:t>
      </w:r>
    </w:p>
    <w:p w14:paraId="4E6BB90F">
      <w:pPr>
        <w:pStyle w:val="116"/>
        <w:rPr>
          <w:rFonts w:hint="eastAsia" w:ascii="宋体" w:hAnsi="宋体" w:eastAsia="宋体" w:cs="宋体"/>
          <w:color w:val="auto"/>
          <w:highlight w:val="none"/>
        </w:rPr>
      </w:pPr>
    </w:p>
    <w:p w14:paraId="45C51BF6">
      <w:pPr>
        <w:autoSpaceDE w:val="0"/>
        <w:autoSpaceDN w:val="0"/>
        <w:adjustRightInd w:val="0"/>
        <w:spacing w:before="8" w:line="240" w:lineRule="exact"/>
        <w:jc w:val="left"/>
        <w:rPr>
          <w:rFonts w:hint="eastAsia" w:ascii="宋体" w:hAnsi="宋体" w:eastAsia="宋体" w:cs="宋体"/>
          <w:color w:val="auto"/>
          <w:kern w:val="0"/>
          <w:sz w:val="24"/>
          <w:highlight w:val="none"/>
        </w:rPr>
      </w:pPr>
    </w:p>
    <w:p w14:paraId="2EEDF98E">
      <w:pPr>
        <w:autoSpaceDE w:val="0"/>
        <w:autoSpaceDN w:val="0"/>
        <w:adjustRightInd w:val="0"/>
        <w:spacing w:line="420" w:lineRule="exact"/>
        <w:ind w:left="3497" w:right="3616"/>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spacing w:val="65"/>
          <w:kern w:val="0"/>
          <w:position w:val="-3"/>
          <w:sz w:val="30"/>
          <w:szCs w:val="30"/>
          <w:highlight w:val="none"/>
        </w:rPr>
        <w:t>工程质量保修</w:t>
      </w:r>
      <w:r>
        <w:rPr>
          <w:rFonts w:hint="eastAsia" w:ascii="宋体" w:hAnsi="宋体" w:eastAsia="宋体" w:cs="宋体"/>
          <w:b/>
          <w:color w:val="auto"/>
          <w:kern w:val="0"/>
          <w:position w:val="-3"/>
          <w:sz w:val="30"/>
          <w:szCs w:val="30"/>
          <w:highlight w:val="none"/>
        </w:rPr>
        <w:t>书</w:t>
      </w:r>
      <w:r>
        <w:rPr>
          <w:rFonts w:hint="eastAsia" w:ascii="宋体" w:hAnsi="宋体" w:eastAsia="宋体" w:cs="宋体"/>
          <w:b/>
          <w:color w:val="auto"/>
          <w:spacing w:val="-115"/>
          <w:kern w:val="0"/>
          <w:position w:val="-3"/>
          <w:sz w:val="30"/>
          <w:szCs w:val="30"/>
          <w:highlight w:val="none"/>
        </w:rPr>
        <w:t xml:space="preserve"> </w:t>
      </w:r>
    </w:p>
    <w:p w14:paraId="63EA22CE">
      <w:pPr>
        <w:autoSpaceDE w:val="0"/>
        <w:autoSpaceDN w:val="0"/>
        <w:adjustRightInd w:val="0"/>
        <w:spacing w:before="4" w:line="100" w:lineRule="exact"/>
        <w:jc w:val="left"/>
        <w:rPr>
          <w:rFonts w:hint="eastAsia" w:ascii="宋体" w:hAnsi="宋体" w:eastAsia="宋体" w:cs="宋体"/>
          <w:color w:val="auto"/>
          <w:kern w:val="0"/>
          <w:sz w:val="10"/>
          <w:szCs w:val="10"/>
          <w:highlight w:val="none"/>
        </w:rPr>
      </w:pPr>
    </w:p>
    <w:p w14:paraId="13BBDB25">
      <w:pPr>
        <w:autoSpaceDE w:val="0"/>
        <w:autoSpaceDN w:val="0"/>
        <w:adjustRightInd w:val="0"/>
        <w:spacing w:before="94" w:line="360" w:lineRule="auto"/>
        <w:ind w:left="101" w:right="47"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为保证本施工合同涉及的工程项目在合理使用期限内正常使用，合同双方当事人根据《中华人民共和国建筑法》、《建设工程质量管理条例》和《房屋建筑工程质量保修办法》等规定，经协商一致，订立本质量保修书。</w:t>
      </w:r>
    </w:p>
    <w:p w14:paraId="0FA3D041">
      <w:pPr>
        <w:autoSpaceDE w:val="0"/>
        <w:autoSpaceDN w:val="0"/>
        <w:adjustRightInd w:val="0"/>
        <w:spacing w:before="36" w:line="360" w:lineRule="auto"/>
        <w:ind w:left="521"/>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w:t>
      </w:r>
      <w:r>
        <w:rPr>
          <w:rFonts w:hint="eastAsia" w:ascii="宋体" w:hAnsi="宋体" w:eastAsia="宋体" w:cs="宋体"/>
          <w:b/>
          <w:color w:val="auto"/>
          <w:spacing w:val="-60"/>
          <w:kern w:val="0"/>
          <w:sz w:val="24"/>
          <w:highlight w:val="none"/>
        </w:rPr>
        <w:t xml:space="preserve"> </w:t>
      </w:r>
      <w:r>
        <w:rPr>
          <w:rFonts w:hint="eastAsia" w:ascii="宋体" w:hAnsi="宋体" w:eastAsia="宋体" w:cs="宋体"/>
          <w:b/>
          <w:color w:val="auto"/>
          <w:kern w:val="0"/>
          <w:sz w:val="24"/>
          <w:highlight w:val="none"/>
        </w:rPr>
        <w:t>质量保修范围</w:t>
      </w:r>
    </w:p>
    <w:p w14:paraId="1D7E59BC">
      <w:pPr>
        <w:autoSpaceDE w:val="0"/>
        <w:autoSpaceDN w:val="0"/>
        <w:adjustRightInd w:val="0"/>
        <w:spacing w:before="94" w:line="317" w:lineRule="auto"/>
        <w:ind w:left="101" w:right="47" w:firstLine="480"/>
        <w:rPr>
          <w:rFonts w:hint="eastAsia" w:ascii="宋体" w:hAnsi="宋体" w:eastAsia="宋体" w:cs="宋体"/>
          <w:color w:val="auto"/>
          <w:kern w:val="0"/>
          <w:sz w:val="24"/>
          <w:highlight w:val="none"/>
        </w:rPr>
      </w:pPr>
      <w:r>
        <w:rPr>
          <w:rFonts w:hint="eastAsia" w:ascii="宋体" w:hAnsi="宋体" w:eastAsia="宋体" w:cs="宋体"/>
          <w:color w:val="auto"/>
          <w:spacing w:val="1"/>
          <w:kern w:val="0"/>
          <w:sz w:val="24"/>
          <w:highlight w:val="none"/>
        </w:rPr>
        <w:t>质量保修范围包括地基基础工程</w:t>
      </w:r>
      <w:r>
        <w:rPr>
          <w:rFonts w:hint="eastAsia" w:ascii="宋体" w:hAnsi="宋体" w:eastAsia="宋体" w:cs="宋体"/>
          <w:color w:val="auto"/>
          <w:kern w:val="0"/>
          <w:sz w:val="24"/>
          <w:highlight w:val="none"/>
        </w:rPr>
        <w:t>、</w:t>
      </w:r>
      <w:r>
        <w:rPr>
          <w:rFonts w:hint="eastAsia" w:ascii="宋体" w:hAnsi="宋体" w:eastAsia="宋体" w:cs="宋体"/>
          <w:color w:val="auto"/>
          <w:spacing w:val="1"/>
          <w:kern w:val="0"/>
          <w:sz w:val="24"/>
          <w:highlight w:val="none"/>
        </w:rPr>
        <w:t>主体结构工程、屋面防水工</w:t>
      </w:r>
      <w:r>
        <w:rPr>
          <w:rFonts w:hint="eastAsia" w:ascii="宋体" w:hAnsi="宋体" w:eastAsia="宋体" w:cs="宋体"/>
          <w:color w:val="auto"/>
          <w:kern w:val="0"/>
          <w:sz w:val="24"/>
          <w:highlight w:val="none"/>
        </w:rPr>
        <w:t>程</w:t>
      </w:r>
      <w:r>
        <w:rPr>
          <w:rFonts w:hint="eastAsia" w:ascii="宋体" w:hAnsi="宋体" w:eastAsia="宋体" w:cs="宋体"/>
          <w:color w:val="auto"/>
          <w:spacing w:val="1"/>
          <w:kern w:val="0"/>
          <w:sz w:val="24"/>
          <w:highlight w:val="none"/>
        </w:rPr>
        <w:t>、有防水要求的卫生间、</w:t>
      </w:r>
      <w:r>
        <w:rPr>
          <w:rFonts w:hint="eastAsia" w:ascii="宋体" w:hAnsi="宋体" w:eastAsia="宋体" w:cs="宋体"/>
          <w:color w:val="auto"/>
          <w:kern w:val="0"/>
          <w:sz w:val="24"/>
          <w:highlight w:val="none"/>
        </w:rPr>
        <w:t>房间、外墙面的防渗漏工程</w:t>
      </w:r>
      <w:r>
        <w:rPr>
          <w:rFonts w:hint="eastAsia" w:ascii="宋体" w:hAnsi="宋体" w:eastAsia="宋体" w:cs="宋体"/>
          <w:color w:val="auto"/>
          <w:spacing w:val="2"/>
          <w:kern w:val="0"/>
          <w:sz w:val="24"/>
          <w:highlight w:val="none"/>
        </w:rPr>
        <w:t>、</w:t>
      </w:r>
      <w:r>
        <w:rPr>
          <w:rFonts w:hint="eastAsia" w:ascii="宋体" w:hAnsi="宋体" w:eastAsia="宋体" w:cs="宋体"/>
          <w:color w:val="auto"/>
          <w:kern w:val="0"/>
          <w:sz w:val="24"/>
          <w:highlight w:val="none"/>
        </w:rPr>
        <w:t>电气管线工程、给排水管道工程</w:t>
      </w:r>
      <w:r>
        <w:rPr>
          <w:rFonts w:hint="eastAsia" w:ascii="宋体" w:hAnsi="宋体" w:eastAsia="宋体" w:cs="宋体"/>
          <w:color w:val="auto"/>
          <w:spacing w:val="2"/>
          <w:kern w:val="0"/>
          <w:sz w:val="24"/>
          <w:highlight w:val="none"/>
        </w:rPr>
        <w:t>、</w:t>
      </w:r>
      <w:r>
        <w:rPr>
          <w:rFonts w:hint="eastAsia" w:ascii="宋体" w:hAnsi="宋体" w:eastAsia="宋体" w:cs="宋体"/>
          <w:color w:val="auto"/>
          <w:kern w:val="0"/>
          <w:sz w:val="24"/>
          <w:highlight w:val="none"/>
        </w:rPr>
        <w:t>设备安装工程、供热</w:t>
      </w:r>
      <w:r>
        <w:rPr>
          <w:rFonts w:hint="eastAsia" w:ascii="宋体" w:hAnsi="宋体" w:eastAsia="宋体" w:cs="宋体"/>
          <w:color w:val="auto"/>
          <w:spacing w:val="2"/>
          <w:kern w:val="0"/>
          <w:sz w:val="24"/>
          <w:highlight w:val="none"/>
        </w:rPr>
        <w:t>、</w:t>
      </w:r>
      <w:r>
        <w:rPr>
          <w:rFonts w:hint="eastAsia" w:ascii="宋体" w:hAnsi="宋体" w:eastAsia="宋体" w:cs="宋体"/>
          <w:color w:val="auto"/>
          <w:kern w:val="0"/>
          <w:sz w:val="24"/>
          <w:highlight w:val="none"/>
        </w:rPr>
        <w:t>供</w:t>
      </w:r>
      <w:r>
        <w:rPr>
          <w:rFonts w:hint="eastAsia" w:ascii="宋体" w:hAnsi="宋体" w:eastAsia="宋体" w:cs="宋体"/>
          <w:color w:val="auto"/>
          <w:spacing w:val="2"/>
          <w:kern w:val="0"/>
          <w:sz w:val="24"/>
          <w:highlight w:val="none"/>
        </w:rPr>
        <w:t>冷</w:t>
      </w:r>
      <w:r>
        <w:rPr>
          <w:rFonts w:hint="eastAsia" w:ascii="宋体" w:hAnsi="宋体" w:eastAsia="宋体" w:cs="宋体"/>
          <w:color w:val="auto"/>
          <w:kern w:val="0"/>
          <w:sz w:val="24"/>
          <w:highlight w:val="none"/>
        </w:rPr>
        <w:t>系 统工程</w:t>
      </w:r>
      <w:r>
        <w:rPr>
          <w:rFonts w:hint="eastAsia" w:ascii="宋体" w:hAnsi="宋体" w:eastAsia="宋体" w:cs="宋体"/>
          <w:color w:val="auto"/>
          <w:spacing w:val="-32"/>
          <w:kern w:val="0"/>
          <w:sz w:val="24"/>
          <w:highlight w:val="none"/>
        </w:rPr>
        <w:t>、</w:t>
      </w:r>
      <w:r>
        <w:rPr>
          <w:rFonts w:hint="eastAsia" w:ascii="宋体" w:hAnsi="宋体" w:eastAsia="宋体" w:cs="宋体"/>
          <w:color w:val="auto"/>
          <w:kern w:val="0"/>
          <w:sz w:val="24"/>
          <w:highlight w:val="none"/>
        </w:rPr>
        <w:t>装饰装修工程、城市道路、桥梁、排水、污水处理、城市防洪、园林、道路绿化、路灯、环境卫生、道路</w:t>
      </w:r>
      <w:r>
        <w:rPr>
          <w:color w:val="auto"/>
          <w:highlight w:val="none"/>
        </w:rPr>
        <w:fldChar w:fldCharType="begin"/>
      </w:r>
      <w:r>
        <w:rPr>
          <w:color w:val="auto"/>
          <w:highlight w:val="none"/>
        </w:rPr>
        <w:instrText xml:space="preserve"> HYPERLINK "https://www.baidu.com/s?wd=%E4%BA%A4%E9%80%9A%E5%B7%A5%E7%A8%8B&amp;tn=SE_PcZhidaonwhc_ngpagmjz&amp;rsv_dl=gh_pc_zhidao" \t "_blank" </w:instrText>
      </w:r>
      <w:r>
        <w:rPr>
          <w:color w:val="auto"/>
          <w:highlight w:val="none"/>
        </w:rPr>
        <w:fldChar w:fldCharType="separate"/>
      </w:r>
      <w:r>
        <w:rPr>
          <w:rFonts w:hint="eastAsia" w:ascii="宋体" w:hAnsi="宋体" w:eastAsia="宋体" w:cs="宋体"/>
          <w:color w:val="auto"/>
          <w:kern w:val="0"/>
          <w:sz w:val="24"/>
          <w:highlight w:val="none"/>
        </w:rPr>
        <w:t>交通工程</w:t>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、河湖水系工程、 架空杆线工程、地下管线工程以及双方约定其他项目。具体质量保修范围，合同双方当事人约定如下：</w:t>
      </w:r>
    </w:p>
    <w:p w14:paraId="2C2357DF">
      <w:pPr>
        <w:autoSpaceDE w:val="0"/>
        <w:autoSpaceDN w:val="0"/>
        <w:adjustRightInd w:val="0"/>
        <w:spacing w:before="36"/>
        <w:ind w:left="581"/>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w:t>
      </w:r>
      <w:r>
        <w:rPr>
          <w:rFonts w:hint="eastAsia" w:ascii="宋体" w:hAnsi="宋体" w:eastAsia="宋体" w:cs="宋体"/>
          <w:color w:val="auto"/>
          <w:kern w:val="0"/>
          <w:sz w:val="24"/>
          <w:highlight w:val="none"/>
          <w:u w:val="single"/>
        </w:rPr>
        <w:t xml:space="preserve"> 本保修书所属合同约定的承包范围内全部工程内容。  </w:t>
      </w:r>
    </w:p>
    <w:p w14:paraId="0ABC8367">
      <w:pPr>
        <w:autoSpaceDE w:val="0"/>
        <w:autoSpaceDN w:val="0"/>
        <w:adjustRightInd w:val="0"/>
        <w:spacing w:before="94"/>
        <w:ind w:left="581"/>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w:t>
      </w:r>
      <w:r>
        <w:rPr>
          <w:rFonts w:hint="eastAsia" w:ascii="宋体" w:hAnsi="宋体" w:eastAsia="宋体" w:cs="宋体"/>
          <w:color w:val="auto"/>
          <w:kern w:val="0"/>
          <w:sz w:val="24"/>
          <w:highlight w:val="none"/>
          <w:u w:val="single"/>
        </w:rPr>
        <w:t xml:space="preserve">                                    </w:t>
      </w:r>
    </w:p>
    <w:p w14:paraId="7ECD8E69">
      <w:pPr>
        <w:autoSpaceDE w:val="0"/>
        <w:autoSpaceDN w:val="0"/>
        <w:adjustRightInd w:val="0"/>
        <w:spacing w:before="94"/>
        <w:ind w:left="581"/>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w:t>
      </w:r>
      <w:r>
        <w:rPr>
          <w:rFonts w:hint="eastAsia" w:ascii="宋体" w:hAnsi="宋体" w:eastAsia="宋体" w:cs="宋体"/>
          <w:color w:val="auto"/>
          <w:kern w:val="0"/>
          <w:sz w:val="24"/>
          <w:highlight w:val="none"/>
          <w:u w:val="single"/>
        </w:rPr>
        <w:t xml:space="preserve">                                    </w:t>
      </w:r>
    </w:p>
    <w:p w14:paraId="36A045AE">
      <w:pPr>
        <w:autoSpaceDE w:val="0"/>
        <w:autoSpaceDN w:val="0"/>
        <w:adjustRightInd w:val="0"/>
        <w:spacing w:before="94"/>
        <w:ind w:left="581"/>
        <w:jc w:val="left"/>
        <w:rPr>
          <w:rFonts w:hint="eastAsia" w:ascii="宋体" w:hAnsi="宋体" w:eastAsia="宋体" w:cs="宋体"/>
          <w:color w:val="auto"/>
          <w:kern w:val="0"/>
          <w:sz w:val="24"/>
          <w:highlight w:val="none"/>
        </w:rPr>
      </w:pPr>
    </w:p>
    <w:p w14:paraId="146C9B68">
      <w:pPr>
        <w:autoSpaceDE w:val="0"/>
        <w:autoSpaceDN w:val="0"/>
        <w:adjustRightInd w:val="0"/>
        <w:spacing w:before="94"/>
        <w:ind w:left="521"/>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w:t>
      </w:r>
      <w:r>
        <w:rPr>
          <w:rFonts w:hint="eastAsia" w:ascii="宋体" w:hAnsi="宋体" w:eastAsia="宋体" w:cs="宋体"/>
          <w:b/>
          <w:color w:val="auto"/>
          <w:spacing w:val="-60"/>
          <w:kern w:val="0"/>
          <w:sz w:val="24"/>
          <w:highlight w:val="none"/>
        </w:rPr>
        <w:t xml:space="preserve"> </w:t>
      </w:r>
      <w:r>
        <w:rPr>
          <w:rFonts w:hint="eastAsia" w:ascii="宋体" w:hAnsi="宋体" w:eastAsia="宋体" w:cs="宋体"/>
          <w:b/>
          <w:color w:val="auto"/>
          <w:kern w:val="0"/>
          <w:sz w:val="24"/>
          <w:highlight w:val="none"/>
        </w:rPr>
        <w:t>质量保修期</w:t>
      </w:r>
    </w:p>
    <w:p w14:paraId="6D069605">
      <w:pPr>
        <w:autoSpaceDE w:val="0"/>
        <w:autoSpaceDN w:val="0"/>
        <w:adjustRightInd w:val="0"/>
        <w:spacing w:before="94" w:line="300" w:lineRule="auto"/>
        <w:ind w:left="101" w:right="165"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2.1 </w:t>
      </w:r>
      <w:r>
        <w:rPr>
          <w:rFonts w:hint="eastAsia" w:ascii="宋体" w:hAnsi="宋体" w:eastAsia="宋体" w:cs="宋体"/>
          <w:color w:val="auto"/>
          <w:spacing w:val="2"/>
          <w:kern w:val="0"/>
          <w:sz w:val="24"/>
          <w:highlight w:val="none"/>
        </w:rPr>
        <w:t>质量保修期从合同工程实际竣工之日算起。单项竣</w:t>
      </w:r>
      <w:r>
        <w:rPr>
          <w:rFonts w:hint="eastAsia" w:ascii="宋体" w:hAnsi="宋体" w:eastAsia="宋体" w:cs="宋体"/>
          <w:color w:val="auto"/>
          <w:spacing w:val="1"/>
          <w:kern w:val="0"/>
          <w:sz w:val="24"/>
          <w:highlight w:val="none"/>
        </w:rPr>
        <w:t>工</w:t>
      </w:r>
      <w:r>
        <w:rPr>
          <w:rFonts w:hint="eastAsia" w:ascii="宋体" w:hAnsi="宋体" w:eastAsia="宋体" w:cs="宋体"/>
          <w:color w:val="auto"/>
          <w:spacing w:val="2"/>
          <w:kern w:val="0"/>
          <w:sz w:val="24"/>
          <w:highlight w:val="none"/>
        </w:rPr>
        <w:t>验收的工程，按单项工程分别计</w:t>
      </w:r>
      <w:r>
        <w:rPr>
          <w:rFonts w:hint="eastAsia" w:ascii="宋体" w:hAnsi="宋体" w:eastAsia="宋体" w:cs="宋体"/>
          <w:color w:val="auto"/>
          <w:kern w:val="0"/>
          <w:sz w:val="24"/>
          <w:highlight w:val="none"/>
        </w:rPr>
        <w:t>算质量保修期。</w:t>
      </w:r>
    </w:p>
    <w:p w14:paraId="160CF893">
      <w:pPr>
        <w:autoSpaceDE w:val="0"/>
        <w:autoSpaceDN w:val="0"/>
        <w:adjustRightInd w:val="0"/>
        <w:spacing w:before="52"/>
        <w:ind w:left="581"/>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2.2 合同工程质量保修期，合同双方当事人约定如下：</w:t>
      </w:r>
    </w:p>
    <w:p w14:paraId="7DC08B53">
      <w:pPr>
        <w:autoSpaceDE w:val="0"/>
        <w:autoSpaceDN w:val="0"/>
        <w:adjustRightInd w:val="0"/>
        <w:spacing w:before="94"/>
        <w:ind w:left="581"/>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2.2.1．地基基础工程、主体结构工程为设计文件规定的合理使用年限；</w:t>
      </w:r>
    </w:p>
    <w:p w14:paraId="555011BA">
      <w:pPr>
        <w:tabs>
          <w:tab w:val="left" w:pos="8860"/>
        </w:tabs>
        <w:autoSpaceDE w:val="0"/>
        <w:autoSpaceDN w:val="0"/>
        <w:adjustRightInd w:val="0"/>
        <w:spacing w:before="94"/>
        <w:ind w:left="581"/>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2.2.2．屋面防水工程、有防水要求的卫生间、房间和外墙面的防渗漏工程为</w:t>
      </w:r>
      <w:r>
        <w:rPr>
          <w:rFonts w:hint="eastAsia" w:ascii="宋体" w:hAnsi="宋体" w:eastAsia="宋体" w:cs="宋体"/>
          <w:color w:val="auto"/>
          <w:kern w:val="0"/>
          <w:sz w:val="24"/>
          <w:highlight w:val="none"/>
          <w:u w:val="single"/>
        </w:rPr>
        <w:t xml:space="preserve">   5   </w:t>
      </w:r>
      <w:r>
        <w:rPr>
          <w:rFonts w:hint="eastAsia" w:ascii="宋体" w:hAnsi="宋体" w:eastAsia="宋体" w:cs="宋体"/>
          <w:color w:val="auto"/>
          <w:kern w:val="0"/>
          <w:sz w:val="24"/>
          <w:highlight w:val="none"/>
        </w:rPr>
        <w:t>年；</w:t>
      </w:r>
    </w:p>
    <w:p w14:paraId="6F4E732F">
      <w:pPr>
        <w:tabs>
          <w:tab w:val="left" w:pos="7420"/>
        </w:tabs>
        <w:autoSpaceDE w:val="0"/>
        <w:autoSpaceDN w:val="0"/>
        <w:adjustRightInd w:val="0"/>
        <w:spacing w:before="94"/>
        <w:ind w:left="581"/>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2.2.3．电气管线工程、给排水管道工程、设备安装工程为</w:t>
      </w:r>
      <w:r>
        <w:rPr>
          <w:rFonts w:hint="eastAsia" w:ascii="宋体" w:hAnsi="宋体" w:eastAsia="宋体" w:cs="宋体"/>
          <w:color w:val="auto"/>
          <w:kern w:val="0"/>
          <w:sz w:val="24"/>
          <w:highlight w:val="none"/>
          <w:u w:val="single"/>
        </w:rPr>
        <w:t xml:space="preserve">    2    </w:t>
      </w:r>
      <w:r>
        <w:rPr>
          <w:rFonts w:hint="eastAsia" w:ascii="宋体" w:hAnsi="宋体" w:eastAsia="宋体" w:cs="宋体"/>
          <w:color w:val="auto"/>
          <w:kern w:val="0"/>
          <w:sz w:val="24"/>
          <w:highlight w:val="none"/>
        </w:rPr>
        <w:t>年；</w:t>
      </w:r>
    </w:p>
    <w:p w14:paraId="0A1CE6F8">
      <w:pPr>
        <w:tabs>
          <w:tab w:val="left" w:pos="4060"/>
        </w:tabs>
        <w:autoSpaceDE w:val="0"/>
        <w:autoSpaceDN w:val="0"/>
        <w:adjustRightInd w:val="0"/>
        <w:spacing w:before="94"/>
        <w:ind w:left="581"/>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2.2.4．供热、供冷系统工程为</w:t>
      </w:r>
      <w:r>
        <w:rPr>
          <w:rFonts w:hint="eastAsia" w:ascii="宋体" w:hAnsi="宋体" w:eastAsia="宋体" w:cs="宋体"/>
          <w:color w:val="auto"/>
          <w:kern w:val="0"/>
          <w:sz w:val="24"/>
          <w:highlight w:val="none"/>
          <w:u w:val="single"/>
        </w:rPr>
        <w:t xml:space="preserve">    2    </w:t>
      </w:r>
      <w:r>
        <w:rPr>
          <w:rFonts w:hint="eastAsia" w:ascii="宋体" w:hAnsi="宋体" w:eastAsia="宋体" w:cs="宋体"/>
          <w:color w:val="auto"/>
          <w:kern w:val="0"/>
          <w:sz w:val="24"/>
          <w:highlight w:val="none"/>
        </w:rPr>
        <w:t>个采暖期、供冷期；</w:t>
      </w:r>
    </w:p>
    <w:p w14:paraId="2BC364CE">
      <w:pPr>
        <w:tabs>
          <w:tab w:val="left" w:pos="3580"/>
        </w:tabs>
        <w:autoSpaceDE w:val="0"/>
        <w:autoSpaceDN w:val="0"/>
        <w:adjustRightInd w:val="0"/>
        <w:spacing w:before="94"/>
        <w:ind w:left="581"/>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2.2.5．装饰装修工程为</w:t>
      </w:r>
      <w:r>
        <w:rPr>
          <w:rFonts w:hint="eastAsia" w:ascii="宋体" w:hAnsi="宋体" w:eastAsia="宋体" w:cs="宋体"/>
          <w:color w:val="auto"/>
          <w:kern w:val="0"/>
          <w:sz w:val="24"/>
          <w:highlight w:val="none"/>
          <w:u w:val="single"/>
        </w:rPr>
        <w:t xml:space="preserve">     2     </w:t>
      </w:r>
      <w:r>
        <w:rPr>
          <w:rFonts w:hint="eastAsia" w:ascii="宋体" w:hAnsi="宋体" w:eastAsia="宋体" w:cs="宋体"/>
          <w:color w:val="auto"/>
          <w:kern w:val="0"/>
          <w:sz w:val="24"/>
          <w:highlight w:val="none"/>
        </w:rPr>
        <w:t>年；</w:t>
      </w:r>
    </w:p>
    <w:p w14:paraId="4DEB84BA">
      <w:pPr>
        <w:tabs>
          <w:tab w:val="left" w:pos="6100"/>
        </w:tabs>
        <w:autoSpaceDE w:val="0"/>
        <w:autoSpaceDN w:val="0"/>
        <w:adjustRightInd w:val="0"/>
        <w:spacing w:before="94" w:line="360" w:lineRule="auto"/>
        <w:ind w:firstLine="720" w:firstLineChars="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2.2.6．其他项目</w:t>
      </w:r>
      <w:r>
        <w:rPr>
          <w:rFonts w:hint="eastAsia" w:ascii="宋体" w:hAnsi="宋体" w:eastAsia="宋体" w:cs="宋体"/>
          <w:color w:val="auto"/>
          <w:kern w:val="0"/>
          <w:sz w:val="24"/>
          <w:highlight w:val="none"/>
          <w:u w:val="single"/>
        </w:rPr>
        <w:t xml:space="preserve"> 城市道路和市政工程为一年，排水工程为两年，外墙涂料为两年，绿化成活保养期三个月、保存保养期九个月 。绿化养护期内更换苗木的，保养期时间从更换之日起算</w:t>
      </w:r>
      <w:r>
        <w:rPr>
          <w:rFonts w:hint="eastAsia" w:ascii="宋体" w:hAnsi="宋体" w:eastAsia="宋体" w:cs="宋体"/>
          <w:color w:val="auto"/>
          <w:kern w:val="0"/>
          <w:sz w:val="24"/>
          <w:highlight w:val="none"/>
        </w:rPr>
        <w:t>。</w:t>
      </w:r>
    </w:p>
    <w:p w14:paraId="6DABACA7">
      <w:pPr>
        <w:autoSpaceDE w:val="0"/>
        <w:autoSpaceDN w:val="0"/>
        <w:adjustRightInd w:val="0"/>
        <w:spacing w:before="94" w:line="360" w:lineRule="auto"/>
        <w:ind w:left="581"/>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 质量保修责任</w:t>
      </w:r>
    </w:p>
    <w:p w14:paraId="2CD1E16F">
      <w:pPr>
        <w:tabs>
          <w:tab w:val="left" w:pos="1120"/>
        </w:tabs>
        <w:autoSpaceDE w:val="0"/>
        <w:autoSpaceDN w:val="0"/>
        <w:adjustRightInd w:val="0"/>
        <w:spacing w:before="94" w:line="360" w:lineRule="auto"/>
        <w:ind w:left="101" w:right="166"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属于保修范围的项目</w:t>
      </w:r>
      <w:r>
        <w:rPr>
          <w:rFonts w:hint="eastAsia" w:ascii="宋体" w:hAnsi="宋体" w:eastAsia="宋体" w:cs="宋体"/>
          <w:color w:val="auto"/>
          <w:spacing w:val="-18"/>
          <w:kern w:val="0"/>
          <w:sz w:val="24"/>
          <w:highlight w:val="none"/>
        </w:rPr>
        <w:t>，</w:t>
      </w:r>
      <w:r>
        <w:rPr>
          <w:rFonts w:hint="eastAsia" w:ascii="宋体" w:hAnsi="宋体" w:eastAsia="宋体" w:cs="宋体"/>
          <w:color w:val="auto"/>
          <w:kern w:val="0"/>
          <w:sz w:val="24"/>
          <w:highlight w:val="none"/>
        </w:rPr>
        <w:t>乙方应在接到甲</w:t>
      </w:r>
      <w:r>
        <w:rPr>
          <w:rFonts w:hint="eastAsia" w:ascii="宋体" w:hAnsi="宋体" w:eastAsia="宋体" w:cs="宋体"/>
          <w:color w:val="auto"/>
          <w:sz w:val="24"/>
          <w:highlight w:val="none"/>
        </w:rPr>
        <w:t>、乙方</w:t>
      </w:r>
      <w:r>
        <w:rPr>
          <w:rFonts w:hint="eastAsia" w:ascii="宋体" w:hAnsi="宋体" w:eastAsia="宋体" w:cs="宋体"/>
          <w:color w:val="auto"/>
          <w:kern w:val="0"/>
          <w:sz w:val="24"/>
          <w:highlight w:val="none"/>
        </w:rPr>
        <w:t>通知后的</w:t>
      </w:r>
      <w:r>
        <w:rPr>
          <w:rFonts w:hint="eastAsia" w:ascii="宋体" w:hAnsi="宋体" w:eastAsia="宋体" w:cs="宋体"/>
          <w:color w:val="auto"/>
          <w:spacing w:val="-60"/>
          <w:kern w:val="0"/>
          <w:sz w:val="24"/>
          <w:highlight w:val="none"/>
        </w:rPr>
        <w:t xml:space="preserve"> </w:t>
      </w:r>
      <w:r>
        <w:rPr>
          <w:rFonts w:hint="eastAsia" w:ascii="宋体" w:hAnsi="宋体" w:eastAsia="宋体" w:cs="宋体"/>
          <w:color w:val="auto"/>
          <w:kern w:val="0"/>
          <w:sz w:val="24"/>
          <w:highlight w:val="none"/>
        </w:rPr>
        <w:t>7 天内派人保修</w:t>
      </w:r>
      <w:r>
        <w:rPr>
          <w:rFonts w:hint="eastAsia" w:ascii="宋体" w:hAnsi="宋体" w:eastAsia="宋体" w:cs="宋体"/>
          <w:color w:val="auto"/>
          <w:spacing w:val="-18"/>
          <w:kern w:val="0"/>
          <w:sz w:val="24"/>
          <w:highlight w:val="none"/>
        </w:rPr>
        <w:t>。</w:t>
      </w:r>
      <w:r>
        <w:rPr>
          <w:rFonts w:hint="eastAsia" w:ascii="宋体" w:hAnsi="宋体" w:eastAsia="宋体" w:cs="宋体"/>
          <w:color w:val="auto"/>
          <w:kern w:val="0"/>
          <w:sz w:val="24"/>
          <w:highlight w:val="none"/>
        </w:rPr>
        <w:t>乙方未能在规定时间内派人保修的，甲</w:t>
      </w:r>
      <w:r>
        <w:rPr>
          <w:rFonts w:hint="eastAsia" w:ascii="宋体" w:hAnsi="宋体" w:eastAsia="宋体" w:cs="宋体"/>
          <w:color w:val="auto"/>
          <w:sz w:val="24"/>
          <w:highlight w:val="none"/>
        </w:rPr>
        <w:t>、乙方</w:t>
      </w:r>
      <w:r>
        <w:rPr>
          <w:rFonts w:hint="eastAsia" w:ascii="宋体" w:hAnsi="宋体" w:eastAsia="宋体" w:cs="宋体"/>
          <w:color w:val="auto"/>
          <w:kern w:val="0"/>
          <w:sz w:val="24"/>
          <w:highlight w:val="none"/>
        </w:rPr>
        <w:t>可自行或委托第三方保修。</w:t>
      </w:r>
    </w:p>
    <w:p w14:paraId="4C42E1BA">
      <w:pPr>
        <w:tabs>
          <w:tab w:val="left" w:pos="1120"/>
        </w:tabs>
        <w:autoSpaceDE w:val="0"/>
        <w:autoSpaceDN w:val="0"/>
        <w:adjustRightInd w:val="0"/>
        <w:spacing w:before="51" w:line="360" w:lineRule="auto"/>
        <w:ind w:left="581"/>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发生紧急抢修事故的，乙方在接到通知后，应立即到达事故现场抢修。</w:t>
      </w:r>
    </w:p>
    <w:p w14:paraId="4E7BEF81">
      <w:pPr>
        <w:tabs>
          <w:tab w:val="left" w:pos="1120"/>
        </w:tabs>
        <w:autoSpaceDE w:val="0"/>
        <w:autoSpaceDN w:val="0"/>
        <w:adjustRightInd w:val="0"/>
        <w:spacing w:before="94" w:line="360" w:lineRule="auto"/>
        <w:ind w:left="101" w:right="166"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3.3</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在国家规定的合理使用期限内，乙方应确保地基基础工程和主体结构的质量和安全。凡出现质量问题，应立即报告当地建设行政主管部门，经设计人提出保修方案后，乙方应立即实施保修。</w:t>
      </w:r>
    </w:p>
    <w:p w14:paraId="1E146B85">
      <w:pPr>
        <w:tabs>
          <w:tab w:val="left" w:pos="1120"/>
        </w:tabs>
        <w:autoSpaceDE w:val="0"/>
        <w:autoSpaceDN w:val="0"/>
        <w:adjustRightInd w:val="0"/>
        <w:spacing w:before="36" w:line="360" w:lineRule="auto"/>
        <w:ind w:left="581"/>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质量保修完成后，由甲</w:t>
      </w:r>
      <w:r>
        <w:rPr>
          <w:rFonts w:hint="eastAsia" w:ascii="宋体" w:hAnsi="宋体" w:eastAsia="宋体" w:cs="宋体"/>
          <w:color w:val="auto"/>
          <w:sz w:val="24"/>
          <w:highlight w:val="none"/>
        </w:rPr>
        <w:t>、乙方</w:t>
      </w:r>
      <w:r>
        <w:rPr>
          <w:rFonts w:hint="eastAsia" w:ascii="宋体" w:hAnsi="宋体" w:eastAsia="宋体" w:cs="宋体"/>
          <w:color w:val="auto"/>
          <w:kern w:val="0"/>
          <w:sz w:val="24"/>
          <w:highlight w:val="none"/>
        </w:rPr>
        <w:t>组织验收。</w:t>
      </w:r>
    </w:p>
    <w:p w14:paraId="1B08B862">
      <w:pPr>
        <w:autoSpaceDE w:val="0"/>
        <w:autoSpaceDN w:val="0"/>
        <w:adjustRightInd w:val="0"/>
        <w:spacing w:before="94" w:line="360" w:lineRule="auto"/>
        <w:ind w:left="581"/>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4．质量保修费用</w:t>
      </w:r>
    </w:p>
    <w:p w14:paraId="42355B45">
      <w:pPr>
        <w:autoSpaceDE w:val="0"/>
        <w:autoSpaceDN w:val="0"/>
        <w:adjustRightInd w:val="0"/>
        <w:spacing w:before="94" w:line="360" w:lineRule="auto"/>
        <w:ind w:left="581"/>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质量保修等费用，由责任方承担。</w:t>
      </w:r>
    </w:p>
    <w:p w14:paraId="295605A3">
      <w:pPr>
        <w:autoSpaceDE w:val="0"/>
        <w:autoSpaceDN w:val="0"/>
        <w:adjustRightInd w:val="0"/>
        <w:spacing w:before="3" w:line="360" w:lineRule="auto"/>
        <w:jc w:val="left"/>
        <w:rPr>
          <w:rFonts w:hint="eastAsia" w:ascii="宋体" w:hAnsi="宋体" w:eastAsia="宋体" w:cs="宋体"/>
          <w:color w:val="auto"/>
          <w:kern w:val="0"/>
          <w:sz w:val="11"/>
          <w:szCs w:val="11"/>
          <w:highlight w:val="none"/>
        </w:rPr>
      </w:pPr>
    </w:p>
    <w:p w14:paraId="461EA916">
      <w:pPr>
        <w:autoSpaceDE w:val="0"/>
        <w:autoSpaceDN w:val="0"/>
        <w:adjustRightInd w:val="0"/>
        <w:spacing w:line="360" w:lineRule="auto"/>
        <w:ind w:left="581"/>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5．质量保证金</w:t>
      </w:r>
    </w:p>
    <w:p w14:paraId="1F7F999F">
      <w:pPr>
        <w:autoSpaceDE w:val="0"/>
        <w:autoSpaceDN w:val="0"/>
        <w:adjustRightInd w:val="0"/>
        <w:spacing w:before="94" w:line="360" w:lineRule="auto"/>
        <w:ind w:left="581"/>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质量保证金的约定、支付和使用与本合同第二部分《通用条款》第</w:t>
      </w:r>
      <w:r>
        <w:rPr>
          <w:rFonts w:hint="eastAsia" w:ascii="宋体" w:hAnsi="宋体" w:eastAsia="宋体" w:cs="宋体"/>
          <w:color w:val="auto"/>
          <w:spacing w:val="-60"/>
          <w:kern w:val="0"/>
          <w:sz w:val="24"/>
          <w:highlight w:val="none"/>
        </w:rPr>
        <w:t xml:space="preserve"> </w:t>
      </w:r>
      <w:r>
        <w:rPr>
          <w:rFonts w:hint="eastAsia" w:ascii="宋体" w:hAnsi="宋体" w:eastAsia="宋体" w:cs="宋体"/>
          <w:color w:val="auto"/>
          <w:kern w:val="0"/>
          <w:sz w:val="24"/>
          <w:highlight w:val="none"/>
        </w:rPr>
        <w:t>84 条赋予的规定一致。</w:t>
      </w:r>
    </w:p>
    <w:p w14:paraId="5AD18656">
      <w:pPr>
        <w:autoSpaceDE w:val="0"/>
        <w:autoSpaceDN w:val="0"/>
        <w:adjustRightInd w:val="0"/>
        <w:spacing w:before="94" w:line="360" w:lineRule="auto"/>
        <w:ind w:left="581"/>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6．其他</w:t>
      </w:r>
    </w:p>
    <w:p w14:paraId="1C9C4B0E">
      <w:pPr>
        <w:autoSpaceDE w:val="0"/>
        <w:autoSpaceDN w:val="0"/>
        <w:adjustRightInd w:val="0"/>
        <w:spacing w:before="94" w:line="360" w:lineRule="auto"/>
        <w:ind w:left="581"/>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6.1  合同双方当事人约定的其他质量保修事项：</w:t>
      </w:r>
      <w:r>
        <w:rPr>
          <w:rFonts w:hint="eastAsia" w:ascii="宋体" w:hAnsi="宋体" w:eastAsia="宋体" w:cs="宋体"/>
          <w:color w:val="auto"/>
          <w:kern w:val="0"/>
          <w:sz w:val="24"/>
          <w:highlight w:val="none"/>
          <w:u w:val="single"/>
        </w:rPr>
        <w:t xml:space="preserve">               /             。</w:t>
      </w:r>
    </w:p>
    <w:p w14:paraId="00D0A5BF">
      <w:pPr>
        <w:tabs>
          <w:tab w:val="left" w:pos="1120"/>
        </w:tabs>
        <w:autoSpaceDE w:val="0"/>
        <w:autoSpaceDN w:val="0"/>
        <w:adjustRightInd w:val="0"/>
        <w:spacing w:line="360" w:lineRule="auto"/>
        <w:ind w:left="101" w:right="110"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6.2  本质量保修书，由合同双方当事人在乙方向甲方提交竣工验收申请报告时签署，作为本合同的附件。</w:t>
      </w:r>
    </w:p>
    <w:p w14:paraId="374E18AD">
      <w:pPr>
        <w:autoSpaceDE w:val="0"/>
        <w:autoSpaceDN w:val="0"/>
        <w:adjustRightInd w:val="0"/>
        <w:spacing w:before="52" w:line="360" w:lineRule="auto"/>
        <w:ind w:left="581"/>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6.3  本质量保修书，自合同双方当事人签署之日起生效，至质量保修期满后失效。</w:t>
      </w:r>
    </w:p>
    <w:p w14:paraId="142E06B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（以下无正文）</w:t>
      </w:r>
    </w:p>
    <w:p w14:paraId="1EC32C7D">
      <w:pPr>
        <w:pStyle w:val="6"/>
        <w:ind w:firstLine="480"/>
        <w:rPr>
          <w:rFonts w:hint="eastAsia" w:ascii="宋体" w:hAnsi="宋体" w:eastAsia="宋体" w:cs="宋体"/>
          <w:color w:val="auto"/>
          <w:kern w:val="0"/>
          <w:sz w:val="24"/>
          <w:highlight w:val="none"/>
        </w:rPr>
      </w:pPr>
    </w:p>
    <w:p w14:paraId="2FC088BF">
      <w:pPr>
        <w:pStyle w:val="6"/>
        <w:ind w:firstLine="480"/>
        <w:rPr>
          <w:rFonts w:hint="eastAsia" w:ascii="宋体" w:hAnsi="宋体" w:eastAsia="宋体" w:cs="宋体"/>
          <w:color w:val="auto"/>
          <w:kern w:val="0"/>
          <w:sz w:val="24"/>
          <w:highlight w:val="none"/>
        </w:rPr>
      </w:pPr>
    </w:p>
    <w:p w14:paraId="7E1D4260">
      <w:pPr>
        <w:pStyle w:val="6"/>
        <w:ind w:firstLine="480"/>
        <w:rPr>
          <w:rFonts w:hint="eastAsia" w:ascii="宋体" w:hAnsi="宋体" w:eastAsia="宋体" w:cs="宋体"/>
          <w:color w:val="auto"/>
          <w:kern w:val="0"/>
          <w:sz w:val="24"/>
          <w:highlight w:val="none"/>
        </w:rPr>
      </w:pPr>
    </w:p>
    <w:p w14:paraId="0F6B75A5">
      <w:pPr>
        <w:pStyle w:val="6"/>
        <w:ind w:firstLine="480"/>
        <w:rPr>
          <w:rFonts w:hint="eastAsia" w:ascii="宋体" w:hAnsi="宋体" w:eastAsia="宋体" w:cs="宋体"/>
          <w:color w:val="auto"/>
          <w:kern w:val="0"/>
          <w:sz w:val="24"/>
          <w:highlight w:val="none"/>
        </w:rPr>
      </w:pPr>
    </w:p>
    <w:p w14:paraId="1473E1AB">
      <w:pPr>
        <w:pStyle w:val="6"/>
        <w:ind w:firstLine="480"/>
        <w:rPr>
          <w:rFonts w:hint="eastAsia" w:ascii="宋体" w:hAnsi="宋体" w:eastAsia="宋体" w:cs="宋体"/>
          <w:color w:val="auto"/>
          <w:kern w:val="0"/>
          <w:sz w:val="24"/>
          <w:highlight w:val="none"/>
        </w:rPr>
      </w:pPr>
    </w:p>
    <w:p w14:paraId="74E32B38">
      <w:pPr>
        <w:pStyle w:val="6"/>
        <w:ind w:firstLine="480"/>
        <w:rPr>
          <w:rFonts w:hint="eastAsia" w:ascii="宋体" w:hAnsi="宋体" w:eastAsia="宋体" w:cs="宋体"/>
          <w:color w:val="auto"/>
          <w:kern w:val="0"/>
          <w:sz w:val="24"/>
          <w:highlight w:val="none"/>
        </w:rPr>
      </w:pPr>
    </w:p>
    <w:p w14:paraId="27A3730D">
      <w:pPr>
        <w:pStyle w:val="6"/>
        <w:ind w:firstLine="480"/>
        <w:rPr>
          <w:rFonts w:hint="eastAsia" w:ascii="宋体" w:hAnsi="宋体" w:eastAsia="宋体" w:cs="宋体"/>
          <w:color w:val="auto"/>
          <w:kern w:val="0"/>
          <w:sz w:val="24"/>
          <w:highlight w:val="none"/>
        </w:rPr>
      </w:pPr>
    </w:p>
    <w:p w14:paraId="745C6A70">
      <w:pPr>
        <w:pStyle w:val="6"/>
        <w:ind w:firstLine="480"/>
        <w:rPr>
          <w:rFonts w:hint="eastAsia" w:ascii="宋体" w:hAnsi="宋体" w:eastAsia="宋体" w:cs="宋体"/>
          <w:color w:val="auto"/>
          <w:kern w:val="0"/>
          <w:sz w:val="24"/>
          <w:highlight w:val="none"/>
        </w:rPr>
      </w:pPr>
    </w:p>
    <w:p w14:paraId="67D54EE3">
      <w:pPr>
        <w:pStyle w:val="6"/>
        <w:ind w:firstLine="480"/>
        <w:rPr>
          <w:rFonts w:hint="eastAsia" w:ascii="宋体" w:hAnsi="宋体" w:eastAsia="宋体" w:cs="宋体"/>
          <w:color w:val="auto"/>
          <w:kern w:val="0"/>
          <w:sz w:val="24"/>
          <w:highlight w:val="none"/>
        </w:rPr>
      </w:pPr>
    </w:p>
    <w:p w14:paraId="78A4E9E8">
      <w:pPr>
        <w:pStyle w:val="6"/>
        <w:ind w:firstLine="480"/>
        <w:rPr>
          <w:rFonts w:hint="eastAsia" w:ascii="宋体" w:hAnsi="宋体" w:eastAsia="宋体" w:cs="宋体"/>
          <w:color w:val="auto"/>
          <w:kern w:val="0"/>
          <w:sz w:val="24"/>
          <w:highlight w:val="none"/>
        </w:rPr>
      </w:pPr>
    </w:p>
    <w:p w14:paraId="36AA2504">
      <w:pPr>
        <w:pStyle w:val="6"/>
        <w:ind w:firstLine="480"/>
        <w:rPr>
          <w:rFonts w:hint="eastAsia" w:ascii="宋体" w:hAnsi="宋体" w:eastAsia="宋体" w:cs="宋体"/>
          <w:color w:val="auto"/>
          <w:kern w:val="0"/>
          <w:sz w:val="24"/>
          <w:highlight w:val="none"/>
        </w:rPr>
      </w:pPr>
    </w:p>
    <w:p w14:paraId="423992F1">
      <w:pPr>
        <w:pStyle w:val="6"/>
        <w:ind w:firstLine="480"/>
        <w:rPr>
          <w:rFonts w:hint="eastAsia" w:ascii="宋体" w:hAnsi="宋体" w:eastAsia="宋体" w:cs="宋体"/>
          <w:color w:val="auto"/>
          <w:kern w:val="0"/>
          <w:sz w:val="24"/>
          <w:highlight w:val="none"/>
        </w:rPr>
      </w:pPr>
    </w:p>
    <w:p w14:paraId="02103BB5">
      <w:pPr>
        <w:pStyle w:val="6"/>
        <w:ind w:firstLine="480"/>
        <w:rPr>
          <w:rFonts w:hint="eastAsia" w:ascii="宋体" w:hAnsi="宋体" w:eastAsia="宋体" w:cs="宋体"/>
          <w:color w:val="auto"/>
          <w:kern w:val="0"/>
          <w:sz w:val="24"/>
          <w:highlight w:val="none"/>
        </w:rPr>
      </w:pPr>
    </w:p>
    <w:p w14:paraId="4BECC93F">
      <w:pPr>
        <w:pStyle w:val="6"/>
        <w:ind w:firstLine="480"/>
        <w:rPr>
          <w:rFonts w:hint="eastAsia" w:ascii="宋体" w:hAnsi="宋体" w:eastAsia="宋体" w:cs="宋体"/>
          <w:color w:val="auto"/>
          <w:kern w:val="0"/>
          <w:sz w:val="24"/>
          <w:highlight w:val="none"/>
        </w:rPr>
      </w:pPr>
    </w:p>
    <w:p w14:paraId="46E86053">
      <w:pPr>
        <w:pStyle w:val="6"/>
        <w:ind w:firstLine="480"/>
        <w:rPr>
          <w:rFonts w:hint="eastAsia" w:ascii="宋体" w:hAnsi="宋体" w:eastAsia="宋体" w:cs="宋体"/>
          <w:color w:val="auto"/>
          <w:kern w:val="0"/>
          <w:sz w:val="24"/>
          <w:highlight w:val="none"/>
        </w:rPr>
      </w:pPr>
    </w:p>
    <w:p w14:paraId="60BA065D">
      <w:pPr>
        <w:pStyle w:val="6"/>
        <w:ind w:firstLine="480"/>
        <w:rPr>
          <w:rFonts w:hint="eastAsia" w:ascii="宋体" w:hAnsi="宋体" w:eastAsia="宋体" w:cs="宋体"/>
          <w:color w:val="auto"/>
          <w:kern w:val="0"/>
          <w:sz w:val="24"/>
          <w:highlight w:val="none"/>
        </w:rPr>
      </w:pPr>
    </w:p>
    <w:p w14:paraId="654938D9">
      <w:pPr>
        <w:pStyle w:val="6"/>
        <w:ind w:firstLine="480"/>
        <w:rPr>
          <w:rFonts w:hint="eastAsia" w:ascii="宋体" w:hAnsi="宋体" w:eastAsia="宋体" w:cs="宋体"/>
          <w:color w:val="auto"/>
          <w:kern w:val="0"/>
          <w:sz w:val="24"/>
          <w:highlight w:val="none"/>
        </w:rPr>
      </w:pPr>
    </w:p>
    <w:p w14:paraId="16815D18">
      <w:pPr>
        <w:pStyle w:val="6"/>
        <w:ind w:firstLine="480"/>
        <w:rPr>
          <w:rFonts w:hint="eastAsia" w:ascii="宋体" w:hAnsi="宋体" w:eastAsia="宋体" w:cs="宋体"/>
          <w:color w:val="auto"/>
          <w:kern w:val="0"/>
          <w:sz w:val="24"/>
          <w:highlight w:val="none"/>
        </w:rPr>
      </w:pPr>
    </w:p>
    <w:p w14:paraId="2A6FEBB1">
      <w:pPr>
        <w:pStyle w:val="6"/>
        <w:ind w:firstLine="480"/>
        <w:rPr>
          <w:rFonts w:hint="eastAsia" w:ascii="宋体" w:hAnsi="宋体" w:eastAsia="宋体" w:cs="宋体"/>
          <w:color w:val="auto"/>
          <w:kern w:val="0"/>
          <w:sz w:val="24"/>
          <w:highlight w:val="none"/>
        </w:rPr>
      </w:pPr>
    </w:p>
    <w:p w14:paraId="63A136DC">
      <w:pPr>
        <w:pStyle w:val="6"/>
        <w:ind w:firstLine="480"/>
        <w:rPr>
          <w:rFonts w:hint="eastAsia" w:ascii="宋体" w:hAnsi="宋体" w:eastAsia="宋体" w:cs="宋体"/>
          <w:color w:val="auto"/>
          <w:kern w:val="0"/>
          <w:sz w:val="24"/>
          <w:highlight w:val="none"/>
        </w:rPr>
      </w:pPr>
    </w:p>
    <w:p w14:paraId="16992F14">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（本页为签署页）</w:t>
      </w:r>
    </w:p>
    <w:p w14:paraId="474C8DBE">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p>
    <w:p w14:paraId="0FAE548F">
      <w:pPr>
        <w:adjustRightInd w:val="0"/>
        <w:snapToGrid w:val="0"/>
        <w:spacing w:line="360" w:lineRule="auto"/>
        <w:ind w:firstLine="420" w:firstLineChars="200"/>
        <w:rPr>
          <w:rFonts w:hint="eastAsia" w:ascii="宋体" w:hAnsi="宋体" w:eastAsia="宋体" w:cs="宋体"/>
          <w:color w:val="auto"/>
          <w:highlight w:val="none"/>
        </w:rPr>
      </w:pPr>
    </w:p>
    <w:p w14:paraId="0F257B1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lang w:eastAsia="zh-CN"/>
        </w:rPr>
        <w:t>广州市番禺区石碁镇桥山村股份合作经济社</w:t>
      </w:r>
      <w:r>
        <w:rPr>
          <w:rFonts w:hint="eastAsia" w:ascii="宋体" w:hAnsi="宋体" w:eastAsia="宋体" w:cs="宋体"/>
          <w:color w:val="auto"/>
          <w:sz w:val="24"/>
          <w:highlight w:val="none"/>
        </w:rPr>
        <w:t>（盖章）</w:t>
      </w:r>
    </w:p>
    <w:p w14:paraId="5C8A44AB">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6AC6C7E6">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                            </w:t>
      </w:r>
    </w:p>
    <w:p w14:paraId="4444F23A">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p w14:paraId="493AAA20">
      <w:pPr>
        <w:pStyle w:val="6"/>
        <w:adjustRightInd w:val="0"/>
        <w:snapToGrid w:val="0"/>
        <w:spacing w:line="360" w:lineRule="auto"/>
        <w:rPr>
          <w:rFonts w:hint="eastAsia" w:ascii="宋体" w:hAnsi="宋体" w:eastAsia="宋体" w:cs="宋体"/>
          <w:color w:val="auto"/>
          <w:highlight w:val="none"/>
        </w:rPr>
      </w:pPr>
    </w:p>
    <w:p w14:paraId="13F5E27A">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乙方（主）：           （盖章）            </w:t>
      </w:r>
    </w:p>
    <w:p w14:paraId="4186A9DC">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14:paraId="0CE65EA5">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                                                  </w:t>
      </w:r>
    </w:p>
    <w:p w14:paraId="41C9F098">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p>
    <w:p w14:paraId="6CC59A6C">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14:paraId="6DFCF060">
      <w:pPr>
        <w:adjustRightInd w:val="0"/>
        <w:snapToGrid w:val="0"/>
        <w:spacing w:line="360" w:lineRule="auto"/>
        <w:ind w:firstLine="420" w:firstLineChars="200"/>
        <w:rPr>
          <w:rFonts w:hint="eastAsia" w:ascii="宋体" w:hAnsi="宋体" w:eastAsia="宋体" w:cs="宋体"/>
          <w:color w:val="auto"/>
          <w:highlight w:val="none"/>
        </w:rPr>
      </w:pPr>
    </w:p>
    <w:p w14:paraId="35773253">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乙方（成）：          （盖章）</w:t>
      </w:r>
    </w:p>
    <w:p w14:paraId="480ECAC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5F25470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p w14:paraId="5064777B">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p>
    <w:p w14:paraId="148E3065">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p w14:paraId="79FEC80E">
      <w:pPr>
        <w:adjustRightInd w:val="0"/>
        <w:snapToGrid w:val="0"/>
        <w:spacing w:line="360" w:lineRule="auto"/>
        <w:ind w:firstLine="480" w:firstLineChars="200"/>
        <w:rPr>
          <w:rFonts w:hint="eastAsia" w:ascii="宋体" w:hAnsi="宋体" w:eastAsia="宋体" w:cs="宋体"/>
          <w:color w:val="auto"/>
          <w:sz w:val="24"/>
          <w:highlight w:val="none"/>
        </w:rPr>
      </w:pPr>
    </w:p>
    <w:p w14:paraId="0CAB77D3">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乙方（成）：            （盖章）</w:t>
      </w:r>
    </w:p>
    <w:p w14:paraId="3801D95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3D5049A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p w14:paraId="74530820">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p>
    <w:p w14:paraId="36434E2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14:paraId="6A37251A">
      <w:pPr>
        <w:pStyle w:val="6"/>
        <w:tabs>
          <w:tab w:val="left" w:pos="2140"/>
          <w:tab w:val="left" w:pos="2860"/>
          <w:tab w:val="left" w:pos="6100"/>
          <w:tab w:val="left" w:pos="6820"/>
          <w:tab w:val="left" w:pos="7540"/>
        </w:tabs>
        <w:adjustRightInd w:val="0"/>
        <w:snapToGrid w:val="0"/>
        <w:spacing w:line="360" w:lineRule="auto"/>
        <w:rPr>
          <w:rFonts w:hint="eastAsia" w:ascii="宋体" w:hAnsi="宋体" w:eastAsia="宋体" w:cs="宋体"/>
          <w:color w:val="auto"/>
          <w:highlight w:val="none"/>
        </w:rPr>
      </w:pPr>
    </w:p>
    <w:p w14:paraId="305657AC">
      <w:pPr>
        <w:adjustRightInd w:val="0"/>
        <w:snapToGrid w:val="0"/>
        <w:spacing w:line="360" w:lineRule="auto"/>
        <w:ind w:firstLine="420" w:firstLineChars="200"/>
        <w:rPr>
          <w:rFonts w:hint="eastAsia" w:ascii="宋体" w:hAnsi="宋体" w:eastAsia="宋体" w:cs="宋体"/>
          <w:color w:val="auto"/>
          <w:highlight w:val="none"/>
        </w:rPr>
        <w:sectPr>
          <w:pgSz w:w="11920" w:h="16840"/>
          <w:pgMar w:top="1360" w:right="820" w:bottom="280" w:left="920" w:header="720" w:footer="720" w:gutter="0"/>
          <w:pgNumType w:fmt="numberInDash"/>
          <w:cols w:space="720" w:num="1"/>
        </w:sectPr>
      </w:pPr>
    </w:p>
    <w:p w14:paraId="3DCF264B">
      <w:pPr>
        <w:rPr>
          <w:rFonts w:hint="eastAsia" w:ascii="宋体" w:hAnsi="宋体" w:eastAsia="宋体" w:cs="宋体"/>
          <w:color w:val="auto"/>
          <w:sz w:val="24"/>
          <w:highlight w:val="none"/>
        </w:rPr>
      </w:pPr>
    </w:p>
    <w:p w14:paraId="50A64FF0">
      <w:pPr>
        <w:pStyle w:val="6"/>
        <w:ind w:firstLine="0" w:firstLineChars="0"/>
        <w:rPr>
          <w:rFonts w:hint="eastAsia" w:ascii="宋体" w:hAnsi="宋体" w:eastAsia="宋体" w:cs="宋体"/>
          <w:color w:val="auto"/>
          <w:sz w:val="24"/>
          <w:highlight w:val="none"/>
        </w:rPr>
      </w:pPr>
      <w:r>
        <w:rPr>
          <w:rFonts w:hint="eastAsia" w:ascii="宋体" w:hAnsi="宋体" w:eastAsia="宋体" w:cs="宋体"/>
          <w:b/>
          <w:color w:val="auto"/>
          <w:kern w:val="0"/>
          <w:sz w:val="24"/>
          <w:highlight w:val="none"/>
        </w:rPr>
        <w:t>附件二：</w:t>
      </w:r>
    </w:p>
    <w:p w14:paraId="2B525430">
      <w:pPr>
        <w:spacing w:line="360" w:lineRule="auto"/>
        <w:jc w:val="center"/>
        <w:rPr>
          <w:rFonts w:hint="eastAsia" w:ascii="宋体" w:hAnsi="宋体" w:eastAsia="宋体" w:cs="宋体"/>
          <w:b/>
          <w:bCs/>
          <w:color w:val="auto"/>
          <w:spacing w:val="30"/>
          <w:sz w:val="36"/>
          <w:szCs w:val="36"/>
          <w:highlight w:val="none"/>
        </w:rPr>
      </w:pPr>
      <w:r>
        <w:rPr>
          <w:rFonts w:hint="eastAsia" w:ascii="宋体" w:hAnsi="宋体" w:eastAsia="宋体" w:cs="宋体"/>
          <w:b/>
          <w:bCs/>
          <w:color w:val="auto"/>
          <w:spacing w:val="30"/>
          <w:sz w:val="36"/>
          <w:szCs w:val="36"/>
          <w:highlight w:val="none"/>
        </w:rPr>
        <w:t>分包单位资格报审表</w:t>
      </w:r>
    </w:p>
    <w:p w14:paraId="3806BB0D">
      <w:pPr>
        <w:spacing w:line="360" w:lineRule="auto"/>
        <w:ind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工程名称：</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 xml:space="preserve">    编号：</w:t>
      </w:r>
    </w:p>
    <w:tbl>
      <w:tblPr>
        <w:tblStyle w:val="45"/>
        <w:tblW w:w="10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5"/>
        <w:gridCol w:w="1532"/>
        <w:gridCol w:w="2506"/>
        <w:gridCol w:w="3056"/>
      </w:tblGrid>
      <w:tr w14:paraId="73AC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jc w:val="center"/>
        </w:trPr>
        <w:tc>
          <w:tcPr>
            <w:tcW w:w="10269" w:type="dxa"/>
            <w:gridSpan w:val="4"/>
            <w:tcBorders>
              <w:top w:val="single" w:color="auto" w:sz="6" w:space="0"/>
              <w:left w:val="single" w:color="auto" w:sz="6" w:space="0"/>
              <w:bottom w:val="single" w:color="auto" w:sz="6" w:space="0"/>
              <w:right w:val="single" w:color="auto" w:sz="6" w:space="0"/>
            </w:tcBorders>
          </w:tcPr>
          <w:p w14:paraId="6D574D9A">
            <w:pPr>
              <w:keepNext w:val="0"/>
              <w:keepLines w:val="0"/>
              <w:suppressLineNumbers w:val="0"/>
              <w:spacing w:before="120" w:beforeAutospacing="0" w:after="0" w:afterAutospacing="0" w:line="360" w:lineRule="auto"/>
              <w:ind w:left="-28" w:right="0" w:firstLine="181"/>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（监理单位全称）</w:t>
            </w:r>
          </w:p>
          <w:p w14:paraId="52461B69">
            <w:pPr>
              <w:keepNext w:val="0"/>
              <w:keepLines w:val="0"/>
              <w:suppressLineNumbers w:val="0"/>
              <w:spacing w:before="0" w:beforeAutospacing="0" w:after="0" w:afterAutospacing="0" w:line="360" w:lineRule="auto"/>
              <w:ind w:left="-28" w:right="0" w:firstLine="540"/>
              <w:rPr>
                <w:rFonts w:hint="eastAsia" w:ascii="宋体" w:hAnsi="宋体" w:eastAsia="宋体" w:cs="宋体"/>
                <w:color w:val="auto"/>
                <w:highlight w:val="none"/>
              </w:rPr>
            </w:pPr>
            <w:r>
              <w:rPr>
                <w:rFonts w:hint="eastAsia" w:ascii="宋体" w:hAnsi="宋体" w:eastAsia="宋体" w:cs="宋体"/>
                <w:color w:val="auto"/>
                <w:highlight w:val="none"/>
              </w:rPr>
              <w:t>经考察，我方拟选择的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（分包人）具备承担下列工程施工资质和施工能力，可以保证本工程按合同约定进行施工。我方承诺：分包后，我方承担总包人的全部责任。请予以审批。</w:t>
            </w:r>
          </w:p>
          <w:p w14:paraId="79C7CEAA">
            <w:pPr>
              <w:keepNext w:val="0"/>
              <w:keepLines w:val="0"/>
              <w:suppressLineNumbers w:val="0"/>
              <w:spacing w:before="0" w:beforeAutospacing="0" w:after="0" w:afterAutospacing="0" w:line="360" w:lineRule="auto"/>
              <w:ind w:left="-28" w:right="0" w:firstLine="540"/>
              <w:rPr>
                <w:rFonts w:hint="eastAsia" w:ascii="宋体" w:hAnsi="宋体" w:eastAsia="宋体" w:cs="宋体"/>
                <w:color w:val="auto"/>
                <w:highlight w:val="none"/>
              </w:rPr>
            </w:pPr>
            <w:r>
              <w:rPr>
                <w:rFonts w:hint="eastAsia" w:ascii="宋体" w:hAnsi="宋体" w:eastAsia="宋体" w:cs="宋体"/>
                <w:color w:val="auto"/>
                <w:highlight w:val="none"/>
              </w:rPr>
              <w:t>附：1．分包人资质材料；</w:t>
            </w:r>
          </w:p>
          <w:p w14:paraId="4A08061F">
            <w:pPr>
              <w:keepNext w:val="0"/>
              <w:keepLines w:val="0"/>
              <w:suppressLineNumbers w:val="0"/>
              <w:spacing w:before="0" w:beforeAutospacing="0" w:after="0" w:afterAutospacing="0" w:line="360" w:lineRule="auto"/>
              <w:ind w:left="-28" w:right="0" w:firstLine="907"/>
              <w:rPr>
                <w:rFonts w:hint="eastAsia" w:ascii="宋体" w:hAnsi="宋体" w:eastAsia="宋体" w:cs="宋体"/>
                <w:color w:val="auto"/>
                <w:highlight w:val="none"/>
                <w:u w:val="single"/>
              </w:rPr>
            </w:pPr>
            <w:r>
              <w:rPr>
                <w:rFonts w:hint="eastAsia" w:ascii="宋体" w:hAnsi="宋体" w:eastAsia="宋体" w:cs="宋体"/>
                <w:color w:val="auto"/>
                <w:highlight w:val="none"/>
              </w:rPr>
              <w:t>2．分包人业绩材料。</w:t>
            </w:r>
          </w:p>
        </w:tc>
      </w:tr>
      <w:tr w14:paraId="5035B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14:paraId="44723AA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position w:val="6"/>
                <w:highlight w:val="none"/>
              </w:rPr>
            </w:pPr>
            <w:r>
              <w:rPr>
                <w:rFonts w:hint="eastAsia" w:ascii="宋体" w:hAnsi="宋体" w:eastAsia="宋体" w:cs="宋体"/>
                <w:color w:val="auto"/>
                <w:position w:val="6"/>
                <w:highlight w:val="none"/>
              </w:rPr>
              <w:t>分包工程名称（部位）</w:t>
            </w:r>
          </w:p>
        </w:tc>
        <w:tc>
          <w:tcPr>
            <w:tcW w:w="1532" w:type="dxa"/>
            <w:tcBorders>
              <w:top w:val="single" w:color="auto" w:sz="6" w:space="0"/>
              <w:left w:val="single" w:color="auto" w:sz="6" w:space="0"/>
              <w:bottom w:val="single" w:color="auto" w:sz="6" w:space="0"/>
              <w:right w:val="single" w:color="auto" w:sz="6" w:space="0"/>
            </w:tcBorders>
          </w:tcPr>
          <w:p w14:paraId="5D7F4F5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position w:val="6"/>
                <w:highlight w:val="none"/>
              </w:rPr>
            </w:pPr>
            <w:r>
              <w:rPr>
                <w:rFonts w:hint="eastAsia" w:ascii="宋体" w:hAnsi="宋体" w:eastAsia="宋体" w:cs="宋体"/>
                <w:color w:val="auto"/>
                <w:position w:val="6"/>
                <w:highlight w:val="none"/>
              </w:rPr>
              <w:t>工程数量</w:t>
            </w:r>
          </w:p>
        </w:tc>
        <w:tc>
          <w:tcPr>
            <w:tcW w:w="2506" w:type="dxa"/>
            <w:tcBorders>
              <w:top w:val="single" w:color="auto" w:sz="6" w:space="0"/>
              <w:left w:val="single" w:color="auto" w:sz="6" w:space="0"/>
              <w:bottom w:val="single" w:color="auto" w:sz="6" w:space="0"/>
              <w:right w:val="single" w:color="auto" w:sz="6" w:space="0"/>
            </w:tcBorders>
          </w:tcPr>
          <w:p w14:paraId="68D35F7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position w:val="6"/>
                <w:highlight w:val="none"/>
              </w:rPr>
            </w:pPr>
            <w:r>
              <w:rPr>
                <w:rFonts w:hint="eastAsia" w:ascii="宋体" w:hAnsi="宋体" w:eastAsia="宋体" w:cs="宋体"/>
                <w:color w:val="auto"/>
                <w:position w:val="6"/>
                <w:highlight w:val="none"/>
              </w:rPr>
              <w:t>拟分包工程合同额</w:t>
            </w:r>
          </w:p>
        </w:tc>
        <w:tc>
          <w:tcPr>
            <w:tcW w:w="3056" w:type="dxa"/>
            <w:tcBorders>
              <w:top w:val="single" w:color="auto" w:sz="6" w:space="0"/>
              <w:left w:val="single" w:color="auto" w:sz="6" w:space="0"/>
              <w:bottom w:val="single" w:color="auto" w:sz="6" w:space="0"/>
              <w:right w:val="single" w:color="auto" w:sz="6" w:space="0"/>
            </w:tcBorders>
          </w:tcPr>
          <w:p w14:paraId="53C454A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position w:val="6"/>
                <w:highlight w:val="none"/>
              </w:rPr>
            </w:pPr>
            <w:r>
              <w:rPr>
                <w:rFonts w:hint="eastAsia" w:ascii="宋体" w:hAnsi="宋体" w:eastAsia="宋体" w:cs="宋体"/>
                <w:color w:val="auto"/>
                <w:position w:val="6"/>
                <w:highlight w:val="none"/>
              </w:rPr>
              <w:t>分包工程占全部工程</w:t>
            </w:r>
          </w:p>
        </w:tc>
      </w:tr>
      <w:tr w14:paraId="24C8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14:paraId="0ACCC08C">
            <w:pPr>
              <w:keepNext w:val="0"/>
              <w:keepLines w:val="0"/>
              <w:suppressLineNumbers w:val="0"/>
              <w:spacing w:before="0" w:beforeAutospacing="0" w:after="0" w:afterAutospacing="0" w:line="360" w:lineRule="auto"/>
              <w:ind w:left="0" w:right="0" w:firstLine="6087"/>
              <w:rPr>
                <w:rFonts w:hint="eastAsia" w:ascii="宋体" w:hAnsi="宋体" w:eastAsia="宋体" w:cs="宋体"/>
                <w:color w:val="auto"/>
                <w:highlight w:val="none"/>
              </w:rPr>
            </w:pPr>
          </w:p>
        </w:tc>
        <w:tc>
          <w:tcPr>
            <w:tcW w:w="1532" w:type="dxa"/>
            <w:tcBorders>
              <w:top w:val="single" w:color="auto" w:sz="6" w:space="0"/>
              <w:left w:val="single" w:color="auto" w:sz="6" w:space="0"/>
              <w:bottom w:val="single" w:color="auto" w:sz="6" w:space="0"/>
              <w:right w:val="single" w:color="auto" w:sz="6" w:space="0"/>
            </w:tcBorders>
          </w:tcPr>
          <w:p w14:paraId="2D019147">
            <w:pPr>
              <w:keepNext w:val="0"/>
              <w:keepLines w:val="0"/>
              <w:suppressLineNumbers w:val="0"/>
              <w:spacing w:before="0" w:beforeAutospacing="0" w:after="0" w:afterAutospacing="0" w:line="360" w:lineRule="auto"/>
              <w:ind w:left="0" w:right="0" w:firstLine="6087"/>
              <w:rPr>
                <w:rFonts w:hint="eastAsia" w:ascii="宋体" w:hAnsi="宋体" w:eastAsia="宋体" w:cs="宋体"/>
                <w:color w:val="auto"/>
                <w:highlight w:val="none"/>
              </w:rPr>
            </w:pPr>
          </w:p>
        </w:tc>
        <w:tc>
          <w:tcPr>
            <w:tcW w:w="2506" w:type="dxa"/>
            <w:tcBorders>
              <w:top w:val="single" w:color="auto" w:sz="6" w:space="0"/>
              <w:left w:val="single" w:color="auto" w:sz="6" w:space="0"/>
              <w:bottom w:val="single" w:color="auto" w:sz="6" w:space="0"/>
              <w:right w:val="single" w:color="auto" w:sz="6" w:space="0"/>
            </w:tcBorders>
          </w:tcPr>
          <w:p w14:paraId="6ADC0A56">
            <w:pPr>
              <w:keepNext w:val="0"/>
              <w:keepLines w:val="0"/>
              <w:suppressLineNumbers w:val="0"/>
              <w:spacing w:before="0" w:beforeAutospacing="0" w:after="0" w:afterAutospacing="0" w:line="360" w:lineRule="auto"/>
              <w:ind w:left="0" w:right="0" w:firstLine="6087"/>
              <w:rPr>
                <w:rFonts w:hint="eastAsia" w:ascii="宋体" w:hAnsi="宋体" w:eastAsia="宋体" w:cs="宋体"/>
                <w:color w:val="auto"/>
                <w:highlight w:val="none"/>
              </w:rPr>
            </w:pPr>
          </w:p>
        </w:tc>
        <w:tc>
          <w:tcPr>
            <w:tcW w:w="3056" w:type="dxa"/>
            <w:tcBorders>
              <w:top w:val="single" w:color="auto" w:sz="6" w:space="0"/>
              <w:left w:val="single" w:color="auto" w:sz="6" w:space="0"/>
              <w:bottom w:val="single" w:color="auto" w:sz="6" w:space="0"/>
              <w:right w:val="single" w:color="auto" w:sz="6" w:space="0"/>
            </w:tcBorders>
          </w:tcPr>
          <w:p w14:paraId="3DF38B01">
            <w:pPr>
              <w:keepNext w:val="0"/>
              <w:keepLines w:val="0"/>
              <w:suppressLineNumbers w:val="0"/>
              <w:spacing w:before="0" w:beforeAutospacing="0" w:after="0" w:afterAutospacing="0" w:line="360" w:lineRule="auto"/>
              <w:ind w:left="0" w:right="0" w:firstLine="6087"/>
              <w:rPr>
                <w:rFonts w:hint="eastAsia" w:ascii="宋体" w:hAnsi="宋体" w:eastAsia="宋体" w:cs="宋体"/>
                <w:color w:val="auto"/>
                <w:highlight w:val="none"/>
              </w:rPr>
            </w:pPr>
          </w:p>
        </w:tc>
      </w:tr>
      <w:tr w14:paraId="5B46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14:paraId="6F3FA524">
            <w:pPr>
              <w:keepNext w:val="0"/>
              <w:keepLines w:val="0"/>
              <w:suppressLineNumbers w:val="0"/>
              <w:spacing w:before="0" w:beforeAutospacing="0" w:after="0" w:afterAutospacing="0" w:line="360" w:lineRule="auto"/>
              <w:ind w:left="0" w:right="0" w:firstLine="6087"/>
              <w:rPr>
                <w:rFonts w:hint="eastAsia" w:ascii="宋体" w:hAnsi="宋体" w:eastAsia="宋体" w:cs="宋体"/>
                <w:color w:val="auto"/>
                <w:highlight w:val="none"/>
              </w:rPr>
            </w:pPr>
          </w:p>
        </w:tc>
        <w:tc>
          <w:tcPr>
            <w:tcW w:w="1532" w:type="dxa"/>
            <w:tcBorders>
              <w:top w:val="single" w:color="auto" w:sz="6" w:space="0"/>
              <w:left w:val="single" w:color="auto" w:sz="6" w:space="0"/>
              <w:bottom w:val="single" w:color="auto" w:sz="6" w:space="0"/>
              <w:right w:val="single" w:color="auto" w:sz="6" w:space="0"/>
            </w:tcBorders>
          </w:tcPr>
          <w:p w14:paraId="16ED2E01">
            <w:pPr>
              <w:keepNext w:val="0"/>
              <w:keepLines w:val="0"/>
              <w:suppressLineNumbers w:val="0"/>
              <w:spacing w:before="0" w:beforeAutospacing="0" w:after="0" w:afterAutospacing="0" w:line="360" w:lineRule="auto"/>
              <w:ind w:left="0" w:right="0" w:firstLine="6087"/>
              <w:rPr>
                <w:rFonts w:hint="eastAsia" w:ascii="宋体" w:hAnsi="宋体" w:eastAsia="宋体" w:cs="宋体"/>
                <w:color w:val="auto"/>
                <w:highlight w:val="none"/>
              </w:rPr>
            </w:pPr>
          </w:p>
        </w:tc>
        <w:tc>
          <w:tcPr>
            <w:tcW w:w="2506" w:type="dxa"/>
            <w:tcBorders>
              <w:top w:val="single" w:color="auto" w:sz="6" w:space="0"/>
              <w:left w:val="single" w:color="auto" w:sz="6" w:space="0"/>
              <w:bottom w:val="single" w:color="auto" w:sz="6" w:space="0"/>
              <w:right w:val="single" w:color="auto" w:sz="6" w:space="0"/>
            </w:tcBorders>
          </w:tcPr>
          <w:p w14:paraId="367ED15D">
            <w:pPr>
              <w:keepNext w:val="0"/>
              <w:keepLines w:val="0"/>
              <w:suppressLineNumbers w:val="0"/>
              <w:spacing w:before="0" w:beforeAutospacing="0" w:after="0" w:afterAutospacing="0" w:line="360" w:lineRule="auto"/>
              <w:ind w:left="0" w:right="0" w:firstLine="6087"/>
              <w:rPr>
                <w:rFonts w:hint="eastAsia" w:ascii="宋体" w:hAnsi="宋体" w:eastAsia="宋体" w:cs="宋体"/>
                <w:color w:val="auto"/>
                <w:highlight w:val="none"/>
              </w:rPr>
            </w:pPr>
          </w:p>
        </w:tc>
        <w:tc>
          <w:tcPr>
            <w:tcW w:w="3056" w:type="dxa"/>
            <w:tcBorders>
              <w:top w:val="single" w:color="auto" w:sz="6" w:space="0"/>
              <w:left w:val="single" w:color="auto" w:sz="6" w:space="0"/>
              <w:bottom w:val="single" w:color="auto" w:sz="6" w:space="0"/>
              <w:right w:val="single" w:color="auto" w:sz="6" w:space="0"/>
            </w:tcBorders>
          </w:tcPr>
          <w:p w14:paraId="26A14602">
            <w:pPr>
              <w:keepNext w:val="0"/>
              <w:keepLines w:val="0"/>
              <w:suppressLineNumbers w:val="0"/>
              <w:spacing w:before="0" w:beforeAutospacing="0" w:after="0" w:afterAutospacing="0" w:line="360" w:lineRule="auto"/>
              <w:ind w:left="0" w:right="0" w:firstLine="6087"/>
              <w:rPr>
                <w:rFonts w:hint="eastAsia" w:ascii="宋体" w:hAnsi="宋体" w:eastAsia="宋体" w:cs="宋体"/>
                <w:color w:val="auto"/>
                <w:highlight w:val="none"/>
              </w:rPr>
            </w:pPr>
          </w:p>
        </w:tc>
      </w:tr>
      <w:tr w14:paraId="72C36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14:paraId="28A9A878">
            <w:pPr>
              <w:keepNext w:val="0"/>
              <w:keepLines w:val="0"/>
              <w:suppressLineNumbers w:val="0"/>
              <w:spacing w:before="0" w:beforeAutospacing="0" w:after="0" w:afterAutospacing="0" w:line="360" w:lineRule="auto"/>
              <w:ind w:left="0" w:right="0" w:firstLine="6087"/>
              <w:rPr>
                <w:rFonts w:hint="eastAsia" w:ascii="宋体" w:hAnsi="宋体" w:eastAsia="宋体" w:cs="宋体"/>
                <w:color w:val="auto"/>
                <w:highlight w:val="none"/>
              </w:rPr>
            </w:pPr>
          </w:p>
        </w:tc>
        <w:tc>
          <w:tcPr>
            <w:tcW w:w="1532" w:type="dxa"/>
            <w:tcBorders>
              <w:top w:val="single" w:color="auto" w:sz="6" w:space="0"/>
              <w:left w:val="single" w:color="auto" w:sz="6" w:space="0"/>
              <w:bottom w:val="single" w:color="auto" w:sz="6" w:space="0"/>
              <w:right w:val="single" w:color="auto" w:sz="6" w:space="0"/>
            </w:tcBorders>
          </w:tcPr>
          <w:p w14:paraId="4C8811FE">
            <w:pPr>
              <w:keepNext w:val="0"/>
              <w:keepLines w:val="0"/>
              <w:suppressLineNumbers w:val="0"/>
              <w:spacing w:before="0" w:beforeAutospacing="0" w:after="0" w:afterAutospacing="0" w:line="360" w:lineRule="auto"/>
              <w:ind w:left="0" w:right="0" w:firstLine="6087"/>
              <w:rPr>
                <w:rFonts w:hint="eastAsia" w:ascii="宋体" w:hAnsi="宋体" w:eastAsia="宋体" w:cs="宋体"/>
                <w:color w:val="auto"/>
                <w:highlight w:val="none"/>
              </w:rPr>
            </w:pPr>
          </w:p>
        </w:tc>
        <w:tc>
          <w:tcPr>
            <w:tcW w:w="2506" w:type="dxa"/>
            <w:tcBorders>
              <w:top w:val="single" w:color="auto" w:sz="6" w:space="0"/>
              <w:left w:val="single" w:color="auto" w:sz="6" w:space="0"/>
              <w:bottom w:val="single" w:color="auto" w:sz="6" w:space="0"/>
              <w:right w:val="single" w:color="auto" w:sz="6" w:space="0"/>
            </w:tcBorders>
          </w:tcPr>
          <w:p w14:paraId="724E8AB8">
            <w:pPr>
              <w:keepNext w:val="0"/>
              <w:keepLines w:val="0"/>
              <w:suppressLineNumbers w:val="0"/>
              <w:spacing w:before="0" w:beforeAutospacing="0" w:after="0" w:afterAutospacing="0" w:line="360" w:lineRule="auto"/>
              <w:ind w:left="0" w:right="0" w:firstLine="6087"/>
              <w:rPr>
                <w:rFonts w:hint="eastAsia" w:ascii="宋体" w:hAnsi="宋体" w:eastAsia="宋体" w:cs="宋体"/>
                <w:color w:val="auto"/>
                <w:highlight w:val="none"/>
              </w:rPr>
            </w:pPr>
          </w:p>
        </w:tc>
        <w:tc>
          <w:tcPr>
            <w:tcW w:w="3056" w:type="dxa"/>
            <w:tcBorders>
              <w:top w:val="single" w:color="auto" w:sz="6" w:space="0"/>
              <w:left w:val="single" w:color="auto" w:sz="6" w:space="0"/>
              <w:bottom w:val="single" w:color="auto" w:sz="6" w:space="0"/>
              <w:right w:val="single" w:color="auto" w:sz="6" w:space="0"/>
            </w:tcBorders>
          </w:tcPr>
          <w:p w14:paraId="5BE2476F">
            <w:pPr>
              <w:keepNext w:val="0"/>
              <w:keepLines w:val="0"/>
              <w:suppressLineNumbers w:val="0"/>
              <w:spacing w:before="0" w:beforeAutospacing="0" w:after="0" w:afterAutospacing="0" w:line="360" w:lineRule="auto"/>
              <w:ind w:left="0" w:right="0" w:firstLine="6087"/>
              <w:rPr>
                <w:rFonts w:hint="eastAsia" w:ascii="宋体" w:hAnsi="宋体" w:eastAsia="宋体" w:cs="宋体"/>
                <w:color w:val="auto"/>
                <w:highlight w:val="none"/>
              </w:rPr>
            </w:pPr>
          </w:p>
        </w:tc>
      </w:tr>
      <w:tr w14:paraId="50356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707" w:type="dxa"/>
            <w:gridSpan w:val="2"/>
            <w:tcBorders>
              <w:top w:val="single" w:color="auto" w:sz="6" w:space="0"/>
              <w:left w:val="single" w:color="auto" w:sz="6" w:space="0"/>
              <w:bottom w:val="single" w:color="auto" w:sz="6" w:space="0"/>
              <w:right w:val="single" w:color="auto" w:sz="6" w:space="0"/>
            </w:tcBorders>
          </w:tcPr>
          <w:p w14:paraId="13BC057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position w:val="6"/>
                <w:highlight w:val="none"/>
              </w:rPr>
            </w:pPr>
            <w:r>
              <w:rPr>
                <w:rFonts w:hint="eastAsia" w:ascii="宋体" w:hAnsi="宋体" w:eastAsia="宋体" w:cs="宋体"/>
                <w:color w:val="auto"/>
                <w:position w:val="6"/>
                <w:highlight w:val="none"/>
              </w:rPr>
              <w:t>合       计</w:t>
            </w:r>
          </w:p>
        </w:tc>
        <w:tc>
          <w:tcPr>
            <w:tcW w:w="2506" w:type="dxa"/>
            <w:tcBorders>
              <w:top w:val="single" w:color="auto" w:sz="6" w:space="0"/>
              <w:left w:val="single" w:color="auto" w:sz="6" w:space="0"/>
              <w:bottom w:val="single" w:color="auto" w:sz="6" w:space="0"/>
              <w:right w:val="single" w:color="auto" w:sz="6" w:space="0"/>
            </w:tcBorders>
          </w:tcPr>
          <w:p w14:paraId="069F61E4">
            <w:pPr>
              <w:keepNext w:val="0"/>
              <w:keepLines w:val="0"/>
              <w:suppressLineNumbers w:val="0"/>
              <w:spacing w:before="0" w:beforeAutospacing="0" w:after="0" w:afterAutospacing="0" w:line="360" w:lineRule="auto"/>
              <w:ind w:left="0" w:right="0" w:firstLine="6087"/>
              <w:rPr>
                <w:rFonts w:hint="eastAsia" w:ascii="宋体" w:hAnsi="宋体" w:eastAsia="宋体" w:cs="宋体"/>
                <w:color w:val="auto"/>
                <w:highlight w:val="none"/>
              </w:rPr>
            </w:pPr>
          </w:p>
        </w:tc>
        <w:tc>
          <w:tcPr>
            <w:tcW w:w="3056" w:type="dxa"/>
            <w:tcBorders>
              <w:top w:val="single" w:color="auto" w:sz="6" w:space="0"/>
              <w:left w:val="single" w:color="auto" w:sz="6" w:space="0"/>
              <w:bottom w:val="single" w:color="auto" w:sz="6" w:space="0"/>
              <w:right w:val="single" w:color="auto" w:sz="6" w:space="0"/>
            </w:tcBorders>
          </w:tcPr>
          <w:p w14:paraId="2B21373C">
            <w:pPr>
              <w:keepNext w:val="0"/>
              <w:keepLines w:val="0"/>
              <w:suppressLineNumbers w:val="0"/>
              <w:spacing w:before="0" w:beforeAutospacing="0" w:after="0" w:afterAutospacing="0" w:line="360" w:lineRule="auto"/>
              <w:ind w:left="0" w:right="0" w:firstLine="6087"/>
              <w:rPr>
                <w:rFonts w:hint="eastAsia" w:ascii="宋体" w:hAnsi="宋体" w:eastAsia="宋体" w:cs="宋体"/>
                <w:color w:val="auto"/>
                <w:highlight w:val="none"/>
              </w:rPr>
            </w:pPr>
          </w:p>
        </w:tc>
      </w:tr>
      <w:tr w14:paraId="5E69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269" w:type="dxa"/>
            <w:gridSpan w:val="4"/>
            <w:tcBorders>
              <w:top w:val="single" w:color="auto" w:sz="6" w:space="0"/>
              <w:left w:val="single" w:color="auto" w:sz="6" w:space="0"/>
              <w:bottom w:val="single" w:color="auto" w:sz="6" w:space="0"/>
              <w:right w:val="single" w:color="auto" w:sz="6" w:space="0"/>
            </w:tcBorders>
          </w:tcPr>
          <w:p w14:paraId="74482F69">
            <w:pPr>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466F0ACC">
            <w:pPr>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承包人（章）                 </w:t>
            </w:r>
          </w:p>
          <w:p w14:paraId="57DBEEE8">
            <w:pPr>
              <w:keepNext w:val="0"/>
              <w:keepLines w:val="0"/>
              <w:suppressLineNumbers w:val="0"/>
              <w:tabs>
                <w:tab w:val="left" w:pos="8982"/>
                <w:tab w:val="left" w:pos="9147"/>
              </w:tabs>
              <w:spacing w:before="0" w:beforeAutospacing="0" w:after="0" w:afterAutospacing="0" w:line="360" w:lineRule="auto"/>
              <w:ind w:left="0" w:right="0" w:firstLine="5355" w:firstLineChars="2550"/>
              <w:rPr>
                <w:rFonts w:hint="eastAsia" w:ascii="宋体" w:hAnsi="宋体" w:eastAsia="宋体" w:cs="宋体"/>
                <w:color w:val="auto"/>
                <w:highlight w:val="none"/>
                <w:u w:val="single"/>
              </w:rPr>
            </w:pPr>
            <w:r>
              <w:rPr>
                <w:rFonts w:hint="eastAsia" w:ascii="宋体" w:hAnsi="宋体" w:eastAsia="宋体" w:cs="宋体"/>
                <w:color w:val="auto"/>
                <w:highlight w:val="none"/>
              </w:rPr>
              <w:t>承包人代表</w:t>
            </w:r>
            <w:r>
              <w:rPr>
                <w:rFonts w:hint="eastAsia" w:ascii="宋体" w:hAnsi="宋体" w:eastAsia="宋体" w:cs="宋体"/>
                <w:color w:val="auto"/>
                <w:highlight w:val="none"/>
                <w:u w:val="single"/>
              </w:rPr>
              <w:t xml:space="preserve">               </w:t>
            </w:r>
          </w:p>
          <w:p w14:paraId="5C2C7068">
            <w:pPr>
              <w:keepNext w:val="0"/>
              <w:keepLines w:val="0"/>
              <w:suppressLineNumbers w:val="0"/>
              <w:spacing w:before="0" w:beforeAutospacing="0" w:after="0" w:afterAutospacing="0" w:line="360" w:lineRule="auto"/>
              <w:ind w:left="0" w:right="0" w:firstLine="5355" w:firstLineChars="2550"/>
              <w:rPr>
                <w:rFonts w:hint="eastAsia" w:ascii="宋体" w:hAnsi="宋体" w:eastAsia="宋体" w:cs="宋体"/>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tc>
      </w:tr>
      <w:tr w14:paraId="5824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69" w:type="dxa"/>
            <w:gridSpan w:val="4"/>
            <w:tcBorders>
              <w:top w:val="single" w:color="auto" w:sz="6" w:space="0"/>
              <w:left w:val="single" w:color="auto" w:sz="6" w:space="0"/>
              <w:bottom w:val="single" w:color="auto" w:sz="4" w:space="0"/>
              <w:right w:val="single" w:color="auto" w:sz="6" w:space="0"/>
            </w:tcBorders>
          </w:tcPr>
          <w:p w14:paraId="3BDBD55B">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highlight w:val="none"/>
              </w:rPr>
            </w:pPr>
            <w:r>
              <w:rPr>
                <w:rFonts w:hint="eastAsia" w:ascii="宋体" w:hAnsi="宋体" w:eastAsia="宋体" w:cs="宋体"/>
                <w:color w:val="auto"/>
                <w:highlight w:val="none"/>
              </w:rPr>
              <w:t>审查意见：</w:t>
            </w:r>
          </w:p>
          <w:p w14:paraId="33D9C3F0">
            <w:pPr>
              <w:keepNext w:val="0"/>
              <w:keepLines w:val="0"/>
              <w:suppressLineNumbers w:val="0"/>
              <w:tabs>
                <w:tab w:val="left" w:pos="6222"/>
              </w:tabs>
              <w:snapToGrid w:val="0"/>
              <w:spacing w:before="0" w:beforeAutospacing="0" w:after="0" w:afterAutospacing="0" w:line="360" w:lineRule="auto"/>
              <w:ind w:left="0" w:right="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监理人（章）            </w:t>
            </w:r>
          </w:p>
          <w:p w14:paraId="12B858A7">
            <w:pPr>
              <w:keepNext w:val="0"/>
              <w:keepLines w:val="0"/>
              <w:suppressLineNumbers w:val="0"/>
              <w:tabs>
                <w:tab w:val="left" w:pos="6282"/>
              </w:tabs>
              <w:snapToGrid w:val="0"/>
              <w:spacing w:before="0" w:beforeAutospacing="0" w:after="0" w:afterAutospacing="0" w:line="360" w:lineRule="auto"/>
              <w:ind w:left="0" w:right="0" w:firstLine="5355" w:firstLineChars="2550"/>
              <w:rPr>
                <w:rFonts w:hint="eastAsia" w:ascii="宋体" w:hAnsi="宋体" w:eastAsia="宋体" w:cs="宋体"/>
                <w:color w:val="auto"/>
                <w:highlight w:val="none"/>
                <w:u w:val="single"/>
              </w:rPr>
            </w:pPr>
            <w:r>
              <w:rPr>
                <w:rFonts w:hint="eastAsia" w:ascii="宋体" w:hAnsi="宋体" w:eastAsia="宋体" w:cs="宋体"/>
                <w:color w:val="auto"/>
                <w:highlight w:val="none"/>
              </w:rPr>
              <w:t>监理工程师</w:t>
            </w:r>
            <w:r>
              <w:rPr>
                <w:rFonts w:hint="eastAsia" w:ascii="宋体" w:hAnsi="宋体" w:eastAsia="宋体" w:cs="宋体"/>
                <w:color w:val="auto"/>
                <w:highlight w:val="none"/>
                <w:u w:val="single"/>
              </w:rPr>
              <w:t xml:space="preserve">               </w:t>
            </w:r>
          </w:p>
          <w:p w14:paraId="7AEE2FD6">
            <w:pPr>
              <w:keepNext w:val="0"/>
              <w:keepLines w:val="0"/>
              <w:suppressLineNumbers w:val="0"/>
              <w:tabs>
                <w:tab w:val="left" w:pos="9132"/>
              </w:tabs>
              <w:snapToGrid w:val="0"/>
              <w:spacing w:before="0" w:beforeAutospacing="0" w:after="0" w:afterAutospacing="0" w:line="360" w:lineRule="auto"/>
              <w:ind w:left="0" w:right="0" w:firstLine="5355" w:firstLineChars="2550"/>
              <w:rPr>
                <w:rFonts w:hint="eastAsia" w:ascii="宋体" w:hAnsi="宋体" w:eastAsia="宋体" w:cs="宋体"/>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tc>
      </w:tr>
      <w:tr w14:paraId="1B60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69" w:type="dxa"/>
            <w:gridSpan w:val="4"/>
            <w:tcBorders>
              <w:top w:val="single" w:color="auto" w:sz="4" w:space="0"/>
              <w:left w:val="single" w:color="auto" w:sz="6" w:space="0"/>
              <w:bottom w:val="single" w:color="auto" w:sz="6" w:space="0"/>
              <w:right w:val="single" w:color="auto" w:sz="6" w:space="0"/>
            </w:tcBorders>
          </w:tcPr>
          <w:p w14:paraId="2D22100B">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审批意见：</w:t>
            </w:r>
          </w:p>
          <w:p w14:paraId="10BAFDAC">
            <w:pPr>
              <w:keepNext w:val="0"/>
              <w:keepLines w:val="0"/>
              <w:suppressLineNumbers w:val="0"/>
              <w:snapToGrid w:val="0"/>
              <w:spacing w:before="0" w:beforeAutospacing="0" w:after="0" w:afterAutospacing="0" w:line="360" w:lineRule="auto"/>
              <w:ind w:left="0" w:right="0" w:firstLine="5355" w:firstLineChars="2550"/>
              <w:rPr>
                <w:rFonts w:hint="eastAsia" w:ascii="宋体" w:hAnsi="宋体" w:eastAsia="宋体" w:cs="宋体"/>
                <w:color w:val="auto"/>
                <w:highlight w:val="none"/>
              </w:rPr>
            </w:pPr>
            <w:r>
              <w:rPr>
                <w:rFonts w:hint="eastAsia" w:ascii="宋体" w:hAnsi="宋体" w:eastAsia="宋体" w:cs="宋体"/>
                <w:color w:val="auto"/>
                <w:highlight w:val="none"/>
              </w:rPr>
              <w:t xml:space="preserve">发包人（章）           </w:t>
            </w:r>
          </w:p>
          <w:p w14:paraId="18D2B24A">
            <w:pPr>
              <w:keepNext w:val="0"/>
              <w:keepLines w:val="0"/>
              <w:suppressLineNumbers w:val="0"/>
              <w:tabs>
                <w:tab w:val="left" w:pos="2135"/>
                <w:tab w:val="left" w:pos="8862"/>
              </w:tabs>
              <w:snapToGrid w:val="0"/>
              <w:spacing w:before="0" w:beforeAutospacing="0" w:after="0" w:afterAutospacing="0" w:line="360" w:lineRule="auto"/>
              <w:ind w:left="0" w:right="0" w:firstLine="5355" w:firstLineChars="2550"/>
              <w:rPr>
                <w:rFonts w:hint="eastAsia" w:ascii="宋体" w:hAnsi="宋体" w:eastAsia="宋体" w:cs="宋体"/>
                <w:color w:val="auto"/>
                <w:highlight w:val="none"/>
                <w:u w:val="single"/>
              </w:rPr>
            </w:pPr>
            <w:r>
              <w:rPr>
                <w:rFonts w:hint="eastAsia" w:ascii="宋体" w:hAnsi="宋体" w:eastAsia="宋体" w:cs="宋体"/>
                <w:color w:val="auto"/>
                <w:highlight w:val="none"/>
              </w:rPr>
              <w:t>发包人代表</w:t>
            </w:r>
            <w:r>
              <w:rPr>
                <w:rFonts w:hint="eastAsia" w:ascii="宋体" w:hAnsi="宋体" w:eastAsia="宋体" w:cs="宋体"/>
                <w:color w:val="auto"/>
                <w:highlight w:val="none"/>
                <w:u w:val="single"/>
              </w:rPr>
              <w:t xml:space="preserve">               </w:t>
            </w:r>
          </w:p>
          <w:p w14:paraId="2534E330">
            <w:pPr>
              <w:keepNext w:val="0"/>
              <w:keepLines w:val="0"/>
              <w:suppressLineNumbers w:val="0"/>
              <w:tabs>
                <w:tab w:val="left" w:pos="2135"/>
              </w:tabs>
              <w:snapToGrid w:val="0"/>
              <w:spacing w:before="0" w:beforeAutospacing="0" w:after="0" w:afterAutospacing="0" w:line="360" w:lineRule="auto"/>
              <w:ind w:left="0" w:right="0" w:firstLine="5355" w:firstLineChars="2550"/>
              <w:rPr>
                <w:rFonts w:hint="eastAsia" w:ascii="宋体" w:hAnsi="宋体" w:eastAsia="宋体" w:cs="宋体"/>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tc>
      </w:tr>
    </w:tbl>
    <w:p w14:paraId="0E5B5A34">
      <w:pPr>
        <w:spacing w:before="120" w:beforeLines="50" w:line="360" w:lineRule="auto"/>
        <w:rPr>
          <w:rFonts w:hint="eastAsia" w:ascii="宋体" w:hAnsi="宋体" w:eastAsia="宋体" w:cs="宋体"/>
          <w:color w:val="auto"/>
          <w:highlight w:val="none"/>
        </w:rPr>
      </w:pPr>
      <w:r>
        <w:rPr>
          <w:rFonts w:hint="eastAsia" w:ascii="宋体" w:hAnsi="宋体" w:eastAsia="宋体" w:cs="宋体"/>
          <w:color w:val="auto"/>
          <w:highlight w:val="none"/>
        </w:rPr>
        <w:t>说明：本表一式</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份，由承包人、监理单位、建设管理单位、发包人按合同规定程序填制，并连同分包人各存一份。</w:t>
      </w:r>
    </w:p>
    <w:p w14:paraId="01157EDD">
      <w:pPr>
        <w:pStyle w:val="6"/>
        <w:ind w:firstLine="0" w:firstLineChars="0"/>
        <w:rPr>
          <w:rFonts w:hint="eastAsia" w:ascii="宋体" w:hAnsi="宋体" w:eastAsia="宋体" w:cs="宋体"/>
          <w:bCs/>
          <w:color w:val="auto"/>
          <w:sz w:val="24"/>
          <w:highlight w:val="none"/>
        </w:rPr>
      </w:pPr>
      <w:r>
        <w:rPr>
          <w:rFonts w:hint="eastAsia" w:ascii="宋体" w:hAnsi="宋体" w:eastAsia="宋体" w:cs="宋体"/>
          <w:color w:val="auto"/>
          <w:highlight w:val="none"/>
        </w:rPr>
        <w:br w:type="page"/>
      </w:r>
      <w:r>
        <w:rPr>
          <w:rFonts w:hint="eastAsia" w:ascii="宋体" w:hAnsi="宋体" w:eastAsia="宋体" w:cs="宋体"/>
          <w:b/>
          <w:color w:val="auto"/>
          <w:kern w:val="0"/>
          <w:sz w:val="24"/>
          <w:highlight w:val="none"/>
        </w:rPr>
        <w:t>附件三：</w:t>
      </w:r>
    </w:p>
    <w:p w14:paraId="5905CA7A">
      <w:pPr>
        <w:spacing w:line="360" w:lineRule="auto"/>
        <w:jc w:val="center"/>
        <w:rPr>
          <w:rFonts w:hint="eastAsia" w:ascii="宋体" w:hAnsi="宋体" w:eastAsia="宋体" w:cs="宋体"/>
          <w:b/>
          <w:bCs/>
          <w:color w:val="auto"/>
          <w:spacing w:val="30"/>
          <w:sz w:val="36"/>
          <w:szCs w:val="36"/>
          <w:highlight w:val="none"/>
        </w:rPr>
      </w:pPr>
      <w:r>
        <w:rPr>
          <w:rFonts w:hint="eastAsia" w:ascii="宋体" w:hAnsi="宋体" w:eastAsia="宋体" w:cs="宋体"/>
          <w:b/>
          <w:bCs/>
          <w:color w:val="auto"/>
          <w:spacing w:val="30"/>
          <w:sz w:val="36"/>
          <w:szCs w:val="36"/>
          <w:highlight w:val="none"/>
        </w:rPr>
        <w:t>施工组织设计（方案）报审表</w:t>
      </w:r>
    </w:p>
    <w:p w14:paraId="6235B7D3">
      <w:pPr>
        <w:spacing w:line="360" w:lineRule="auto"/>
        <w:ind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工程名称：</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 xml:space="preserve"> 编号：</w:t>
      </w:r>
    </w:p>
    <w:tbl>
      <w:tblPr>
        <w:tblStyle w:val="45"/>
        <w:tblW w:w="101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156"/>
      </w:tblGrid>
      <w:tr w14:paraId="7AE63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2" w:hRule="atLeast"/>
          <w:jc w:val="center"/>
        </w:trPr>
        <w:tc>
          <w:tcPr>
            <w:tcW w:w="10156" w:type="dxa"/>
            <w:tcBorders>
              <w:bottom w:val="single" w:color="auto" w:sz="4" w:space="0"/>
            </w:tcBorders>
          </w:tcPr>
          <w:p w14:paraId="52F3AB4F">
            <w:pPr>
              <w:keepNext w:val="0"/>
              <w:keepLines w:val="0"/>
              <w:suppressLineNumbers w:val="0"/>
              <w:spacing w:before="120" w:beforeAutospacing="0" w:after="0" w:afterAutospacing="0" w:line="360" w:lineRule="auto"/>
              <w:ind w:left="-28" w:right="0" w:firstLine="181"/>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（监理单位全称）</w:t>
            </w:r>
          </w:p>
          <w:p w14:paraId="5718AC1D">
            <w:pPr>
              <w:keepNext w:val="0"/>
              <w:keepLines w:val="0"/>
              <w:suppressLineNumbers w:val="0"/>
              <w:spacing w:before="0" w:beforeAutospacing="0" w:after="0" w:afterAutospacing="0" w:line="360" w:lineRule="auto"/>
              <w:ind w:left="-28" w:right="0" w:firstLine="540"/>
              <w:rPr>
                <w:rFonts w:hint="eastAsia" w:ascii="宋体" w:hAnsi="宋体" w:eastAsia="宋体" w:cs="宋体"/>
                <w:color w:val="auto"/>
                <w:highlight w:val="none"/>
              </w:rPr>
            </w:pPr>
            <w:r>
              <w:rPr>
                <w:rFonts w:hint="eastAsia" w:ascii="宋体" w:hAnsi="宋体" w:eastAsia="宋体" w:cs="宋体"/>
                <w:color w:val="auto"/>
                <w:highlight w:val="none"/>
              </w:rPr>
              <w:t>我方已根据施工合同的有关规定完成了</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工程施工组织设计（方案）的编制,请予以审批。</w:t>
            </w:r>
          </w:p>
          <w:p w14:paraId="354468DB">
            <w:pPr>
              <w:keepNext w:val="0"/>
              <w:keepLines w:val="0"/>
              <w:suppressLineNumbers w:val="0"/>
              <w:spacing w:before="0" w:beforeAutospacing="0" w:after="0" w:afterAutospacing="0" w:line="360" w:lineRule="auto"/>
              <w:ind w:left="-28" w:right="0" w:firstLine="540"/>
              <w:rPr>
                <w:rFonts w:hint="eastAsia" w:ascii="宋体" w:hAnsi="宋体" w:eastAsia="宋体" w:cs="宋体"/>
                <w:color w:val="auto"/>
                <w:highlight w:val="none"/>
              </w:rPr>
            </w:pPr>
            <w:r>
              <w:rPr>
                <w:rFonts w:hint="eastAsia" w:ascii="宋体" w:hAnsi="宋体" w:eastAsia="宋体" w:cs="宋体"/>
                <w:color w:val="auto"/>
                <w:highlight w:val="none"/>
              </w:rPr>
              <w:t>附： 施工组织设计（方案）</w:t>
            </w:r>
          </w:p>
          <w:p w14:paraId="4FDA8009">
            <w:pPr>
              <w:keepNext w:val="0"/>
              <w:keepLines w:val="0"/>
              <w:suppressLineNumbers w:val="0"/>
              <w:spacing w:before="0" w:beforeAutospacing="0" w:after="0" w:afterAutospacing="0" w:line="360" w:lineRule="auto"/>
              <w:ind w:left="-28" w:right="0" w:firstLine="540"/>
              <w:rPr>
                <w:rFonts w:hint="eastAsia" w:ascii="宋体" w:hAnsi="宋体" w:eastAsia="宋体" w:cs="宋体"/>
                <w:color w:val="auto"/>
                <w:highlight w:val="none"/>
              </w:rPr>
            </w:pPr>
          </w:p>
          <w:p w14:paraId="69199C2A">
            <w:pPr>
              <w:keepNext w:val="0"/>
              <w:keepLines w:val="0"/>
              <w:suppressLineNumbers w:val="0"/>
              <w:spacing w:before="0" w:beforeAutospacing="0" w:after="0" w:afterAutospacing="0" w:line="360" w:lineRule="auto"/>
              <w:ind w:left="-28" w:right="0" w:firstLine="540"/>
              <w:rPr>
                <w:rFonts w:hint="eastAsia" w:ascii="宋体" w:hAnsi="宋体" w:eastAsia="宋体" w:cs="宋体"/>
                <w:color w:val="auto"/>
                <w:highlight w:val="none"/>
              </w:rPr>
            </w:pPr>
          </w:p>
          <w:p w14:paraId="1E039842">
            <w:pPr>
              <w:keepNext w:val="0"/>
              <w:keepLines w:val="0"/>
              <w:suppressLineNumbers w:val="0"/>
              <w:spacing w:before="0" w:beforeAutospacing="0" w:after="0" w:afterAutospacing="0" w:line="360" w:lineRule="auto"/>
              <w:ind w:left="0" w:right="120"/>
              <w:jc w:val="center"/>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承包人（章）</w:t>
            </w:r>
          </w:p>
          <w:p w14:paraId="75903C41">
            <w:pPr>
              <w:keepNext w:val="0"/>
              <w:keepLines w:val="0"/>
              <w:suppressLineNumbers w:val="0"/>
              <w:spacing w:before="0" w:beforeAutospacing="0" w:after="0" w:afterAutospacing="0" w:line="360" w:lineRule="auto"/>
              <w:ind w:left="0" w:right="0" w:firstLine="6087"/>
              <w:rPr>
                <w:rFonts w:hint="eastAsia" w:ascii="宋体" w:hAnsi="宋体" w:eastAsia="宋体" w:cs="宋体"/>
                <w:color w:val="auto"/>
                <w:highlight w:val="none"/>
                <w:u w:val="single"/>
              </w:rPr>
            </w:pPr>
            <w:r>
              <w:rPr>
                <w:rFonts w:hint="eastAsia" w:ascii="宋体" w:hAnsi="宋体" w:eastAsia="宋体" w:cs="宋体"/>
                <w:color w:val="auto"/>
                <w:highlight w:val="none"/>
              </w:rPr>
              <w:t>承包人代表</w:t>
            </w:r>
            <w:r>
              <w:rPr>
                <w:rFonts w:hint="eastAsia" w:ascii="宋体" w:hAnsi="宋体" w:eastAsia="宋体" w:cs="宋体"/>
                <w:color w:val="auto"/>
                <w:highlight w:val="none"/>
                <w:u w:val="single"/>
              </w:rPr>
              <w:t xml:space="preserve">               </w:t>
            </w:r>
          </w:p>
          <w:p w14:paraId="1CD1FC57">
            <w:pPr>
              <w:keepNext w:val="0"/>
              <w:keepLines w:val="0"/>
              <w:suppressLineNumbers w:val="0"/>
              <w:snapToGrid w:val="0"/>
              <w:spacing w:before="0" w:beforeAutospacing="0" w:after="0" w:afterAutospacing="0" w:line="360" w:lineRule="auto"/>
              <w:ind w:left="0" w:right="0" w:firstLine="6087"/>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tc>
      </w:tr>
      <w:tr w14:paraId="03867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532" w:hRule="atLeast"/>
          <w:jc w:val="center"/>
        </w:trPr>
        <w:tc>
          <w:tcPr>
            <w:tcW w:w="10156" w:type="dxa"/>
            <w:tcBorders>
              <w:top w:val="single" w:color="auto" w:sz="4" w:space="0"/>
            </w:tcBorders>
          </w:tcPr>
          <w:p w14:paraId="7153A7AF">
            <w:pPr>
              <w:keepNext w:val="0"/>
              <w:keepLines w:val="0"/>
              <w:suppressLineNumbers w:val="0"/>
              <w:spacing w:before="0" w:beforeAutospacing="0" w:after="0" w:afterAutospacing="0" w:line="360" w:lineRule="auto"/>
              <w:ind w:left="0" w:right="71"/>
              <w:rPr>
                <w:rFonts w:hint="eastAsia" w:ascii="宋体" w:hAnsi="宋体" w:eastAsia="宋体" w:cs="宋体"/>
                <w:color w:val="auto"/>
                <w:sz w:val="32"/>
                <w:highlight w:val="none"/>
              </w:rPr>
            </w:pPr>
            <w:r>
              <w:rPr>
                <w:rFonts w:hint="eastAsia" w:ascii="宋体" w:hAnsi="宋体" w:eastAsia="宋体" w:cs="宋体"/>
                <w:color w:val="auto"/>
                <w:highlight w:val="none"/>
              </w:rPr>
              <w:t>确认或修改意见：</w:t>
            </w:r>
          </w:p>
          <w:p w14:paraId="2D7AEE08">
            <w:pPr>
              <w:keepNext w:val="0"/>
              <w:keepLines w:val="0"/>
              <w:suppressLineNumbers w:val="0"/>
              <w:spacing w:before="0" w:beforeAutospacing="0" w:after="0" w:afterAutospacing="0" w:line="360" w:lineRule="auto"/>
              <w:ind w:left="72" w:right="71" w:firstLine="240"/>
              <w:rPr>
                <w:rFonts w:hint="eastAsia" w:ascii="宋体" w:hAnsi="宋体" w:eastAsia="宋体" w:cs="宋体"/>
                <w:color w:val="auto"/>
                <w:highlight w:val="none"/>
              </w:rPr>
            </w:pPr>
            <w:r>
              <w:rPr>
                <w:rFonts w:hint="eastAsia" w:ascii="宋体" w:hAnsi="宋体" w:eastAsia="宋体" w:cs="宋体"/>
                <w:color w:val="auto"/>
                <w:sz w:val="32"/>
                <w:highlight w:val="none"/>
              </w:rPr>
              <w:t>□</w:t>
            </w:r>
            <w:r>
              <w:rPr>
                <w:rFonts w:hint="eastAsia" w:ascii="宋体" w:hAnsi="宋体" w:eastAsia="宋体" w:cs="宋体"/>
                <w:color w:val="auto"/>
                <w:highlight w:val="none"/>
              </w:rPr>
              <w:t xml:space="preserve">组织机构健全,人员落实           </w:t>
            </w:r>
            <w:r>
              <w:rPr>
                <w:rFonts w:hint="eastAsia" w:ascii="宋体" w:hAnsi="宋体" w:eastAsia="宋体" w:cs="宋体"/>
                <w:color w:val="auto"/>
                <w:sz w:val="32"/>
                <w:highlight w:val="none"/>
              </w:rPr>
              <w:t>□</w:t>
            </w:r>
            <w:r>
              <w:rPr>
                <w:rFonts w:hint="eastAsia" w:ascii="宋体" w:hAnsi="宋体" w:eastAsia="宋体" w:cs="宋体"/>
                <w:color w:val="auto"/>
                <w:highlight w:val="none"/>
              </w:rPr>
              <w:t>施工技术措施可行</w:t>
            </w:r>
          </w:p>
          <w:p w14:paraId="5F0C1B66">
            <w:pPr>
              <w:keepNext w:val="0"/>
              <w:keepLines w:val="0"/>
              <w:suppressLineNumbers w:val="0"/>
              <w:spacing w:before="0" w:beforeAutospacing="0" w:after="0" w:afterAutospacing="0" w:line="360" w:lineRule="auto"/>
              <w:ind w:left="72" w:right="71" w:firstLine="240"/>
              <w:rPr>
                <w:rFonts w:hint="eastAsia" w:ascii="宋体" w:hAnsi="宋体" w:eastAsia="宋体" w:cs="宋体"/>
                <w:color w:val="auto"/>
                <w:highlight w:val="none"/>
              </w:rPr>
            </w:pPr>
            <w:r>
              <w:rPr>
                <w:rFonts w:hint="eastAsia" w:ascii="宋体" w:hAnsi="宋体" w:eastAsia="宋体" w:cs="宋体"/>
                <w:color w:val="auto"/>
                <w:sz w:val="32"/>
                <w:highlight w:val="none"/>
              </w:rPr>
              <w:t>□</w:t>
            </w:r>
            <w:r>
              <w:rPr>
                <w:rFonts w:hint="eastAsia" w:ascii="宋体" w:hAnsi="宋体" w:eastAsia="宋体" w:cs="宋体"/>
                <w:color w:val="auto"/>
                <w:highlight w:val="none"/>
              </w:rPr>
              <w:t xml:space="preserve">安全责任落实，安全措施可行      </w:t>
            </w:r>
            <w:r>
              <w:rPr>
                <w:rFonts w:hint="eastAsia" w:ascii="宋体" w:hAnsi="宋体" w:eastAsia="宋体" w:cs="宋体"/>
                <w:color w:val="auto"/>
                <w:sz w:val="32"/>
                <w:highlight w:val="none"/>
              </w:rPr>
              <w:t>□</w:t>
            </w:r>
            <w:r>
              <w:rPr>
                <w:rFonts w:hint="eastAsia" w:ascii="宋体" w:hAnsi="宋体" w:eastAsia="宋体" w:cs="宋体"/>
                <w:color w:val="auto"/>
                <w:highlight w:val="none"/>
              </w:rPr>
              <w:t>安全工器具满足施工要求</w:t>
            </w:r>
          </w:p>
          <w:p w14:paraId="4694FD49">
            <w:pPr>
              <w:keepNext w:val="0"/>
              <w:keepLines w:val="0"/>
              <w:suppressLineNumbers w:val="0"/>
              <w:spacing w:before="0" w:beforeAutospacing="0" w:after="0" w:afterAutospacing="0" w:line="360" w:lineRule="auto"/>
              <w:ind w:left="72" w:right="71" w:firstLine="240"/>
              <w:rPr>
                <w:rFonts w:hint="eastAsia" w:ascii="宋体" w:hAnsi="宋体" w:eastAsia="宋体" w:cs="宋体"/>
                <w:color w:val="auto"/>
                <w:highlight w:val="none"/>
              </w:rPr>
            </w:pPr>
            <w:r>
              <w:rPr>
                <w:rFonts w:hint="eastAsia" w:ascii="宋体" w:hAnsi="宋体" w:eastAsia="宋体" w:cs="宋体"/>
                <w:color w:val="auto"/>
                <w:sz w:val="32"/>
                <w:highlight w:val="none"/>
              </w:rPr>
              <w:t>□</w:t>
            </w:r>
            <w:r>
              <w:rPr>
                <w:rFonts w:hint="eastAsia" w:ascii="宋体" w:hAnsi="宋体" w:eastAsia="宋体" w:cs="宋体"/>
                <w:color w:val="auto"/>
                <w:highlight w:val="none"/>
              </w:rPr>
              <w:t xml:space="preserve">施工进度计划满足工期要求        </w:t>
            </w:r>
            <w:r>
              <w:rPr>
                <w:rFonts w:hint="eastAsia" w:ascii="宋体" w:hAnsi="宋体" w:eastAsia="宋体" w:cs="宋体"/>
                <w:color w:val="auto"/>
                <w:sz w:val="32"/>
                <w:highlight w:val="none"/>
              </w:rPr>
              <w:t>□</w:t>
            </w:r>
            <w:r>
              <w:rPr>
                <w:rFonts w:hint="eastAsia" w:ascii="宋体" w:hAnsi="宋体" w:eastAsia="宋体" w:cs="宋体"/>
                <w:color w:val="auto"/>
                <w:highlight w:val="none"/>
              </w:rPr>
              <w:t>特殊工种人员持证上岗</w:t>
            </w:r>
          </w:p>
          <w:p w14:paraId="3EF57D75">
            <w:pPr>
              <w:keepNext w:val="0"/>
              <w:keepLines w:val="0"/>
              <w:suppressLineNumbers w:val="0"/>
              <w:spacing w:before="0" w:beforeAutospacing="0" w:after="0" w:afterAutospacing="0" w:line="360" w:lineRule="auto"/>
              <w:ind w:left="72" w:right="71" w:firstLine="240"/>
              <w:rPr>
                <w:rFonts w:hint="eastAsia" w:ascii="宋体" w:hAnsi="宋体" w:eastAsia="宋体" w:cs="宋体"/>
                <w:color w:val="auto"/>
                <w:highlight w:val="none"/>
              </w:rPr>
            </w:pPr>
            <w:r>
              <w:rPr>
                <w:rFonts w:hint="eastAsia" w:ascii="宋体" w:hAnsi="宋体" w:eastAsia="宋体" w:cs="宋体"/>
                <w:color w:val="auto"/>
                <w:sz w:val="32"/>
                <w:highlight w:val="none"/>
              </w:rPr>
              <w:t>□</w:t>
            </w:r>
            <w:r>
              <w:rPr>
                <w:rFonts w:hint="eastAsia" w:ascii="宋体" w:hAnsi="宋体" w:eastAsia="宋体" w:cs="宋体"/>
                <w:color w:val="auto"/>
                <w:highlight w:val="none"/>
              </w:rPr>
              <w:t xml:space="preserve">施工工器具安全可靠              </w:t>
            </w:r>
            <w:r>
              <w:rPr>
                <w:rFonts w:hint="eastAsia" w:ascii="宋体" w:hAnsi="宋体" w:eastAsia="宋体" w:cs="宋体"/>
                <w:color w:val="auto"/>
                <w:sz w:val="32"/>
                <w:highlight w:val="none"/>
              </w:rPr>
              <w:t>□</w:t>
            </w:r>
            <w:r>
              <w:rPr>
                <w:rFonts w:hint="eastAsia" w:ascii="宋体" w:hAnsi="宋体" w:eastAsia="宋体" w:cs="宋体"/>
                <w:color w:val="auto"/>
                <w:highlight w:val="none"/>
              </w:rPr>
              <w:t>施工计量、检测器具有效</w:t>
            </w:r>
          </w:p>
          <w:p w14:paraId="5B0BB0D2">
            <w:pPr>
              <w:keepNext w:val="0"/>
              <w:keepLines w:val="0"/>
              <w:suppressLineNumbers w:val="0"/>
              <w:spacing w:before="0" w:beforeAutospacing="0" w:after="0" w:afterAutospacing="0" w:line="360" w:lineRule="auto"/>
              <w:ind w:left="72" w:right="71" w:firstLine="240"/>
              <w:rPr>
                <w:rFonts w:hint="eastAsia" w:ascii="宋体" w:hAnsi="宋体" w:eastAsia="宋体" w:cs="宋体"/>
                <w:color w:val="auto"/>
                <w:highlight w:val="none"/>
              </w:rPr>
            </w:pPr>
          </w:p>
          <w:p w14:paraId="28F06274">
            <w:pPr>
              <w:keepNext w:val="0"/>
              <w:keepLines w:val="0"/>
              <w:suppressLineNumbers w:val="0"/>
              <w:spacing w:before="0" w:beforeAutospacing="0" w:after="0" w:afterAutospacing="0" w:line="360" w:lineRule="auto"/>
              <w:ind w:left="0" w:right="0" w:firstLine="5325" w:firstLineChars="2536"/>
              <w:rPr>
                <w:rFonts w:hint="eastAsia" w:ascii="宋体" w:hAnsi="宋体" w:eastAsia="宋体" w:cs="宋体"/>
                <w:color w:val="auto"/>
                <w:highlight w:val="none"/>
              </w:rPr>
            </w:pPr>
            <w:r>
              <w:rPr>
                <w:rFonts w:hint="eastAsia" w:ascii="宋体" w:hAnsi="宋体" w:eastAsia="宋体" w:cs="宋体"/>
                <w:color w:val="auto"/>
                <w:highlight w:val="none"/>
              </w:rPr>
              <w:t>监理单位(章)</w:t>
            </w:r>
          </w:p>
          <w:p w14:paraId="5F21C2A9">
            <w:pPr>
              <w:keepNext w:val="0"/>
              <w:keepLines w:val="0"/>
              <w:suppressLineNumbers w:val="0"/>
              <w:snapToGrid w:val="0"/>
              <w:spacing w:before="0" w:beforeAutospacing="0" w:after="0" w:afterAutospacing="0" w:line="360" w:lineRule="auto"/>
              <w:ind w:left="0" w:right="0" w:firstLine="6087"/>
              <w:rPr>
                <w:rFonts w:hint="eastAsia" w:ascii="宋体" w:hAnsi="宋体" w:eastAsia="宋体" w:cs="宋体"/>
                <w:color w:val="auto"/>
                <w:highlight w:val="none"/>
              </w:rPr>
            </w:pPr>
            <w:r>
              <w:rPr>
                <w:rFonts w:hint="eastAsia" w:ascii="宋体" w:hAnsi="宋体" w:eastAsia="宋体" w:cs="宋体"/>
                <w:color w:val="auto"/>
                <w:highlight w:val="none"/>
              </w:rPr>
              <w:t>监理工程师</w:t>
            </w:r>
            <w:r>
              <w:rPr>
                <w:rFonts w:hint="eastAsia" w:ascii="宋体" w:hAnsi="宋体" w:eastAsia="宋体" w:cs="宋体"/>
                <w:color w:val="auto"/>
                <w:highlight w:val="none"/>
                <w:u w:val="single"/>
              </w:rPr>
              <w:t xml:space="preserve">               </w:t>
            </w:r>
          </w:p>
          <w:p w14:paraId="390188BF">
            <w:pPr>
              <w:keepNext w:val="0"/>
              <w:keepLines w:val="0"/>
              <w:suppressLineNumbers w:val="0"/>
              <w:snapToGrid w:val="0"/>
              <w:spacing w:before="0" w:beforeAutospacing="0" w:after="0" w:afterAutospacing="0" w:line="360" w:lineRule="auto"/>
              <w:ind w:left="0" w:right="0" w:firstLine="6087"/>
              <w:rPr>
                <w:rFonts w:hint="eastAsia" w:ascii="宋体" w:hAnsi="宋体" w:eastAsia="宋体" w:cs="宋体"/>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tc>
      </w:tr>
      <w:tr w14:paraId="07E22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77" w:hRule="atLeast"/>
          <w:jc w:val="center"/>
        </w:trPr>
        <w:tc>
          <w:tcPr>
            <w:tcW w:w="10156" w:type="dxa"/>
            <w:tcBorders>
              <w:bottom w:val="single" w:color="auto" w:sz="6" w:space="0"/>
            </w:tcBorders>
          </w:tcPr>
          <w:p w14:paraId="15528DF6">
            <w:pPr>
              <w:keepNext w:val="0"/>
              <w:keepLines w:val="0"/>
              <w:suppressLineNumbers w:val="0"/>
              <w:spacing w:before="0" w:beforeAutospacing="0" w:after="0" w:afterAutospacing="0" w:line="360" w:lineRule="auto"/>
              <w:ind w:left="-28" w:right="0"/>
              <w:rPr>
                <w:rFonts w:hint="eastAsia" w:ascii="宋体" w:hAnsi="宋体" w:eastAsia="宋体" w:cs="宋体"/>
                <w:color w:val="auto"/>
                <w:highlight w:val="none"/>
              </w:rPr>
            </w:pPr>
            <w:r>
              <w:rPr>
                <w:rFonts w:hint="eastAsia" w:ascii="宋体" w:hAnsi="宋体" w:eastAsia="宋体" w:cs="宋体"/>
                <w:color w:val="auto"/>
                <w:highlight w:val="none"/>
              </w:rPr>
              <w:t>审批意见：</w:t>
            </w:r>
          </w:p>
          <w:p w14:paraId="59EAEE77">
            <w:pPr>
              <w:keepNext w:val="0"/>
              <w:keepLines w:val="0"/>
              <w:suppressLineNumbers w:val="0"/>
              <w:snapToGrid w:val="0"/>
              <w:spacing w:before="0" w:beforeAutospacing="0" w:after="0" w:afterAutospacing="0" w:line="360" w:lineRule="auto"/>
              <w:ind w:left="-28" w:right="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23945B93">
            <w:pPr>
              <w:keepNext w:val="0"/>
              <w:keepLines w:val="0"/>
              <w:suppressLineNumbers w:val="0"/>
              <w:spacing w:before="0" w:beforeAutospacing="0" w:after="0" w:afterAutospacing="0" w:line="360" w:lineRule="auto"/>
              <w:ind w:left="0" w:right="0" w:firstLine="5325" w:firstLineChars="2536"/>
              <w:rPr>
                <w:rFonts w:hint="eastAsia" w:ascii="宋体" w:hAnsi="宋体" w:eastAsia="宋体" w:cs="宋体"/>
                <w:color w:val="auto"/>
                <w:highlight w:val="none"/>
              </w:rPr>
            </w:pPr>
            <w:r>
              <w:rPr>
                <w:rFonts w:hint="eastAsia" w:ascii="宋体" w:hAnsi="宋体" w:eastAsia="宋体" w:cs="宋体"/>
                <w:color w:val="auto"/>
                <w:highlight w:val="none"/>
              </w:rPr>
              <w:t>发包人（章）</w:t>
            </w:r>
          </w:p>
          <w:p w14:paraId="11DB8367">
            <w:pPr>
              <w:keepNext w:val="0"/>
              <w:keepLines w:val="0"/>
              <w:suppressLineNumbers w:val="0"/>
              <w:snapToGrid w:val="0"/>
              <w:spacing w:before="0" w:beforeAutospacing="0" w:after="0" w:afterAutospacing="0" w:line="360" w:lineRule="auto"/>
              <w:ind w:left="-28" w:right="0" w:firstLine="5348" w:firstLineChars="2547"/>
              <w:rPr>
                <w:rFonts w:hint="eastAsia" w:ascii="宋体" w:hAnsi="宋体" w:eastAsia="宋体" w:cs="宋体"/>
                <w:color w:val="auto"/>
                <w:highlight w:val="none"/>
                <w:u w:val="single"/>
              </w:rPr>
            </w:pPr>
            <w:r>
              <w:rPr>
                <w:rFonts w:hint="eastAsia" w:ascii="宋体" w:hAnsi="宋体" w:eastAsia="宋体" w:cs="宋体"/>
                <w:color w:val="auto"/>
                <w:highlight w:val="none"/>
              </w:rPr>
              <w:t>发包人代表</w:t>
            </w:r>
            <w:r>
              <w:rPr>
                <w:rFonts w:hint="eastAsia" w:ascii="宋体" w:hAnsi="宋体" w:eastAsia="宋体" w:cs="宋体"/>
                <w:color w:val="auto"/>
                <w:highlight w:val="none"/>
                <w:u w:val="single"/>
              </w:rPr>
              <w:t xml:space="preserve">               </w:t>
            </w:r>
          </w:p>
          <w:p w14:paraId="19FB578F">
            <w:pPr>
              <w:keepNext w:val="0"/>
              <w:keepLines w:val="0"/>
              <w:suppressLineNumbers w:val="0"/>
              <w:snapToGrid w:val="0"/>
              <w:spacing w:before="0" w:beforeAutospacing="0" w:after="0" w:afterAutospacing="0" w:line="360" w:lineRule="auto"/>
              <w:ind w:left="-28" w:right="0" w:firstLine="5348" w:firstLineChars="2547"/>
              <w:rPr>
                <w:rFonts w:hint="eastAsia" w:ascii="宋体" w:hAnsi="宋体" w:eastAsia="宋体" w:cs="宋体"/>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tc>
      </w:tr>
    </w:tbl>
    <w:p w14:paraId="75B81F9B">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说明：1．在需要选择的栏中的“□”内作标识“√”。2．本表一式四份，由承包人、监理单位、建设管理单位、发包人按合同规定程序填制，并各存一份。</w:t>
      </w:r>
    </w:p>
    <w:p w14:paraId="22B6747A">
      <w:pPr>
        <w:pStyle w:val="6"/>
        <w:ind w:firstLine="0" w:firstLineChars="0"/>
        <w:rPr>
          <w:rFonts w:hint="eastAsia" w:ascii="宋体" w:hAnsi="宋体" w:eastAsia="宋体" w:cs="宋体"/>
          <w:color w:val="auto"/>
          <w:sz w:val="24"/>
          <w:highlight w:val="none"/>
        </w:rPr>
      </w:pPr>
      <w:r>
        <w:rPr>
          <w:rFonts w:hint="eastAsia" w:ascii="宋体" w:hAnsi="宋体" w:eastAsia="宋体" w:cs="宋体"/>
          <w:color w:val="auto"/>
          <w:highlight w:val="none"/>
        </w:rPr>
        <w:br w:type="page"/>
      </w:r>
      <w:r>
        <w:rPr>
          <w:rFonts w:hint="eastAsia" w:ascii="宋体" w:hAnsi="宋体" w:eastAsia="宋体" w:cs="宋体"/>
          <w:b/>
          <w:color w:val="auto"/>
          <w:kern w:val="0"/>
          <w:sz w:val="24"/>
          <w:highlight w:val="none"/>
        </w:rPr>
        <w:t>附件四：</w:t>
      </w:r>
    </w:p>
    <w:p w14:paraId="690DA817">
      <w:pPr>
        <w:outlineLvl w:val="1"/>
        <w:rPr>
          <w:rFonts w:hint="eastAsia" w:ascii="宋体" w:hAnsi="宋体" w:eastAsia="宋体" w:cs="宋体"/>
          <w:color w:val="auto"/>
          <w:highlight w:val="none"/>
        </w:rPr>
      </w:pPr>
    </w:p>
    <w:p w14:paraId="119CB3C4">
      <w:pPr>
        <w:spacing w:line="360" w:lineRule="auto"/>
        <w:jc w:val="center"/>
        <w:rPr>
          <w:rFonts w:hint="eastAsia" w:ascii="宋体" w:hAnsi="宋体" w:eastAsia="宋体" w:cs="宋体"/>
          <w:b/>
          <w:bCs/>
          <w:color w:val="auto"/>
          <w:spacing w:val="30"/>
          <w:sz w:val="36"/>
          <w:szCs w:val="36"/>
          <w:highlight w:val="none"/>
        </w:rPr>
      </w:pPr>
      <w:r>
        <w:rPr>
          <w:rFonts w:hint="eastAsia" w:ascii="宋体" w:hAnsi="宋体" w:eastAsia="宋体" w:cs="宋体"/>
          <w:b/>
          <w:bCs/>
          <w:color w:val="auto"/>
          <w:spacing w:val="30"/>
          <w:sz w:val="36"/>
          <w:szCs w:val="36"/>
          <w:highlight w:val="none"/>
        </w:rPr>
        <w:t>工程开工/复工报审表</w:t>
      </w:r>
    </w:p>
    <w:p w14:paraId="5B8EE7A4">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工程名称：</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 xml:space="preserve">    编号：</w:t>
      </w:r>
    </w:p>
    <w:tbl>
      <w:tblPr>
        <w:tblStyle w:val="45"/>
        <w:tblW w:w="9334"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298"/>
        <w:gridCol w:w="5036"/>
      </w:tblGrid>
      <w:tr w14:paraId="4FF9C1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389" w:hRule="atLeast"/>
        </w:trPr>
        <w:tc>
          <w:tcPr>
            <w:tcW w:w="9334" w:type="dxa"/>
            <w:gridSpan w:val="2"/>
          </w:tcPr>
          <w:p w14:paraId="21349483">
            <w:pPr>
              <w:keepNext w:val="0"/>
              <w:keepLines w:val="0"/>
              <w:suppressLineNumbers w:val="0"/>
              <w:spacing w:before="120" w:beforeAutospacing="0" w:after="0" w:afterAutospacing="0" w:line="360" w:lineRule="auto"/>
              <w:ind w:left="-28" w:right="0" w:firstLine="181"/>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（监理单位全称）</w:t>
            </w:r>
          </w:p>
          <w:p w14:paraId="6A0B50D6">
            <w:pPr>
              <w:keepNext w:val="0"/>
              <w:keepLines w:val="0"/>
              <w:suppressLineNumbers w:val="0"/>
              <w:spacing w:before="0" w:beforeAutospacing="0" w:after="0" w:afterAutospacing="0" w:line="360" w:lineRule="auto"/>
              <w:ind w:left="-28" w:right="0" w:firstLine="540"/>
              <w:rPr>
                <w:rFonts w:hint="eastAsia" w:ascii="宋体" w:hAnsi="宋体" w:eastAsia="宋体" w:cs="宋体"/>
                <w:color w:val="auto"/>
                <w:highlight w:val="none"/>
              </w:rPr>
            </w:pPr>
            <w:r>
              <w:rPr>
                <w:rFonts w:hint="eastAsia" w:ascii="宋体" w:hAnsi="宋体" w:eastAsia="宋体" w:cs="宋体"/>
                <w:color w:val="auto"/>
                <w:highlight w:val="none"/>
              </w:rPr>
              <w:t>我方承担的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工程,已完成了以下各项工作,具备了（</w:t>
            </w:r>
            <w:r>
              <w:rPr>
                <w:rFonts w:hint="eastAsia" w:ascii="宋体" w:hAnsi="宋体" w:eastAsia="宋体" w:cs="宋体"/>
                <w:color w:val="auto"/>
                <w:sz w:val="32"/>
                <w:highlight w:val="none"/>
              </w:rPr>
              <w:t>□</w:t>
            </w:r>
            <w:r>
              <w:rPr>
                <w:rFonts w:hint="eastAsia" w:ascii="宋体" w:hAnsi="宋体" w:eastAsia="宋体" w:cs="宋体"/>
                <w:color w:val="auto"/>
                <w:highlight w:val="none"/>
              </w:rPr>
              <w:t>开工/</w:t>
            </w:r>
            <w:r>
              <w:rPr>
                <w:rFonts w:hint="eastAsia" w:ascii="宋体" w:hAnsi="宋体" w:eastAsia="宋体" w:cs="宋体"/>
                <w:color w:val="auto"/>
                <w:sz w:val="32"/>
                <w:highlight w:val="none"/>
              </w:rPr>
              <w:t>□</w:t>
            </w:r>
            <w:r>
              <w:rPr>
                <w:rFonts w:hint="eastAsia" w:ascii="宋体" w:hAnsi="宋体" w:eastAsia="宋体" w:cs="宋体"/>
                <w:color w:val="auto"/>
                <w:highlight w:val="none"/>
              </w:rPr>
              <w:t>复工）条件,现申请施工,请审查并签发（</w:t>
            </w:r>
            <w:r>
              <w:rPr>
                <w:rFonts w:hint="eastAsia" w:ascii="宋体" w:hAnsi="宋体" w:eastAsia="宋体" w:cs="宋体"/>
                <w:color w:val="auto"/>
                <w:sz w:val="32"/>
                <w:highlight w:val="none"/>
              </w:rPr>
              <w:t>□</w:t>
            </w:r>
            <w:r>
              <w:rPr>
                <w:rFonts w:hint="eastAsia" w:ascii="宋体" w:hAnsi="宋体" w:eastAsia="宋体" w:cs="宋体"/>
                <w:color w:val="auto"/>
                <w:highlight w:val="none"/>
              </w:rPr>
              <w:t>开工/</w:t>
            </w:r>
            <w:r>
              <w:rPr>
                <w:rFonts w:hint="eastAsia" w:ascii="宋体" w:hAnsi="宋体" w:eastAsia="宋体" w:cs="宋体"/>
                <w:color w:val="auto"/>
                <w:sz w:val="32"/>
                <w:highlight w:val="none"/>
              </w:rPr>
              <w:t>□</w:t>
            </w:r>
            <w:r>
              <w:rPr>
                <w:rFonts w:hint="eastAsia" w:ascii="宋体" w:hAnsi="宋体" w:eastAsia="宋体" w:cs="宋体"/>
                <w:color w:val="auto"/>
                <w:highlight w:val="none"/>
              </w:rPr>
              <w:t>复工）指令。</w:t>
            </w:r>
          </w:p>
          <w:p w14:paraId="1FDA7465">
            <w:pPr>
              <w:keepNext w:val="0"/>
              <w:keepLines w:val="0"/>
              <w:suppressLineNumbers w:val="0"/>
              <w:spacing w:before="0" w:beforeAutospacing="0" w:after="0" w:afterAutospacing="0" w:line="360" w:lineRule="auto"/>
              <w:ind w:left="-28" w:right="0"/>
              <w:rPr>
                <w:rFonts w:hint="eastAsia" w:ascii="宋体" w:hAnsi="宋体" w:eastAsia="宋体" w:cs="宋体"/>
                <w:color w:val="auto"/>
                <w:highlight w:val="none"/>
              </w:rPr>
            </w:pPr>
            <w:r>
              <w:rPr>
                <w:rFonts w:hint="eastAsia" w:ascii="宋体" w:hAnsi="宋体" w:eastAsia="宋体" w:cs="宋体"/>
                <w:color w:val="auto"/>
                <w:highlight w:val="none"/>
              </w:rPr>
              <w:t>附：开工报告</w:t>
            </w:r>
          </w:p>
          <w:p w14:paraId="33B8921F">
            <w:pPr>
              <w:keepNext w:val="0"/>
              <w:keepLines w:val="0"/>
              <w:suppressLineNumbers w:val="0"/>
              <w:spacing w:before="0" w:beforeAutospacing="0" w:after="0" w:afterAutospacing="0" w:line="360" w:lineRule="auto"/>
              <w:ind w:left="-28" w:right="0"/>
              <w:rPr>
                <w:rFonts w:hint="eastAsia" w:ascii="宋体" w:hAnsi="宋体" w:eastAsia="宋体" w:cs="宋体"/>
                <w:color w:val="auto"/>
                <w:highlight w:val="none"/>
              </w:rPr>
            </w:pPr>
          </w:p>
          <w:p w14:paraId="7EEAAD40">
            <w:pPr>
              <w:keepNext w:val="0"/>
              <w:keepLines w:val="0"/>
              <w:suppressLineNumbers w:val="0"/>
              <w:spacing w:before="0" w:beforeAutospacing="0" w:after="0" w:afterAutospacing="0" w:line="360" w:lineRule="auto"/>
              <w:ind w:left="-28" w:right="0"/>
              <w:rPr>
                <w:rFonts w:hint="eastAsia" w:ascii="宋体" w:hAnsi="宋体" w:eastAsia="宋体" w:cs="宋体"/>
                <w:color w:val="auto"/>
                <w:highlight w:val="none"/>
              </w:rPr>
            </w:pPr>
            <w:r>
              <w:rPr>
                <w:rFonts w:hint="eastAsia" w:ascii="宋体" w:hAnsi="宋体" w:eastAsia="宋体" w:cs="宋体"/>
                <w:color w:val="auto"/>
                <w:highlight w:val="none"/>
              </w:rPr>
              <w:t xml:space="preserve">承包方式： </w:t>
            </w:r>
          </w:p>
          <w:p w14:paraId="319E294E">
            <w:pPr>
              <w:keepNext w:val="0"/>
              <w:keepLines w:val="0"/>
              <w:suppressLineNumbers w:val="0"/>
              <w:spacing w:before="0" w:beforeAutospacing="0" w:after="0" w:afterAutospacing="0" w:line="360" w:lineRule="auto"/>
              <w:ind w:left="-27" w:right="0" w:firstLine="320"/>
              <w:rPr>
                <w:rFonts w:hint="eastAsia" w:ascii="宋体" w:hAnsi="宋体" w:eastAsia="宋体" w:cs="宋体"/>
                <w:color w:val="auto"/>
                <w:highlight w:val="none"/>
              </w:rPr>
            </w:pPr>
            <w:r>
              <w:rPr>
                <w:rFonts w:hint="eastAsia" w:ascii="宋体" w:hAnsi="宋体" w:eastAsia="宋体" w:cs="宋体"/>
                <w:color w:val="auto"/>
                <w:sz w:val="32"/>
                <w:highlight w:val="none"/>
              </w:rPr>
              <w:t>□</w:t>
            </w:r>
            <w:r>
              <w:rPr>
                <w:rFonts w:hint="eastAsia" w:ascii="宋体" w:hAnsi="宋体" w:eastAsia="宋体" w:cs="宋体"/>
                <w:color w:val="auto"/>
                <w:highlight w:val="none"/>
              </w:rPr>
              <w:t>无分包；</w:t>
            </w:r>
            <w:r>
              <w:rPr>
                <w:rFonts w:hint="eastAsia" w:ascii="宋体" w:hAnsi="宋体" w:eastAsia="宋体" w:cs="宋体"/>
                <w:color w:val="auto"/>
                <w:sz w:val="32"/>
                <w:highlight w:val="none"/>
              </w:rPr>
              <w:t>□</w:t>
            </w:r>
            <w:r>
              <w:rPr>
                <w:rFonts w:hint="eastAsia" w:ascii="宋体" w:hAnsi="宋体" w:eastAsia="宋体" w:cs="宋体"/>
                <w:color w:val="auto"/>
                <w:highlight w:val="none"/>
              </w:rPr>
              <w:t>有分包，并已审核。</w:t>
            </w:r>
          </w:p>
          <w:p w14:paraId="57E99B35">
            <w:pPr>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开工准备情况：</w:t>
            </w:r>
          </w:p>
          <w:p w14:paraId="5895D8C2">
            <w:pPr>
              <w:keepNext w:val="0"/>
              <w:keepLines w:val="0"/>
              <w:suppressLineNumbers w:val="0"/>
              <w:spacing w:before="0" w:beforeAutospacing="0" w:after="0" w:afterAutospacing="0" w:line="360" w:lineRule="auto"/>
              <w:ind w:left="0" w:right="0" w:firstLine="320"/>
              <w:rPr>
                <w:rFonts w:hint="eastAsia" w:ascii="宋体" w:hAnsi="宋体" w:eastAsia="宋体" w:cs="宋体"/>
                <w:color w:val="auto"/>
                <w:highlight w:val="none"/>
              </w:rPr>
            </w:pPr>
            <w:r>
              <w:rPr>
                <w:rFonts w:hint="eastAsia" w:ascii="宋体" w:hAnsi="宋体" w:eastAsia="宋体" w:cs="宋体"/>
                <w:color w:val="auto"/>
                <w:sz w:val="32"/>
                <w:highlight w:val="none"/>
              </w:rPr>
              <w:t>□</w:t>
            </w:r>
            <w:r>
              <w:rPr>
                <w:rFonts w:hint="eastAsia" w:ascii="宋体" w:hAnsi="宋体" w:eastAsia="宋体" w:cs="宋体"/>
                <w:color w:val="auto"/>
                <w:highlight w:val="none"/>
              </w:rPr>
              <w:t xml:space="preserve">施工组织设计（方案）已审批          </w:t>
            </w:r>
            <w:r>
              <w:rPr>
                <w:rFonts w:hint="eastAsia" w:ascii="宋体" w:hAnsi="宋体" w:eastAsia="宋体" w:cs="宋体"/>
                <w:color w:val="auto"/>
                <w:sz w:val="32"/>
                <w:highlight w:val="none"/>
              </w:rPr>
              <w:t>□</w:t>
            </w:r>
            <w:r>
              <w:rPr>
                <w:rFonts w:hint="eastAsia" w:ascii="宋体" w:hAnsi="宋体" w:eastAsia="宋体" w:cs="宋体"/>
                <w:color w:val="auto"/>
                <w:highlight w:val="none"/>
              </w:rPr>
              <w:t>资金已落实</w:t>
            </w:r>
          </w:p>
          <w:p w14:paraId="4E5D1335">
            <w:pPr>
              <w:keepNext w:val="0"/>
              <w:keepLines w:val="0"/>
              <w:suppressLineNumbers w:val="0"/>
              <w:tabs>
                <w:tab w:val="left" w:pos="4212"/>
              </w:tabs>
              <w:spacing w:before="0" w:beforeAutospacing="0" w:after="0" w:afterAutospacing="0" w:line="360" w:lineRule="auto"/>
              <w:ind w:left="0" w:right="0" w:firstLine="320"/>
              <w:rPr>
                <w:rFonts w:hint="eastAsia" w:ascii="宋体" w:hAnsi="宋体" w:eastAsia="宋体" w:cs="宋体"/>
                <w:color w:val="auto"/>
                <w:highlight w:val="none"/>
              </w:rPr>
            </w:pPr>
            <w:r>
              <w:rPr>
                <w:rFonts w:hint="eastAsia" w:ascii="宋体" w:hAnsi="宋体" w:eastAsia="宋体" w:cs="宋体"/>
                <w:color w:val="auto"/>
                <w:sz w:val="32"/>
                <w:highlight w:val="none"/>
              </w:rPr>
              <w:t>□</w:t>
            </w:r>
            <w:r>
              <w:rPr>
                <w:rFonts w:hint="eastAsia" w:ascii="宋体" w:hAnsi="宋体" w:eastAsia="宋体" w:cs="宋体"/>
                <w:color w:val="auto"/>
                <w:highlight w:val="none"/>
              </w:rPr>
              <w:t xml:space="preserve">施工图纸已会审并交底                </w:t>
            </w:r>
            <w:r>
              <w:rPr>
                <w:rFonts w:hint="eastAsia" w:ascii="宋体" w:hAnsi="宋体" w:eastAsia="宋体" w:cs="宋体"/>
                <w:color w:val="auto"/>
                <w:sz w:val="32"/>
                <w:highlight w:val="none"/>
              </w:rPr>
              <w:t>□</w:t>
            </w:r>
            <w:r>
              <w:rPr>
                <w:rFonts w:hint="eastAsia" w:ascii="宋体" w:hAnsi="宋体" w:eastAsia="宋体" w:cs="宋体"/>
                <w:color w:val="auto"/>
                <w:highlight w:val="none"/>
              </w:rPr>
              <w:t>劳动力安排就绪并已进场</w:t>
            </w:r>
          </w:p>
          <w:p w14:paraId="3A358EAB">
            <w:pPr>
              <w:keepNext w:val="0"/>
              <w:keepLines w:val="0"/>
              <w:suppressLineNumbers w:val="0"/>
              <w:spacing w:before="0" w:beforeAutospacing="0" w:after="0" w:afterAutospacing="0" w:line="360" w:lineRule="auto"/>
              <w:ind w:left="0" w:right="0" w:firstLine="320"/>
              <w:rPr>
                <w:rFonts w:hint="eastAsia" w:ascii="宋体" w:hAnsi="宋体" w:eastAsia="宋体" w:cs="宋体"/>
                <w:color w:val="auto"/>
                <w:highlight w:val="none"/>
              </w:rPr>
            </w:pPr>
            <w:r>
              <w:rPr>
                <w:rFonts w:hint="eastAsia" w:ascii="宋体" w:hAnsi="宋体" w:eastAsia="宋体" w:cs="宋体"/>
                <w:color w:val="auto"/>
                <w:sz w:val="32"/>
                <w:highlight w:val="none"/>
              </w:rPr>
              <w:t>□</w:t>
            </w:r>
            <w:r>
              <w:rPr>
                <w:rFonts w:hint="eastAsia" w:ascii="宋体" w:hAnsi="宋体" w:eastAsia="宋体" w:cs="宋体"/>
                <w:color w:val="auto"/>
                <w:highlight w:val="none"/>
              </w:rPr>
              <w:t xml:space="preserve">开工所需的材料、机具已进场          </w:t>
            </w:r>
            <w:r>
              <w:rPr>
                <w:rFonts w:hint="eastAsia" w:ascii="宋体" w:hAnsi="宋体" w:eastAsia="宋体" w:cs="宋体"/>
                <w:color w:val="auto"/>
                <w:sz w:val="32"/>
                <w:highlight w:val="none"/>
              </w:rPr>
              <w:t>□</w:t>
            </w:r>
            <w:r>
              <w:rPr>
                <w:rFonts w:hint="eastAsia" w:ascii="宋体" w:hAnsi="宋体" w:eastAsia="宋体" w:cs="宋体"/>
                <w:color w:val="auto"/>
                <w:highlight w:val="none"/>
              </w:rPr>
              <w:t>其他开工条件已具备</w:t>
            </w:r>
          </w:p>
          <w:p w14:paraId="5056CC67">
            <w:pPr>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p>
          <w:p w14:paraId="0F7BC3F0">
            <w:pPr>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承包人（章）                 </w:t>
            </w:r>
          </w:p>
          <w:p w14:paraId="51429F96">
            <w:pPr>
              <w:keepNext w:val="0"/>
              <w:keepLines w:val="0"/>
              <w:suppressLineNumbers w:val="0"/>
              <w:spacing w:before="0" w:beforeAutospacing="0" w:after="0" w:afterAutospacing="0" w:line="360" w:lineRule="auto"/>
              <w:ind w:left="0" w:right="0" w:firstLine="5250" w:firstLineChars="2500"/>
              <w:rPr>
                <w:rFonts w:hint="eastAsia" w:ascii="宋体" w:hAnsi="宋体" w:eastAsia="宋体" w:cs="宋体"/>
                <w:color w:val="auto"/>
                <w:highlight w:val="none"/>
                <w:u w:val="single"/>
              </w:rPr>
            </w:pPr>
            <w:r>
              <w:rPr>
                <w:rFonts w:hint="eastAsia" w:ascii="宋体" w:hAnsi="宋体" w:eastAsia="宋体" w:cs="宋体"/>
                <w:color w:val="auto"/>
                <w:highlight w:val="none"/>
              </w:rPr>
              <w:t>承包人代表</w:t>
            </w:r>
            <w:r>
              <w:rPr>
                <w:rFonts w:hint="eastAsia" w:ascii="宋体" w:hAnsi="宋体" w:eastAsia="宋体" w:cs="宋体"/>
                <w:color w:val="auto"/>
                <w:highlight w:val="none"/>
                <w:u w:val="single"/>
              </w:rPr>
              <w:t xml:space="preserve">               </w:t>
            </w:r>
          </w:p>
          <w:p w14:paraId="5342D9C6">
            <w:pPr>
              <w:keepNext w:val="0"/>
              <w:keepLines w:val="0"/>
              <w:suppressLineNumbers w:val="0"/>
              <w:snapToGrid w:val="0"/>
              <w:spacing w:before="0" w:beforeAutospacing="0" w:after="0" w:afterAutospacing="0" w:line="360" w:lineRule="auto"/>
              <w:ind w:left="0" w:right="0" w:firstLine="5250" w:firstLineChars="25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tc>
      </w:tr>
      <w:tr w14:paraId="3B950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42" w:hRule="atLeast"/>
        </w:trPr>
        <w:tc>
          <w:tcPr>
            <w:tcW w:w="4298" w:type="dxa"/>
            <w:tcBorders>
              <w:bottom w:val="single" w:color="auto" w:sz="6" w:space="0"/>
            </w:tcBorders>
          </w:tcPr>
          <w:p w14:paraId="5A9A4243">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复核意见： </w:t>
            </w:r>
          </w:p>
          <w:p w14:paraId="1363F14E">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highlight w:val="none"/>
              </w:rPr>
            </w:pPr>
          </w:p>
          <w:p w14:paraId="7BA4E635">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监理单位（章）              </w:t>
            </w:r>
          </w:p>
          <w:p w14:paraId="096A2FE4">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监理工程师 </w:t>
            </w:r>
            <w:r>
              <w:rPr>
                <w:rFonts w:hint="eastAsia" w:ascii="宋体" w:hAnsi="宋体" w:eastAsia="宋体" w:cs="宋体"/>
                <w:color w:val="auto"/>
                <w:highlight w:val="none"/>
                <w:u w:val="single"/>
              </w:rPr>
              <w:t xml:space="preserve">           </w:t>
            </w:r>
          </w:p>
          <w:p w14:paraId="43284183">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 xml:space="preserve">               日      期 </w:t>
            </w:r>
            <w:r>
              <w:rPr>
                <w:rFonts w:hint="eastAsia" w:ascii="宋体" w:hAnsi="宋体" w:eastAsia="宋体" w:cs="宋体"/>
                <w:color w:val="auto"/>
                <w:highlight w:val="none"/>
                <w:u w:val="single"/>
              </w:rPr>
              <w:t xml:space="preserve">           </w:t>
            </w:r>
          </w:p>
        </w:tc>
        <w:tc>
          <w:tcPr>
            <w:tcW w:w="5036" w:type="dxa"/>
            <w:tcBorders>
              <w:bottom w:val="single" w:color="auto" w:sz="6" w:space="0"/>
            </w:tcBorders>
          </w:tcPr>
          <w:p w14:paraId="748B0AFF">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审批意见：   </w:t>
            </w:r>
          </w:p>
          <w:p w14:paraId="756262C5">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highlight w:val="none"/>
              </w:rPr>
            </w:pPr>
          </w:p>
          <w:p w14:paraId="4C7F86B2">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r>
              <w:rPr>
                <w:rFonts w:hint="eastAsia" w:ascii="宋体" w:hAnsi="宋体" w:eastAsia="宋体" w:cs="宋体"/>
                <w:color w:val="auto"/>
                <w:sz w:val="18"/>
                <w:highlight w:val="none"/>
              </w:rPr>
              <w:t xml:space="preserve">  </w:t>
            </w:r>
            <w:r>
              <w:rPr>
                <w:rFonts w:hint="eastAsia" w:ascii="宋体" w:hAnsi="宋体" w:eastAsia="宋体" w:cs="宋体"/>
                <w:color w:val="auto"/>
                <w:highlight w:val="none"/>
              </w:rPr>
              <w:t xml:space="preserve">          发包人（章）      </w:t>
            </w:r>
          </w:p>
          <w:p w14:paraId="40139166">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 w:val="18"/>
                <w:highlight w:val="none"/>
              </w:rPr>
              <w:t xml:space="preserve">  </w:t>
            </w:r>
            <w:r>
              <w:rPr>
                <w:rFonts w:hint="eastAsia" w:ascii="宋体" w:hAnsi="宋体" w:eastAsia="宋体" w:cs="宋体"/>
                <w:color w:val="auto"/>
                <w:highlight w:val="none"/>
              </w:rPr>
              <w:t xml:space="preserve">          发包人代表 </w:t>
            </w:r>
            <w:r>
              <w:rPr>
                <w:rFonts w:hint="eastAsia" w:ascii="宋体" w:hAnsi="宋体" w:eastAsia="宋体" w:cs="宋体"/>
                <w:color w:val="auto"/>
                <w:highlight w:val="none"/>
                <w:u w:val="single"/>
              </w:rPr>
              <w:t xml:space="preserve">         </w:t>
            </w:r>
          </w:p>
          <w:p w14:paraId="30716059">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 w:val="30"/>
                <w:highlight w:val="none"/>
              </w:rPr>
              <w:t xml:space="preserve">      </w:t>
            </w:r>
            <w:r>
              <w:rPr>
                <w:rFonts w:hint="eastAsia" w:ascii="宋体" w:hAnsi="宋体" w:eastAsia="宋体" w:cs="宋体"/>
                <w:color w:val="auto"/>
                <w:highlight w:val="none"/>
              </w:rPr>
              <w:t xml:space="preserve">日      期 </w:t>
            </w:r>
            <w:r>
              <w:rPr>
                <w:rFonts w:hint="eastAsia" w:ascii="宋体" w:hAnsi="宋体" w:eastAsia="宋体" w:cs="宋体"/>
                <w:color w:val="auto"/>
                <w:highlight w:val="none"/>
                <w:u w:val="single"/>
              </w:rPr>
              <w:t xml:space="preserve">         </w:t>
            </w:r>
          </w:p>
        </w:tc>
      </w:tr>
    </w:tbl>
    <w:p w14:paraId="5A696D6C">
      <w:pPr>
        <w:spacing w:before="120"/>
        <w:rPr>
          <w:rFonts w:hint="eastAsia" w:ascii="宋体" w:hAnsi="宋体" w:eastAsia="宋体" w:cs="宋体"/>
          <w:color w:val="auto"/>
          <w:highlight w:val="none"/>
        </w:rPr>
      </w:pPr>
      <w:r>
        <w:rPr>
          <w:rFonts w:hint="eastAsia" w:ascii="宋体" w:hAnsi="宋体" w:eastAsia="宋体" w:cs="宋体"/>
          <w:color w:val="auto"/>
          <w:highlight w:val="none"/>
        </w:rPr>
        <w:t>说明：1．在需要选择的栏中的“</w:t>
      </w:r>
      <w:r>
        <w:rPr>
          <w:rFonts w:hint="eastAsia" w:ascii="宋体" w:hAnsi="宋体" w:eastAsia="宋体" w:cs="宋体"/>
          <w:color w:val="auto"/>
          <w:sz w:val="32"/>
          <w:highlight w:val="none"/>
        </w:rPr>
        <w:t>□</w:t>
      </w:r>
      <w:r>
        <w:rPr>
          <w:rFonts w:hint="eastAsia" w:ascii="宋体" w:hAnsi="宋体" w:eastAsia="宋体" w:cs="宋体"/>
          <w:color w:val="auto"/>
          <w:highlight w:val="none"/>
        </w:rPr>
        <w:t>”内作标识“√”。</w:t>
      </w:r>
    </w:p>
    <w:p w14:paraId="571A9B2C">
      <w:pPr>
        <w:ind w:left="718" w:leftChars="342"/>
        <w:rPr>
          <w:rFonts w:hint="eastAsia" w:ascii="宋体" w:hAnsi="宋体" w:eastAsia="宋体" w:cs="宋体"/>
          <w:color w:val="auto"/>
          <w:highlight w:val="none"/>
        </w:rPr>
      </w:pPr>
      <w:r>
        <w:rPr>
          <w:rFonts w:hint="eastAsia" w:ascii="宋体" w:hAnsi="宋体" w:eastAsia="宋体" w:cs="宋体"/>
          <w:color w:val="auto"/>
          <w:highlight w:val="none"/>
        </w:rPr>
        <w:t>2．本表一式四份，由承包人、监理人、建设管理单位、发包人按合同规定程序填制，并各存一份。</w:t>
      </w:r>
    </w:p>
    <w:p w14:paraId="41075A15">
      <w:pPr>
        <w:pStyle w:val="6"/>
        <w:ind w:firstLine="0" w:firstLineChars="0"/>
        <w:rPr>
          <w:rFonts w:hint="eastAsia" w:ascii="宋体" w:hAnsi="宋体" w:eastAsia="宋体" w:cs="宋体"/>
          <w:color w:val="auto"/>
          <w:sz w:val="24"/>
          <w:highlight w:val="none"/>
        </w:rPr>
      </w:pPr>
      <w:r>
        <w:rPr>
          <w:rFonts w:hint="eastAsia" w:ascii="宋体" w:hAnsi="宋体" w:eastAsia="宋体" w:cs="宋体"/>
          <w:color w:val="auto"/>
          <w:highlight w:val="none"/>
        </w:rPr>
        <w:br w:type="page"/>
      </w:r>
      <w:r>
        <w:rPr>
          <w:rFonts w:hint="eastAsia" w:ascii="宋体" w:hAnsi="宋体" w:eastAsia="宋体" w:cs="宋体"/>
          <w:b/>
          <w:color w:val="auto"/>
          <w:kern w:val="0"/>
          <w:sz w:val="24"/>
          <w:highlight w:val="none"/>
        </w:rPr>
        <w:t>附件五：</w:t>
      </w:r>
    </w:p>
    <w:p w14:paraId="2B8463DC">
      <w:pPr>
        <w:spacing w:before="120" w:beforeLines="50" w:after="120" w:afterLines="50" w:line="360" w:lineRule="auto"/>
        <w:outlineLvl w:val="1"/>
        <w:rPr>
          <w:rFonts w:hint="eastAsia" w:ascii="宋体" w:hAnsi="宋体" w:eastAsia="宋体" w:cs="宋体"/>
          <w:color w:val="auto"/>
          <w:highlight w:val="none"/>
        </w:rPr>
      </w:pPr>
    </w:p>
    <w:p w14:paraId="57EEAB3B">
      <w:pPr>
        <w:spacing w:line="360" w:lineRule="auto"/>
        <w:jc w:val="center"/>
        <w:rPr>
          <w:rFonts w:hint="eastAsia" w:ascii="宋体" w:hAnsi="宋体" w:eastAsia="宋体" w:cs="宋体"/>
          <w:b/>
          <w:bCs/>
          <w:color w:val="auto"/>
          <w:spacing w:val="30"/>
          <w:sz w:val="36"/>
          <w:szCs w:val="36"/>
          <w:highlight w:val="none"/>
        </w:rPr>
      </w:pPr>
      <w:r>
        <w:rPr>
          <w:rFonts w:hint="eastAsia" w:ascii="宋体" w:hAnsi="宋体" w:eastAsia="宋体" w:cs="宋体"/>
          <w:b/>
          <w:bCs/>
          <w:color w:val="auto"/>
          <w:spacing w:val="30"/>
          <w:sz w:val="36"/>
          <w:szCs w:val="36"/>
          <w:highlight w:val="none"/>
        </w:rPr>
        <w:t>暂停施工令</w:t>
      </w:r>
    </w:p>
    <w:p w14:paraId="7E5041A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工程名称：</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 xml:space="preserve">    编号：</w:t>
      </w:r>
    </w:p>
    <w:tbl>
      <w:tblPr>
        <w:tblStyle w:val="45"/>
        <w:tblW w:w="1045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8"/>
      </w:tblGrid>
      <w:tr w14:paraId="406C4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98" w:hRule="atLeast"/>
          <w:jc w:val="center"/>
        </w:trPr>
        <w:tc>
          <w:tcPr>
            <w:tcW w:w="10458" w:type="dxa"/>
          </w:tcPr>
          <w:p w14:paraId="25EEF258">
            <w:pPr>
              <w:keepNext w:val="0"/>
              <w:keepLines w:val="0"/>
              <w:suppressLineNumbers w:val="0"/>
              <w:spacing w:before="12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（承包人全称）</w:t>
            </w:r>
          </w:p>
          <w:p w14:paraId="6BFE016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由于</w:t>
            </w:r>
            <w:r>
              <w:rPr>
                <w:rFonts w:hint="eastAsia" w:ascii="宋体" w:hAnsi="宋体" w:eastAsia="宋体" w:cs="宋体"/>
                <w:color w:val="auto"/>
                <w:highlight w:val="none"/>
                <w:u w:val="single"/>
              </w:rPr>
              <w:t xml:space="preserve">                                                                    </w:t>
            </w:r>
          </w:p>
          <w:p w14:paraId="3499FAE1">
            <w:pPr>
              <w:keepNext w:val="0"/>
              <w:keepLines w:val="0"/>
              <w:suppressLineNumbers w:val="0"/>
              <w:spacing w:before="0" w:beforeAutospacing="0" w:after="0" w:afterAutospacing="0" w:line="360" w:lineRule="auto"/>
              <w:ind w:left="-28" w:right="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14:paraId="7F9525B2">
            <w:pPr>
              <w:keepNext w:val="0"/>
              <w:keepLines w:val="0"/>
              <w:suppressLineNumbers w:val="0"/>
              <w:spacing w:before="0" w:beforeAutospacing="0" w:after="0" w:afterAutospacing="0" w:line="360" w:lineRule="auto"/>
              <w:ind w:left="-27" w:leftChars="-13" w:right="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14:paraId="592839C6">
            <w:pPr>
              <w:keepNext w:val="0"/>
              <w:keepLines w:val="0"/>
              <w:suppressLineNumbers w:val="0"/>
              <w:spacing w:before="0" w:beforeAutospacing="0" w:after="0" w:afterAutospacing="0" w:line="360" w:lineRule="auto"/>
              <w:ind w:left="-27" w:leftChars="-13" w:right="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14:paraId="62073789">
            <w:pPr>
              <w:keepNext w:val="0"/>
              <w:keepLines w:val="0"/>
              <w:suppressLineNumbers w:val="0"/>
              <w:spacing w:before="0" w:beforeAutospacing="0" w:after="0" w:afterAutospacing="0" w:line="360" w:lineRule="auto"/>
              <w:ind w:left="420" w:right="0" w:hanging="420" w:hangingChars="20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的原因，现通知你方必须于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6DFB4CE4">
            <w:pPr>
              <w:keepNext w:val="0"/>
              <w:keepLines w:val="0"/>
              <w:suppressLineNumbers w:val="0"/>
              <w:spacing w:before="0" w:beforeAutospacing="0" w:after="0" w:afterAutospacing="0" w:line="360" w:lineRule="auto"/>
              <w:ind w:left="420" w:right="0" w:hanging="420" w:hangingChars="20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时起，对本工程的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部位（工序）实施</w:t>
            </w:r>
          </w:p>
          <w:p w14:paraId="240F9B6D">
            <w:pPr>
              <w:keepNext w:val="0"/>
              <w:keepLines w:val="0"/>
              <w:suppressLineNumbers w:val="0"/>
              <w:spacing w:before="0" w:beforeAutospacing="0" w:after="0" w:afterAutospacing="0" w:line="360" w:lineRule="auto"/>
              <w:ind w:left="420" w:right="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暂停施工，并按下述要求做好各项工作：</w:t>
            </w:r>
          </w:p>
          <w:p w14:paraId="77145D70">
            <w:pPr>
              <w:keepNext w:val="0"/>
              <w:keepLines w:val="0"/>
              <w:suppressLineNumbers w:val="0"/>
              <w:spacing w:before="0" w:beforeAutospacing="0" w:after="0" w:afterAutospacing="0" w:line="360" w:lineRule="auto"/>
              <w:ind w:left="-28" w:right="0"/>
              <w:rPr>
                <w:rFonts w:hint="eastAsia" w:ascii="宋体" w:hAnsi="宋体" w:eastAsia="宋体" w:cs="宋体"/>
                <w:color w:val="auto"/>
                <w:highlight w:val="none"/>
              </w:rPr>
            </w:pPr>
          </w:p>
          <w:p w14:paraId="22278CBB">
            <w:pPr>
              <w:keepNext w:val="0"/>
              <w:keepLines w:val="0"/>
              <w:suppressLineNumbers w:val="0"/>
              <w:spacing w:before="0" w:beforeAutospacing="0" w:after="0" w:afterAutospacing="0" w:line="360" w:lineRule="auto"/>
              <w:ind w:left="-28" w:right="0"/>
              <w:rPr>
                <w:rFonts w:hint="eastAsia" w:ascii="宋体" w:hAnsi="宋体" w:eastAsia="宋体" w:cs="宋体"/>
                <w:color w:val="auto"/>
                <w:highlight w:val="none"/>
              </w:rPr>
            </w:pPr>
          </w:p>
          <w:p w14:paraId="0C776BC2">
            <w:pPr>
              <w:keepNext w:val="0"/>
              <w:keepLines w:val="0"/>
              <w:suppressLineNumbers w:val="0"/>
              <w:spacing w:before="0" w:beforeAutospacing="0" w:after="0" w:afterAutospacing="0" w:line="360" w:lineRule="auto"/>
              <w:ind w:left="0" w:right="0" w:firstLine="5890" w:firstLineChars="2805"/>
              <w:rPr>
                <w:rFonts w:hint="eastAsia" w:ascii="宋体" w:hAnsi="宋体" w:eastAsia="宋体" w:cs="宋体"/>
                <w:color w:val="auto"/>
                <w:highlight w:val="none"/>
              </w:rPr>
            </w:pPr>
          </w:p>
          <w:p w14:paraId="2F53370E">
            <w:pPr>
              <w:keepNext w:val="0"/>
              <w:keepLines w:val="0"/>
              <w:suppressLineNumbers w:val="0"/>
              <w:spacing w:before="0" w:beforeAutospacing="0" w:after="0" w:afterAutospacing="0" w:line="360" w:lineRule="auto"/>
              <w:ind w:left="0" w:right="0" w:firstLine="5890" w:firstLineChars="2805"/>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监理单位（章）           </w:t>
            </w:r>
          </w:p>
          <w:p w14:paraId="21354A76">
            <w:pPr>
              <w:keepNext w:val="0"/>
              <w:keepLines w:val="0"/>
              <w:suppressLineNumbers w:val="0"/>
              <w:spacing w:before="0" w:beforeAutospacing="0" w:after="0" w:afterAutospacing="0" w:line="360" w:lineRule="auto"/>
              <w:ind w:left="0" w:right="0" w:firstLine="5890" w:firstLineChars="2805"/>
              <w:rPr>
                <w:rFonts w:hint="eastAsia" w:ascii="宋体" w:hAnsi="宋体" w:eastAsia="宋体" w:cs="宋体"/>
                <w:color w:val="auto"/>
                <w:highlight w:val="none"/>
                <w:u w:val="single"/>
              </w:rPr>
            </w:pPr>
            <w:r>
              <w:rPr>
                <w:rFonts w:hint="eastAsia" w:ascii="宋体" w:hAnsi="宋体" w:eastAsia="宋体" w:cs="宋体"/>
                <w:color w:val="auto"/>
                <w:highlight w:val="none"/>
              </w:rPr>
              <w:t>监理工程师</w:t>
            </w:r>
            <w:r>
              <w:rPr>
                <w:rFonts w:hint="eastAsia" w:ascii="宋体" w:hAnsi="宋体" w:eastAsia="宋体" w:cs="宋体"/>
                <w:color w:val="auto"/>
                <w:highlight w:val="none"/>
                <w:u w:val="single"/>
              </w:rPr>
              <w:t xml:space="preserve">               </w:t>
            </w:r>
          </w:p>
          <w:p w14:paraId="456D1B6B">
            <w:pPr>
              <w:keepNext w:val="0"/>
              <w:keepLines w:val="0"/>
              <w:suppressLineNumbers w:val="0"/>
              <w:spacing w:before="0" w:beforeAutospacing="0" w:after="0" w:afterAutospacing="0" w:line="360" w:lineRule="auto"/>
              <w:ind w:left="0" w:right="0" w:firstLine="5890" w:firstLineChars="2805"/>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tc>
      </w:tr>
    </w:tbl>
    <w:p w14:paraId="2BD2176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说明： 本表一式四份，由监理工程师填制，并连同发包人、承包人各存一份。</w:t>
      </w:r>
    </w:p>
    <w:p w14:paraId="55C0F6D0">
      <w:pPr>
        <w:outlineLvl w:val="2"/>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p>
    <w:p w14:paraId="7A7F3D55">
      <w:pPr>
        <w:pStyle w:val="6"/>
        <w:ind w:firstLine="0" w:firstLineChars="0"/>
        <w:rPr>
          <w:rFonts w:hint="eastAsia" w:ascii="宋体" w:hAnsi="宋体" w:eastAsia="宋体" w:cs="宋体"/>
          <w:color w:val="auto"/>
          <w:sz w:val="24"/>
          <w:highlight w:val="none"/>
        </w:rPr>
      </w:pPr>
      <w:r>
        <w:rPr>
          <w:rFonts w:hint="eastAsia" w:ascii="宋体" w:hAnsi="宋体" w:eastAsia="宋体" w:cs="宋体"/>
          <w:b/>
          <w:color w:val="auto"/>
          <w:kern w:val="0"/>
          <w:sz w:val="24"/>
          <w:highlight w:val="none"/>
        </w:rPr>
        <w:t>附件六：</w:t>
      </w:r>
    </w:p>
    <w:tbl>
      <w:tblPr>
        <w:tblStyle w:val="45"/>
        <w:tblW w:w="10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0"/>
      </w:tblGrid>
      <w:tr w14:paraId="1D7E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40" w:type="dxa"/>
            <w:tcBorders>
              <w:top w:val="nil"/>
              <w:left w:val="nil"/>
              <w:bottom w:val="nil"/>
              <w:right w:val="nil"/>
            </w:tcBorders>
          </w:tcPr>
          <w:p w14:paraId="02983808">
            <w:pPr>
              <w:keepNext w:val="0"/>
              <w:keepLines w:val="0"/>
              <w:suppressLineNumbers w:val="0"/>
              <w:spacing w:before="0" w:beforeAutospacing="0" w:after="0" w:afterAutospacing="0"/>
              <w:ind w:left="0" w:right="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表(1）                              </w:t>
            </w:r>
          </w:p>
          <w:p w14:paraId="0C365D73">
            <w:pPr>
              <w:keepNext w:val="0"/>
              <w:keepLines w:val="0"/>
              <w:suppressLineNumbers w:val="0"/>
              <w:spacing w:before="0" w:beforeAutospacing="0" w:after="0" w:afterAutospacing="0"/>
              <w:ind w:left="0" w:right="0"/>
              <w:jc w:val="center"/>
              <w:rPr>
                <w:rFonts w:hint="eastAsia" w:ascii="宋体" w:hAnsi="宋体" w:eastAsia="宋体" w:cs="宋体"/>
                <w:b/>
                <w:color w:val="auto"/>
                <w:sz w:val="38"/>
                <w:szCs w:val="38"/>
                <w:highlight w:val="none"/>
              </w:rPr>
            </w:pPr>
            <w:r>
              <w:rPr>
                <w:rFonts w:hint="eastAsia" w:ascii="宋体" w:hAnsi="宋体" w:eastAsia="宋体" w:cs="宋体"/>
                <w:b/>
                <w:color w:val="auto"/>
                <w:sz w:val="38"/>
                <w:szCs w:val="38"/>
                <w:highlight w:val="none"/>
              </w:rPr>
              <w:t>工程签证申请单</w:t>
            </w:r>
          </w:p>
          <w:p w14:paraId="73FA2B1E">
            <w:pPr>
              <w:keepNext w:val="0"/>
              <w:keepLines w:val="0"/>
              <w:suppressLineNumbers w:val="0"/>
              <w:spacing w:before="0" w:beforeAutospacing="0" w:after="0" w:afterAutospacing="0"/>
              <w:ind w:left="0" w:right="0" w:firstLine="1424" w:firstLineChars="788"/>
              <w:rPr>
                <w:rFonts w:hint="eastAsia" w:ascii="宋体" w:hAnsi="宋体" w:eastAsia="宋体" w:cs="宋体"/>
                <w:b/>
                <w:color w:val="auto"/>
                <w:sz w:val="18"/>
                <w:szCs w:val="18"/>
                <w:highlight w:val="none"/>
              </w:rPr>
            </w:pPr>
          </w:p>
          <w:p w14:paraId="6CAB84E1">
            <w:pPr>
              <w:keepNext w:val="0"/>
              <w:keepLines w:val="0"/>
              <w:suppressLineNumbers w:val="0"/>
              <w:spacing w:before="0" w:beforeAutospacing="0" w:after="0" w:afterAutospacing="0"/>
              <w:ind w:left="0" w:right="0" w:firstLine="240" w:firstLineChars="100"/>
              <w:rPr>
                <w:rFonts w:hint="eastAsia" w:ascii="宋体" w:hAnsi="宋体" w:eastAsia="宋体" w:cs="宋体"/>
                <w:color w:val="auto"/>
                <w:szCs w:val="21"/>
                <w:highlight w:val="none"/>
              </w:rPr>
            </w:pPr>
            <w:r>
              <w:rPr>
                <w:rFonts w:hint="eastAsia" w:ascii="宋体" w:hAnsi="宋体" w:eastAsia="宋体" w:cs="宋体"/>
                <w:color w:val="auto"/>
                <w:sz w:val="24"/>
                <w:highlight w:val="none"/>
              </w:rPr>
              <w:t xml:space="preserve">工程名称：    </w:t>
            </w:r>
            <w:r>
              <w:rPr>
                <w:rFonts w:hint="eastAsia" w:ascii="宋体" w:hAnsi="宋体" w:eastAsia="宋体" w:cs="宋体"/>
                <w:color w:val="auto"/>
                <w:szCs w:val="21"/>
                <w:highlight w:val="none"/>
              </w:rPr>
              <w:t xml:space="preserve">                                                    申请单编号：SJZD-QZSQ-00X</w:t>
            </w:r>
          </w:p>
          <w:p w14:paraId="4C4917BE">
            <w:pPr>
              <w:keepNext w:val="0"/>
              <w:keepLines w:val="0"/>
              <w:suppressLineNumbers w:val="0"/>
              <w:spacing w:before="0" w:beforeAutospacing="0" w:after="0" w:afterAutospacing="0"/>
              <w:ind w:left="0" w:right="0" w:firstLine="210" w:firstLineChars="100"/>
              <w:rPr>
                <w:rFonts w:hint="eastAsia" w:ascii="宋体" w:hAnsi="宋体" w:eastAsia="宋体" w:cs="宋体"/>
                <w:color w:val="auto"/>
                <w:szCs w:val="21"/>
                <w:highlight w:val="none"/>
              </w:rPr>
            </w:pPr>
          </w:p>
          <w:tbl>
            <w:tblPr>
              <w:tblStyle w:val="45"/>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4007"/>
              <w:gridCol w:w="4344"/>
            </w:tblGrid>
            <w:tr w14:paraId="1F1F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80" w:type="dxa"/>
                  <w:gridSpan w:val="3"/>
                  <w:tcBorders>
                    <w:top w:val="single" w:color="auto" w:sz="4" w:space="0"/>
                    <w:left w:val="single" w:color="auto" w:sz="4" w:space="0"/>
                    <w:bottom w:val="single" w:color="auto" w:sz="4" w:space="0"/>
                    <w:right w:val="single" w:color="auto" w:sz="4" w:space="0"/>
                  </w:tcBorders>
                  <w:vAlign w:val="center"/>
                </w:tcPr>
                <w:p w14:paraId="52366488">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关于</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的申请</w:t>
                  </w:r>
                </w:p>
                <w:p w14:paraId="34A9E241">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1、申请现场签证原因或依据： </w:t>
                  </w:r>
                </w:p>
                <w:p w14:paraId="371C3126">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559F8C06">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0F754100">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23CF5434">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2、申请现场签证内容及范围(苑区、标段、栋号)</w:t>
                  </w:r>
                </w:p>
                <w:p w14:paraId="40D5758A">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398D16D9">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5A3B7B29">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320451E8">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3、申请现场签证引起的造价成本变化(估算限额为上限)：</w:t>
                  </w:r>
                </w:p>
                <w:p w14:paraId="329D5630">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78A5F054">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4114CBE3">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4、附件：（各类工作联系单及附图） </w:t>
                  </w:r>
                </w:p>
                <w:p w14:paraId="08812592">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07C53C78">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6F92CC70">
                  <w:pPr>
                    <w:keepNext w:val="0"/>
                    <w:keepLines w:val="0"/>
                    <w:suppressLineNumbers w:val="0"/>
                    <w:spacing w:before="0" w:beforeAutospacing="0" w:after="0" w:afterAutospacing="0"/>
                    <w:ind w:left="0" w:right="0" w:firstLine="4320" w:firstLineChars="180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xml:space="preserve">项目经理：                 年   月   日  </w:t>
                  </w:r>
                </w:p>
              </w:tc>
            </w:tr>
            <w:tr w14:paraId="28C0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3B55982E">
                  <w:pPr>
                    <w:keepNext w:val="0"/>
                    <w:keepLines w:val="0"/>
                    <w:suppressLineNumbers w:val="0"/>
                    <w:spacing w:before="0" w:beforeAutospacing="0" w:after="0" w:afterAutospacing="0"/>
                    <w:ind w:left="0" w:right="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监理单位审批意见</w:t>
                  </w:r>
                </w:p>
              </w:tc>
              <w:tc>
                <w:tcPr>
                  <w:tcW w:w="8351" w:type="dxa"/>
                  <w:gridSpan w:val="2"/>
                  <w:tcBorders>
                    <w:top w:val="single" w:color="auto" w:sz="4" w:space="0"/>
                    <w:left w:val="single" w:color="auto" w:sz="4" w:space="0"/>
                    <w:bottom w:val="single" w:color="auto" w:sz="4" w:space="0"/>
                    <w:right w:val="single" w:color="auto" w:sz="4" w:space="0"/>
                  </w:tcBorders>
                  <w:vAlign w:val="center"/>
                </w:tcPr>
                <w:p w14:paraId="0CDEF62D">
                  <w:pPr>
                    <w:keepNext w:val="0"/>
                    <w:keepLines w:val="0"/>
                    <w:suppressLineNumbers w:val="0"/>
                    <w:spacing w:before="0" w:beforeAutospacing="0" w:after="0" w:afterAutospacing="0"/>
                    <w:ind w:left="0" w:right="0" w:firstLine="5040" w:firstLineChars="2100"/>
                    <w:rPr>
                      <w:rFonts w:hint="eastAsia" w:ascii="宋体" w:hAnsi="宋体" w:eastAsia="宋体" w:cs="宋体"/>
                      <w:color w:val="auto"/>
                      <w:kern w:val="0"/>
                      <w:sz w:val="24"/>
                      <w:highlight w:val="none"/>
                    </w:rPr>
                  </w:pPr>
                </w:p>
                <w:p w14:paraId="0A0E3974">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14:paraId="7FE3865C">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14:paraId="49A626AC">
                  <w:pPr>
                    <w:keepNext w:val="0"/>
                    <w:keepLines w:val="0"/>
                    <w:suppressLineNumbers w:val="0"/>
                    <w:spacing w:before="0" w:beforeAutospacing="0" w:after="0" w:afterAutospacing="0"/>
                    <w:ind w:left="0" w:right="0" w:firstLine="3120" w:firstLineChars="1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总监：                    年   月   日         </w:t>
                  </w:r>
                </w:p>
              </w:tc>
            </w:tr>
            <w:tr w14:paraId="5533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5074F8BA">
                  <w:pPr>
                    <w:keepNext w:val="0"/>
                    <w:keepLines w:val="0"/>
                    <w:suppressLineNumbers w:val="0"/>
                    <w:spacing w:before="0" w:beforeAutospacing="0" w:after="0" w:afterAutospacing="0"/>
                    <w:ind w:left="0" w:right="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建设管理单位审批意见</w:t>
                  </w:r>
                </w:p>
              </w:tc>
              <w:tc>
                <w:tcPr>
                  <w:tcW w:w="8351" w:type="dxa"/>
                  <w:gridSpan w:val="2"/>
                  <w:tcBorders>
                    <w:top w:val="single" w:color="auto" w:sz="4" w:space="0"/>
                    <w:left w:val="single" w:color="auto" w:sz="4" w:space="0"/>
                    <w:bottom w:val="single" w:color="auto" w:sz="4" w:space="0"/>
                    <w:right w:val="single" w:color="auto" w:sz="4" w:space="0"/>
                  </w:tcBorders>
                  <w:vAlign w:val="center"/>
                </w:tcPr>
                <w:p w14:paraId="09222DBB">
                  <w:pPr>
                    <w:keepNext w:val="0"/>
                    <w:keepLines w:val="0"/>
                    <w:suppressLineNumbers w:val="0"/>
                    <w:spacing w:before="0" w:beforeAutospacing="0" w:after="0" w:afterAutospacing="0"/>
                    <w:ind w:left="0" w:right="0" w:firstLine="3120" w:firstLineChars="1300"/>
                    <w:rPr>
                      <w:rFonts w:hint="eastAsia" w:ascii="宋体" w:hAnsi="宋体" w:eastAsia="宋体" w:cs="宋体"/>
                      <w:color w:val="auto"/>
                      <w:kern w:val="0"/>
                      <w:sz w:val="24"/>
                      <w:highlight w:val="none"/>
                    </w:rPr>
                  </w:pPr>
                </w:p>
                <w:p w14:paraId="359E7F57">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14:paraId="75BA6B2B">
                  <w:pPr>
                    <w:keepNext w:val="0"/>
                    <w:keepLines w:val="0"/>
                    <w:suppressLineNumbers w:val="0"/>
                    <w:spacing w:before="0" w:beforeAutospacing="0" w:after="0" w:afterAutospacing="0"/>
                    <w:ind w:left="0" w:right="0" w:firstLine="3120" w:firstLineChars="1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负责人：                   年   月   日</w:t>
                  </w:r>
                </w:p>
              </w:tc>
            </w:tr>
            <w:tr w14:paraId="4D1E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restart"/>
                  <w:tcBorders>
                    <w:top w:val="single" w:color="auto" w:sz="4" w:space="0"/>
                    <w:left w:val="single" w:color="auto" w:sz="4" w:space="0"/>
                    <w:bottom w:val="single" w:color="auto" w:sz="4" w:space="0"/>
                    <w:right w:val="single" w:color="auto" w:sz="4" w:space="0"/>
                  </w:tcBorders>
                  <w:vAlign w:val="center"/>
                </w:tcPr>
                <w:p w14:paraId="40D6C35D">
                  <w:pPr>
                    <w:keepNext w:val="0"/>
                    <w:keepLines w:val="0"/>
                    <w:suppressLineNumbers w:val="0"/>
                    <w:spacing w:before="0" w:beforeAutospacing="0" w:after="0" w:afterAutospacing="0"/>
                    <w:ind w:left="0" w:right="0" w:firstLine="6244" w:firstLineChars="223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建建设单位审批意见</w:t>
                  </w:r>
                </w:p>
              </w:tc>
              <w:tc>
                <w:tcPr>
                  <w:tcW w:w="4007" w:type="dxa"/>
                  <w:tcBorders>
                    <w:top w:val="single" w:color="auto" w:sz="4" w:space="0"/>
                    <w:left w:val="single" w:color="auto" w:sz="4" w:space="0"/>
                    <w:bottom w:val="single" w:color="auto" w:sz="4" w:space="0"/>
                    <w:right w:val="single" w:color="auto" w:sz="4" w:space="0"/>
                  </w:tcBorders>
                  <w:vAlign w:val="center"/>
                </w:tcPr>
                <w:p w14:paraId="45141A77">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14:paraId="035A74DB">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14:paraId="18A63611">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14:paraId="2D947FCE">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现场工程师：               </w:t>
                  </w:r>
                </w:p>
                <w:p w14:paraId="7F0CBC52">
                  <w:pPr>
                    <w:keepNext w:val="0"/>
                    <w:keepLines w:val="0"/>
                    <w:suppressLineNumbers w:val="0"/>
                    <w:spacing w:before="0" w:beforeAutospacing="0" w:after="0" w:afterAutospacing="0"/>
                    <w:ind w:left="0" w:right="0" w:firstLine="3120" w:firstLineChars="1300"/>
                    <w:rPr>
                      <w:rFonts w:hint="eastAsia" w:ascii="宋体" w:hAnsi="宋体" w:eastAsia="宋体" w:cs="宋体"/>
                      <w:color w:val="auto"/>
                      <w:kern w:val="0"/>
                      <w:sz w:val="24"/>
                      <w:highlight w:val="none"/>
                    </w:rPr>
                  </w:pPr>
                </w:p>
                <w:p w14:paraId="2B598146">
                  <w:pPr>
                    <w:keepNext w:val="0"/>
                    <w:keepLines w:val="0"/>
                    <w:suppressLineNumbers w:val="0"/>
                    <w:spacing w:before="0" w:beforeAutospacing="0" w:after="0" w:afterAutospacing="0"/>
                    <w:ind w:left="0" w:right="0" w:firstLine="2400" w:firstLineChars="10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年   月   日</w:t>
                  </w:r>
                </w:p>
              </w:tc>
              <w:tc>
                <w:tcPr>
                  <w:tcW w:w="4344" w:type="dxa"/>
                  <w:tcBorders>
                    <w:top w:val="single" w:color="auto" w:sz="4" w:space="0"/>
                    <w:left w:val="single" w:color="auto" w:sz="4" w:space="0"/>
                    <w:bottom w:val="single" w:color="auto" w:sz="4" w:space="0"/>
                    <w:right w:val="single" w:color="auto" w:sz="4" w:space="0"/>
                  </w:tcBorders>
                  <w:vAlign w:val="center"/>
                </w:tcPr>
                <w:p w14:paraId="73E6EBA9">
                  <w:pPr>
                    <w:keepNext w:val="0"/>
                    <w:keepLines w:val="0"/>
                    <w:suppressLineNumbers w:val="0"/>
                    <w:spacing w:before="0" w:beforeAutospacing="0" w:after="0" w:afterAutospacing="0"/>
                    <w:ind w:left="0" w:right="0" w:firstLine="4320" w:firstLineChars="1800"/>
                    <w:rPr>
                      <w:rFonts w:hint="eastAsia" w:ascii="宋体" w:hAnsi="宋体" w:eastAsia="宋体" w:cs="宋体"/>
                      <w:color w:val="auto"/>
                      <w:kern w:val="0"/>
                      <w:sz w:val="24"/>
                      <w:highlight w:val="none"/>
                    </w:rPr>
                  </w:pPr>
                </w:p>
                <w:p w14:paraId="4E69BC91">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14:paraId="34B4F555">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14:paraId="5FA8763F">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造价工程师：             </w:t>
                  </w:r>
                </w:p>
                <w:p w14:paraId="01DB272B">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5D22217F">
                  <w:pPr>
                    <w:keepNext w:val="0"/>
                    <w:keepLines w:val="0"/>
                    <w:suppressLineNumbers w:val="0"/>
                    <w:spacing w:before="0" w:beforeAutospacing="0" w:after="0" w:afterAutospacing="0"/>
                    <w:ind w:left="0" w:right="0" w:firstLine="2880" w:firstLineChars="1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tc>
            </w:tr>
            <w:tr w14:paraId="5D80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14:paraId="34F82651">
                  <w:pPr>
                    <w:keepNext w:val="0"/>
                    <w:keepLines w:val="0"/>
                    <w:suppressLineNumbers w:val="0"/>
                    <w:spacing w:before="0" w:beforeAutospacing="0" w:after="0" w:afterAutospacing="0"/>
                    <w:ind w:left="0" w:right="0" w:firstLine="4683" w:firstLineChars="2230"/>
                    <w:jc w:val="center"/>
                    <w:rPr>
                      <w:rFonts w:hint="eastAsia" w:ascii="宋体" w:hAnsi="宋体" w:eastAsia="宋体" w:cs="宋体"/>
                      <w:color w:val="auto"/>
                      <w:kern w:val="0"/>
                      <w:szCs w:val="21"/>
                      <w:highlight w:val="none"/>
                    </w:rPr>
                  </w:pPr>
                </w:p>
              </w:tc>
              <w:tc>
                <w:tcPr>
                  <w:tcW w:w="8351" w:type="dxa"/>
                  <w:gridSpan w:val="2"/>
                  <w:tcBorders>
                    <w:top w:val="single" w:color="auto" w:sz="4" w:space="0"/>
                    <w:left w:val="single" w:color="auto" w:sz="4" w:space="0"/>
                    <w:bottom w:val="single" w:color="auto" w:sz="4" w:space="0"/>
                    <w:right w:val="single" w:color="auto" w:sz="4" w:space="0"/>
                  </w:tcBorders>
                  <w:vAlign w:val="center"/>
                </w:tcPr>
                <w:p w14:paraId="67920372">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34AE1543">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14:paraId="77B5CDED">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2B65A00B">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项目负责人：                       年   月   日</w:t>
                  </w:r>
                </w:p>
              </w:tc>
            </w:tr>
            <w:tr w14:paraId="38BD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80" w:type="dxa"/>
                  <w:gridSpan w:val="3"/>
                  <w:tcBorders>
                    <w:top w:val="nil"/>
                    <w:left w:val="nil"/>
                    <w:bottom w:val="nil"/>
                    <w:right w:val="nil"/>
                  </w:tcBorders>
                </w:tcPr>
                <w:p w14:paraId="3B6D9165">
                  <w:pPr>
                    <w:keepNext w:val="0"/>
                    <w:keepLines w:val="0"/>
                    <w:suppressLineNumbers w:val="0"/>
                    <w:spacing w:before="0" w:beforeAutospacing="0" w:after="0" w:afterAutospacing="0"/>
                    <w:ind w:left="0" w:right="0"/>
                    <w:rPr>
                      <w:rFonts w:hint="eastAsia" w:ascii="宋体" w:hAnsi="宋体" w:eastAsia="宋体" w:cs="宋体"/>
                      <w:color w:val="auto"/>
                      <w:sz w:val="15"/>
                      <w:szCs w:val="15"/>
                      <w:highlight w:val="none"/>
                    </w:rPr>
                  </w:pPr>
                </w:p>
              </w:tc>
            </w:tr>
          </w:tbl>
          <w:p w14:paraId="55BE1E54">
            <w:pPr>
              <w:keepNext w:val="0"/>
              <w:keepLines w:val="0"/>
              <w:suppressLineNumbers w:val="0"/>
              <w:spacing w:before="0" w:beforeAutospacing="0" w:after="0" w:afterAutospacing="0"/>
              <w:ind w:left="0" w:right="0"/>
              <w:rPr>
                <w:rFonts w:hint="eastAsia" w:ascii="宋体" w:hAnsi="宋体" w:eastAsia="宋体" w:cs="宋体"/>
                <w:color w:val="auto"/>
                <w:kern w:val="0"/>
                <w:highlight w:val="none"/>
              </w:rPr>
            </w:pPr>
          </w:p>
        </w:tc>
      </w:tr>
    </w:tbl>
    <w:p w14:paraId="6FDEF905">
      <w:pPr>
        <w:rPr>
          <w:rFonts w:hint="eastAsia" w:ascii="宋体" w:hAnsi="宋体" w:eastAsia="宋体" w:cs="宋体"/>
          <w:color w:val="auto"/>
          <w:sz w:val="2"/>
          <w:szCs w:val="2"/>
          <w:highlight w:val="none"/>
          <w:lang w:val="zh-CN"/>
        </w:rPr>
      </w:pPr>
    </w:p>
    <w:p w14:paraId="15B7F9BB">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备注：1、应在发生签证前提出签证申请，并附上现场施工前照片。</w:t>
      </w:r>
    </w:p>
    <w:p w14:paraId="09746B0F">
      <w:pPr>
        <w:pStyle w:val="43"/>
        <w:numPr>
          <w:ilvl w:val="0"/>
          <w:numId w:val="37"/>
        </w:numPr>
        <w:ind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本表格必须双面打印，共一式4份，施工、监理各持1份，建设单位持2份。</w:t>
      </w:r>
    </w:p>
    <w:p w14:paraId="37F3A324">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5B11B187">
      <w:pPr>
        <w:pStyle w:val="43"/>
        <w:ind w:firstLine="0" w:firstLineChars="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表(2）</w:t>
      </w:r>
    </w:p>
    <w:tbl>
      <w:tblPr>
        <w:tblStyle w:val="45"/>
        <w:tblW w:w="9279" w:type="dxa"/>
        <w:tblInd w:w="93" w:type="dxa"/>
        <w:tblLayout w:type="fixed"/>
        <w:tblCellMar>
          <w:top w:w="0" w:type="dxa"/>
          <w:left w:w="108" w:type="dxa"/>
          <w:bottom w:w="0" w:type="dxa"/>
          <w:right w:w="108" w:type="dxa"/>
        </w:tblCellMar>
      </w:tblPr>
      <w:tblGrid>
        <w:gridCol w:w="515"/>
        <w:gridCol w:w="473"/>
        <w:gridCol w:w="1511"/>
        <w:gridCol w:w="2123"/>
        <w:gridCol w:w="1274"/>
        <w:gridCol w:w="2105"/>
        <w:gridCol w:w="275"/>
        <w:gridCol w:w="236"/>
        <w:gridCol w:w="275"/>
        <w:gridCol w:w="236"/>
        <w:gridCol w:w="256"/>
      </w:tblGrid>
      <w:tr w14:paraId="371FC69B">
        <w:tblPrEx>
          <w:tblCellMar>
            <w:top w:w="0" w:type="dxa"/>
            <w:left w:w="108" w:type="dxa"/>
            <w:bottom w:w="0" w:type="dxa"/>
            <w:right w:w="108" w:type="dxa"/>
          </w:tblCellMar>
        </w:tblPrEx>
        <w:trPr>
          <w:trHeight w:val="928" w:hRule="atLeast"/>
        </w:trPr>
        <w:tc>
          <w:tcPr>
            <w:tcW w:w="9279" w:type="dxa"/>
            <w:gridSpan w:val="11"/>
            <w:tcBorders>
              <w:top w:val="nil"/>
              <w:left w:val="nil"/>
              <w:bottom w:val="nil"/>
              <w:right w:val="nil"/>
            </w:tcBorders>
            <w:vAlign w:val="center"/>
          </w:tcPr>
          <w:p w14:paraId="568C18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38"/>
                <w:szCs w:val="38"/>
                <w:highlight w:val="none"/>
              </w:rPr>
            </w:pPr>
            <w:r>
              <w:rPr>
                <w:rFonts w:hint="eastAsia" w:ascii="宋体" w:hAnsi="宋体" w:eastAsia="宋体" w:cs="宋体"/>
                <w:b/>
                <w:bCs/>
                <w:color w:val="auto"/>
                <w:kern w:val="0"/>
                <w:sz w:val="38"/>
                <w:szCs w:val="38"/>
                <w:highlight w:val="none"/>
              </w:rPr>
              <w:t xml:space="preserve">工 程 签 证 现 场 收 方 单    </w:t>
            </w:r>
          </w:p>
        </w:tc>
      </w:tr>
      <w:tr w14:paraId="7B653228">
        <w:tblPrEx>
          <w:tblCellMar>
            <w:top w:w="0" w:type="dxa"/>
            <w:left w:w="108" w:type="dxa"/>
            <w:bottom w:w="0" w:type="dxa"/>
            <w:right w:w="108" w:type="dxa"/>
          </w:tblCellMar>
        </w:tblPrEx>
        <w:trPr>
          <w:trHeight w:val="507" w:hRule="atLeast"/>
        </w:trPr>
        <w:tc>
          <w:tcPr>
            <w:tcW w:w="8001" w:type="dxa"/>
            <w:gridSpan w:val="6"/>
            <w:tcBorders>
              <w:top w:val="nil"/>
              <w:left w:val="nil"/>
              <w:bottom w:val="nil"/>
              <w:right w:val="single" w:color="000000" w:sz="4" w:space="0"/>
            </w:tcBorders>
            <w:vAlign w:val="center"/>
          </w:tcPr>
          <w:p w14:paraId="28BE164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rPr>
              <w:t>编号：SJZD-QZSF</w:t>
            </w:r>
          </w:p>
        </w:tc>
        <w:tc>
          <w:tcPr>
            <w:tcW w:w="275" w:type="dxa"/>
            <w:tcBorders>
              <w:top w:val="single" w:color="000000" w:sz="4" w:space="0"/>
              <w:left w:val="single" w:color="000000" w:sz="4" w:space="0"/>
              <w:bottom w:val="single" w:color="000000" w:sz="4" w:space="0"/>
              <w:right w:val="single" w:color="000000" w:sz="4" w:space="0"/>
            </w:tcBorders>
            <w:vAlign w:val="center"/>
          </w:tcPr>
          <w:p w14:paraId="3A020E02">
            <w:pPr>
              <w:keepNext w:val="0"/>
              <w:keepLines w:val="0"/>
              <w:suppressLineNumbers w:val="0"/>
              <w:spacing w:before="0" w:beforeAutospacing="0" w:after="0" w:afterAutospacing="0"/>
              <w:ind w:left="0" w:right="0"/>
              <w:jc w:val="center"/>
              <w:rPr>
                <w:rFonts w:hint="eastAsia" w:ascii="宋体" w:hAnsi="宋体" w:eastAsia="宋体" w:cs="宋体"/>
                <w:b/>
                <w:bCs/>
                <w:color w:val="auto"/>
                <w:sz w:val="20"/>
                <w:szCs w:val="20"/>
                <w:highlight w:val="none"/>
              </w:rPr>
            </w:pPr>
          </w:p>
        </w:tc>
        <w:tc>
          <w:tcPr>
            <w:tcW w:w="236" w:type="dxa"/>
            <w:tcBorders>
              <w:top w:val="nil"/>
              <w:left w:val="nil"/>
              <w:bottom w:val="nil"/>
              <w:right w:val="single" w:color="000000" w:sz="4" w:space="0"/>
            </w:tcBorders>
            <w:vAlign w:val="center"/>
          </w:tcPr>
          <w:p w14:paraId="66D90CCF">
            <w:pPr>
              <w:keepNext w:val="0"/>
              <w:keepLines w:val="0"/>
              <w:suppressLineNumbers w:val="0"/>
              <w:spacing w:before="0" w:beforeAutospacing="0" w:after="0" w:afterAutospacing="0"/>
              <w:ind w:left="0" w:right="0"/>
              <w:jc w:val="center"/>
              <w:rPr>
                <w:rFonts w:hint="eastAsia" w:ascii="宋体" w:hAnsi="宋体" w:eastAsia="宋体" w:cs="宋体"/>
                <w:b/>
                <w:bCs/>
                <w:color w:val="auto"/>
                <w:sz w:val="20"/>
                <w:szCs w:val="20"/>
                <w:highlight w:val="none"/>
              </w:rPr>
            </w:pPr>
          </w:p>
        </w:tc>
        <w:tc>
          <w:tcPr>
            <w:tcW w:w="275" w:type="dxa"/>
            <w:tcBorders>
              <w:top w:val="single" w:color="000000" w:sz="4" w:space="0"/>
              <w:left w:val="single" w:color="000000" w:sz="4" w:space="0"/>
              <w:bottom w:val="single" w:color="000000" w:sz="4" w:space="0"/>
              <w:right w:val="single" w:color="000000" w:sz="4" w:space="0"/>
            </w:tcBorders>
            <w:vAlign w:val="center"/>
          </w:tcPr>
          <w:p w14:paraId="1977A648">
            <w:pPr>
              <w:keepNext w:val="0"/>
              <w:keepLines w:val="0"/>
              <w:suppressLineNumbers w:val="0"/>
              <w:spacing w:before="0" w:beforeAutospacing="0" w:after="0" w:afterAutospacing="0"/>
              <w:ind w:left="0" w:right="0"/>
              <w:jc w:val="center"/>
              <w:rPr>
                <w:rFonts w:hint="eastAsia" w:ascii="宋体" w:hAnsi="宋体" w:eastAsia="宋体" w:cs="宋体"/>
                <w:b/>
                <w:bCs/>
                <w:color w:val="auto"/>
                <w:sz w:val="20"/>
                <w:szCs w:val="20"/>
                <w:highlight w:val="none"/>
              </w:rPr>
            </w:pPr>
          </w:p>
        </w:tc>
        <w:tc>
          <w:tcPr>
            <w:tcW w:w="236" w:type="dxa"/>
            <w:tcBorders>
              <w:top w:val="nil"/>
              <w:left w:val="nil"/>
              <w:bottom w:val="nil"/>
              <w:right w:val="nil"/>
            </w:tcBorders>
            <w:vAlign w:val="center"/>
          </w:tcPr>
          <w:p w14:paraId="3C00B428">
            <w:pPr>
              <w:keepNext w:val="0"/>
              <w:keepLines w:val="0"/>
              <w:suppressLineNumbers w:val="0"/>
              <w:spacing w:before="0" w:beforeAutospacing="0" w:after="0" w:afterAutospacing="0"/>
              <w:ind w:left="0" w:right="0"/>
              <w:jc w:val="center"/>
              <w:rPr>
                <w:rFonts w:hint="eastAsia" w:ascii="宋体" w:hAnsi="宋体" w:eastAsia="宋体" w:cs="宋体"/>
                <w:b/>
                <w:bCs/>
                <w:color w:val="auto"/>
                <w:sz w:val="20"/>
                <w:szCs w:val="20"/>
                <w:highlight w:val="none"/>
              </w:rPr>
            </w:pPr>
          </w:p>
        </w:tc>
        <w:tc>
          <w:tcPr>
            <w:tcW w:w="256" w:type="dxa"/>
            <w:tcBorders>
              <w:top w:val="single" w:color="000000" w:sz="4" w:space="0"/>
              <w:left w:val="single" w:color="000000" w:sz="4" w:space="0"/>
              <w:bottom w:val="single" w:color="000000" w:sz="4" w:space="0"/>
              <w:right w:val="single" w:color="000000" w:sz="4" w:space="0"/>
            </w:tcBorders>
            <w:vAlign w:val="center"/>
          </w:tcPr>
          <w:p w14:paraId="6731F21E">
            <w:pPr>
              <w:keepNext w:val="0"/>
              <w:keepLines w:val="0"/>
              <w:suppressLineNumbers w:val="0"/>
              <w:spacing w:before="0" w:beforeAutospacing="0" w:after="0" w:afterAutospacing="0"/>
              <w:ind w:left="0" w:right="0"/>
              <w:jc w:val="center"/>
              <w:rPr>
                <w:rFonts w:hint="eastAsia" w:ascii="宋体" w:hAnsi="宋体" w:eastAsia="宋体" w:cs="宋体"/>
                <w:b/>
                <w:bCs/>
                <w:color w:val="auto"/>
                <w:sz w:val="20"/>
                <w:szCs w:val="20"/>
                <w:highlight w:val="none"/>
              </w:rPr>
            </w:pPr>
          </w:p>
        </w:tc>
      </w:tr>
      <w:tr w14:paraId="69D70D91">
        <w:tblPrEx>
          <w:tblCellMar>
            <w:top w:w="0" w:type="dxa"/>
            <w:left w:w="108" w:type="dxa"/>
            <w:bottom w:w="0" w:type="dxa"/>
            <w:right w:w="108" w:type="dxa"/>
          </w:tblCellMar>
        </w:tblPrEx>
        <w:trPr>
          <w:trHeight w:val="507" w:hRule="atLeast"/>
        </w:trPr>
        <w:tc>
          <w:tcPr>
            <w:tcW w:w="9279" w:type="dxa"/>
            <w:gridSpan w:val="11"/>
            <w:tcBorders>
              <w:top w:val="nil"/>
              <w:left w:val="nil"/>
              <w:bottom w:val="single" w:color="000000" w:sz="8" w:space="0"/>
              <w:right w:val="nil"/>
            </w:tcBorders>
            <w:vAlign w:val="center"/>
          </w:tcPr>
          <w:p w14:paraId="2D692128">
            <w:pPr>
              <w:keepNext w:val="0"/>
              <w:keepLines w:val="0"/>
              <w:suppressLineNumbers w:val="0"/>
              <w:spacing w:before="0" w:beforeAutospacing="0" w:after="0" w:afterAutospacing="0"/>
              <w:ind w:left="0" w:right="0"/>
              <w:jc w:val="right"/>
              <w:rPr>
                <w:rFonts w:hint="eastAsia" w:ascii="宋体" w:hAnsi="宋体" w:eastAsia="宋体" w:cs="宋体"/>
                <w:color w:val="auto"/>
                <w:sz w:val="20"/>
                <w:szCs w:val="20"/>
                <w:highlight w:val="none"/>
              </w:rPr>
            </w:pPr>
          </w:p>
        </w:tc>
      </w:tr>
      <w:tr w14:paraId="067DBFB5">
        <w:tblPrEx>
          <w:tblCellMar>
            <w:top w:w="0" w:type="dxa"/>
            <w:left w:w="108" w:type="dxa"/>
            <w:bottom w:w="0" w:type="dxa"/>
            <w:right w:w="108" w:type="dxa"/>
          </w:tblCellMar>
        </w:tblPrEx>
        <w:trPr>
          <w:trHeight w:val="526" w:hRule="atLeast"/>
        </w:trPr>
        <w:tc>
          <w:tcPr>
            <w:tcW w:w="2499" w:type="dxa"/>
            <w:gridSpan w:val="3"/>
            <w:tcBorders>
              <w:top w:val="single" w:color="000000" w:sz="8" w:space="0"/>
              <w:left w:val="single" w:color="000000" w:sz="8" w:space="0"/>
              <w:bottom w:val="single" w:color="000000" w:sz="4" w:space="0"/>
              <w:right w:val="single" w:color="000000" w:sz="4" w:space="0"/>
            </w:tcBorders>
            <w:vAlign w:val="center"/>
          </w:tcPr>
          <w:p w14:paraId="6B4171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单位（子单位）工程名称</w:t>
            </w:r>
          </w:p>
        </w:tc>
        <w:tc>
          <w:tcPr>
            <w:tcW w:w="6780" w:type="dxa"/>
            <w:gridSpan w:val="8"/>
            <w:tcBorders>
              <w:top w:val="single" w:color="000000" w:sz="8" w:space="0"/>
              <w:left w:val="single" w:color="000000" w:sz="4" w:space="0"/>
              <w:bottom w:val="single" w:color="000000" w:sz="4" w:space="0"/>
              <w:right w:val="single" w:color="000000" w:sz="8" w:space="0"/>
            </w:tcBorders>
            <w:vAlign w:val="center"/>
          </w:tcPr>
          <w:p w14:paraId="18EBF7EB">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14:paraId="623B1886">
        <w:tblPrEx>
          <w:tblCellMar>
            <w:top w:w="0" w:type="dxa"/>
            <w:left w:w="108" w:type="dxa"/>
            <w:bottom w:w="0" w:type="dxa"/>
            <w:right w:w="108" w:type="dxa"/>
          </w:tblCellMar>
        </w:tblPrEx>
        <w:trPr>
          <w:trHeight w:val="507" w:hRule="atLeast"/>
        </w:trPr>
        <w:tc>
          <w:tcPr>
            <w:tcW w:w="988" w:type="dxa"/>
            <w:gridSpan w:val="2"/>
            <w:tcBorders>
              <w:top w:val="single" w:color="000000" w:sz="4" w:space="0"/>
              <w:left w:val="single" w:color="000000" w:sz="8" w:space="0"/>
              <w:bottom w:val="single" w:color="000000" w:sz="4" w:space="0"/>
              <w:right w:val="single" w:color="000000" w:sz="4" w:space="0"/>
            </w:tcBorders>
            <w:vAlign w:val="center"/>
          </w:tcPr>
          <w:p w14:paraId="27357F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工程部位</w:t>
            </w:r>
          </w:p>
        </w:tc>
        <w:tc>
          <w:tcPr>
            <w:tcW w:w="3634" w:type="dxa"/>
            <w:gridSpan w:val="2"/>
            <w:tcBorders>
              <w:top w:val="single" w:color="000000" w:sz="4" w:space="0"/>
              <w:left w:val="single" w:color="000000" w:sz="4" w:space="0"/>
              <w:bottom w:val="single" w:color="000000" w:sz="4" w:space="0"/>
              <w:right w:val="single" w:color="000000" w:sz="4" w:space="0"/>
            </w:tcBorders>
            <w:vAlign w:val="center"/>
          </w:tcPr>
          <w:p w14:paraId="377A0BB4">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14:paraId="40A8D3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日 期</w:t>
            </w:r>
          </w:p>
        </w:tc>
        <w:tc>
          <w:tcPr>
            <w:tcW w:w="3383" w:type="dxa"/>
            <w:gridSpan w:val="6"/>
            <w:tcBorders>
              <w:top w:val="single" w:color="000000" w:sz="4" w:space="0"/>
              <w:left w:val="single" w:color="000000" w:sz="4" w:space="0"/>
              <w:bottom w:val="single" w:color="000000" w:sz="4" w:space="0"/>
              <w:right w:val="single" w:color="000000" w:sz="8" w:space="0"/>
            </w:tcBorders>
            <w:vAlign w:val="center"/>
          </w:tcPr>
          <w:p w14:paraId="0312B3C5">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14:paraId="06010D45">
        <w:tblPrEx>
          <w:tblCellMar>
            <w:top w:w="0" w:type="dxa"/>
            <w:left w:w="108" w:type="dxa"/>
            <w:bottom w:w="0" w:type="dxa"/>
            <w:right w:w="108" w:type="dxa"/>
          </w:tblCellMar>
        </w:tblPrEx>
        <w:trPr>
          <w:trHeight w:val="507" w:hRule="atLeast"/>
        </w:trPr>
        <w:tc>
          <w:tcPr>
            <w:tcW w:w="515" w:type="dxa"/>
            <w:vMerge w:val="restart"/>
            <w:tcBorders>
              <w:top w:val="single" w:color="000000" w:sz="4" w:space="0"/>
              <w:left w:val="single" w:color="000000" w:sz="8" w:space="0"/>
              <w:bottom w:val="single" w:color="000000" w:sz="4" w:space="0"/>
              <w:right w:val="single" w:color="000000" w:sz="4" w:space="0"/>
            </w:tcBorders>
            <w:vAlign w:val="center"/>
          </w:tcPr>
          <w:p w14:paraId="5C8CD1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签</w:t>
            </w:r>
          </w:p>
          <w:p w14:paraId="42867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rPr>
            </w:pPr>
          </w:p>
          <w:p w14:paraId="11C0B7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证</w:t>
            </w:r>
          </w:p>
          <w:p w14:paraId="69DE16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rPr>
            </w:pPr>
          </w:p>
          <w:p w14:paraId="3D615D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rPr>
            </w:pPr>
          </w:p>
          <w:p w14:paraId="30B4B5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内</w:t>
            </w:r>
          </w:p>
          <w:p w14:paraId="7FDB8F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rPr>
            </w:pPr>
          </w:p>
          <w:p w14:paraId="0BFA17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容</w:t>
            </w:r>
          </w:p>
        </w:tc>
        <w:tc>
          <w:tcPr>
            <w:tcW w:w="8764" w:type="dxa"/>
            <w:gridSpan w:val="10"/>
            <w:tcBorders>
              <w:top w:val="single" w:color="000000" w:sz="4" w:space="0"/>
              <w:left w:val="single" w:color="000000" w:sz="4" w:space="0"/>
              <w:bottom w:val="single" w:color="000000" w:sz="4" w:space="0"/>
              <w:right w:val="single" w:color="000000" w:sz="4" w:space="0"/>
            </w:tcBorders>
            <w:vAlign w:val="center"/>
          </w:tcPr>
          <w:p w14:paraId="0BD156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对应签证申请单编号：</w:t>
            </w:r>
          </w:p>
        </w:tc>
      </w:tr>
      <w:tr w14:paraId="21300A3C">
        <w:tblPrEx>
          <w:tblCellMar>
            <w:top w:w="0" w:type="dxa"/>
            <w:left w:w="108" w:type="dxa"/>
            <w:bottom w:w="0" w:type="dxa"/>
            <w:right w:w="108" w:type="dxa"/>
          </w:tblCellMar>
        </w:tblPrEx>
        <w:trPr>
          <w:trHeight w:val="607" w:hRule="atLeast"/>
        </w:trPr>
        <w:tc>
          <w:tcPr>
            <w:tcW w:w="515" w:type="dxa"/>
            <w:vMerge w:val="continue"/>
            <w:tcBorders>
              <w:top w:val="single" w:color="000000" w:sz="4" w:space="0"/>
              <w:left w:val="single" w:color="000000" w:sz="8" w:space="0"/>
              <w:bottom w:val="single" w:color="000000" w:sz="4" w:space="0"/>
              <w:right w:val="single" w:color="000000" w:sz="4" w:space="0"/>
            </w:tcBorders>
            <w:vAlign w:val="center"/>
          </w:tcPr>
          <w:p w14:paraId="35F6C6BD">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4" w:type="dxa"/>
            <w:gridSpan w:val="10"/>
            <w:vMerge w:val="restart"/>
            <w:tcBorders>
              <w:top w:val="nil"/>
              <w:left w:val="single" w:color="000000" w:sz="4" w:space="0"/>
              <w:bottom w:val="nil"/>
              <w:right w:val="single" w:color="000000" w:sz="8" w:space="0"/>
            </w:tcBorders>
          </w:tcPr>
          <w:p w14:paraId="3EE9531B">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r>
      <w:tr w14:paraId="2F1C36AB">
        <w:tblPrEx>
          <w:tblCellMar>
            <w:top w:w="0" w:type="dxa"/>
            <w:left w:w="108" w:type="dxa"/>
            <w:bottom w:w="0" w:type="dxa"/>
            <w:right w:w="108" w:type="dxa"/>
          </w:tblCellMar>
        </w:tblPrEx>
        <w:trPr>
          <w:trHeight w:val="607" w:hRule="atLeast"/>
        </w:trPr>
        <w:tc>
          <w:tcPr>
            <w:tcW w:w="515" w:type="dxa"/>
            <w:vMerge w:val="continue"/>
            <w:tcBorders>
              <w:top w:val="single" w:color="000000" w:sz="4" w:space="0"/>
              <w:left w:val="single" w:color="000000" w:sz="8" w:space="0"/>
              <w:bottom w:val="single" w:color="000000" w:sz="4" w:space="0"/>
              <w:right w:val="single" w:color="000000" w:sz="4" w:space="0"/>
            </w:tcBorders>
            <w:vAlign w:val="center"/>
          </w:tcPr>
          <w:p w14:paraId="0B0F52B6">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4" w:type="dxa"/>
            <w:gridSpan w:val="10"/>
            <w:vMerge w:val="continue"/>
            <w:tcBorders>
              <w:top w:val="nil"/>
              <w:left w:val="single" w:color="000000" w:sz="4" w:space="0"/>
              <w:bottom w:val="nil"/>
              <w:right w:val="single" w:color="000000" w:sz="8" w:space="0"/>
            </w:tcBorders>
          </w:tcPr>
          <w:p w14:paraId="4A79C3AC">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14:paraId="706A24AE">
        <w:tblPrEx>
          <w:tblCellMar>
            <w:top w:w="0" w:type="dxa"/>
            <w:left w:w="108" w:type="dxa"/>
            <w:bottom w:w="0" w:type="dxa"/>
            <w:right w:w="108" w:type="dxa"/>
          </w:tblCellMar>
        </w:tblPrEx>
        <w:trPr>
          <w:trHeight w:val="607" w:hRule="atLeast"/>
        </w:trPr>
        <w:tc>
          <w:tcPr>
            <w:tcW w:w="515" w:type="dxa"/>
            <w:vMerge w:val="continue"/>
            <w:tcBorders>
              <w:top w:val="single" w:color="000000" w:sz="4" w:space="0"/>
              <w:left w:val="single" w:color="000000" w:sz="8" w:space="0"/>
              <w:bottom w:val="single" w:color="000000" w:sz="4" w:space="0"/>
              <w:right w:val="single" w:color="000000" w:sz="4" w:space="0"/>
            </w:tcBorders>
            <w:vAlign w:val="center"/>
          </w:tcPr>
          <w:p w14:paraId="1DFD00D1">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4" w:type="dxa"/>
            <w:gridSpan w:val="10"/>
            <w:vMerge w:val="continue"/>
            <w:tcBorders>
              <w:top w:val="nil"/>
              <w:left w:val="single" w:color="000000" w:sz="4" w:space="0"/>
              <w:bottom w:val="nil"/>
              <w:right w:val="single" w:color="000000" w:sz="8" w:space="0"/>
            </w:tcBorders>
          </w:tcPr>
          <w:p w14:paraId="060FEC94">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14:paraId="797BD6CD">
        <w:tblPrEx>
          <w:tblCellMar>
            <w:top w:w="0" w:type="dxa"/>
            <w:left w:w="108" w:type="dxa"/>
            <w:bottom w:w="0" w:type="dxa"/>
            <w:right w:w="108" w:type="dxa"/>
          </w:tblCellMar>
        </w:tblPrEx>
        <w:trPr>
          <w:trHeight w:val="607" w:hRule="atLeast"/>
        </w:trPr>
        <w:tc>
          <w:tcPr>
            <w:tcW w:w="515" w:type="dxa"/>
            <w:vMerge w:val="continue"/>
            <w:tcBorders>
              <w:top w:val="single" w:color="000000" w:sz="4" w:space="0"/>
              <w:left w:val="single" w:color="000000" w:sz="8" w:space="0"/>
              <w:bottom w:val="single" w:color="000000" w:sz="4" w:space="0"/>
              <w:right w:val="single" w:color="000000" w:sz="4" w:space="0"/>
            </w:tcBorders>
            <w:vAlign w:val="center"/>
          </w:tcPr>
          <w:p w14:paraId="21212A71">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4" w:type="dxa"/>
            <w:gridSpan w:val="10"/>
            <w:vMerge w:val="continue"/>
            <w:tcBorders>
              <w:top w:val="nil"/>
              <w:left w:val="single" w:color="000000" w:sz="4" w:space="0"/>
              <w:bottom w:val="nil"/>
              <w:right w:val="single" w:color="000000" w:sz="8" w:space="0"/>
            </w:tcBorders>
          </w:tcPr>
          <w:p w14:paraId="6B66A5DA">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14:paraId="4C3F0893">
        <w:tblPrEx>
          <w:tblCellMar>
            <w:top w:w="0" w:type="dxa"/>
            <w:left w:w="108" w:type="dxa"/>
            <w:bottom w:w="0" w:type="dxa"/>
            <w:right w:w="108" w:type="dxa"/>
          </w:tblCellMar>
        </w:tblPrEx>
        <w:trPr>
          <w:trHeight w:val="607" w:hRule="atLeast"/>
        </w:trPr>
        <w:tc>
          <w:tcPr>
            <w:tcW w:w="515" w:type="dxa"/>
            <w:vMerge w:val="continue"/>
            <w:tcBorders>
              <w:top w:val="single" w:color="000000" w:sz="4" w:space="0"/>
              <w:left w:val="single" w:color="000000" w:sz="8" w:space="0"/>
              <w:bottom w:val="single" w:color="000000" w:sz="4" w:space="0"/>
              <w:right w:val="single" w:color="000000" w:sz="4" w:space="0"/>
            </w:tcBorders>
            <w:vAlign w:val="center"/>
          </w:tcPr>
          <w:p w14:paraId="5246B2C9">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4" w:type="dxa"/>
            <w:gridSpan w:val="10"/>
            <w:vMerge w:val="continue"/>
            <w:tcBorders>
              <w:top w:val="nil"/>
              <w:left w:val="single" w:color="000000" w:sz="4" w:space="0"/>
              <w:bottom w:val="nil"/>
              <w:right w:val="single" w:color="000000" w:sz="8" w:space="0"/>
            </w:tcBorders>
          </w:tcPr>
          <w:p w14:paraId="33B3D998">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14:paraId="0B32E236">
        <w:tblPrEx>
          <w:tblCellMar>
            <w:top w:w="0" w:type="dxa"/>
            <w:left w:w="108" w:type="dxa"/>
            <w:bottom w:w="0" w:type="dxa"/>
            <w:right w:w="108" w:type="dxa"/>
          </w:tblCellMar>
        </w:tblPrEx>
        <w:trPr>
          <w:trHeight w:val="607" w:hRule="atLeast"/>
        </w:trPr>
        <w:tc>
          <w:tcPr>
            <w:tcW w:w="515" w:type="dxa"/>
            <w:vMerge w:val="continue"/>
            <w:tcBorders>
              <w:top w:val="single" w:color="000000" w:sz="4" w:space="0"/>
              <w:left w:val="single" w:color="000000" w:sz="8" w:space="0"/>
              <w:bottom w:val="single" w:color="000000" w:sz="4" w:space="0"/>
              <w:right w:val="single" w:color="000000" w:sz="4" w:space="0"/>
            </w:tcBorders>
            <w:vAlign w:val="center"/>
          </w:tcPr>
          <w:p w14:paraId="11BEC729">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4" w:type="dxa"/>
            <w:gridSpan w:val="10"/>
            <w:vMerge w:val="continue"/>
            <w:tcBorders>
              <w:top w:val="nil"/>
              <w:left w:val="single" w:color="000000" w:sz="4" w:space="0"/>
              <w:bottom w:val="nil"/>
              <w:right w:val="single" w:color="000000" w:sz="8" w:space="0"/>
            </w:tcBorders>
          </w:tcPr>
          <w:p w14:paraId="60B6F5E6">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14:paraId="741F00F9">
        <w:tblPrEx>
          <w:tblCellMar>
            <w:top w:w="0" w:type="dxa"/>
            <w:left w:w="108" w:type="dxa"/>
            <w:bottom w:w="0" w:type="dxa"/>
            <w:right w:w="108" w:type="dxa"/>
          </w:tblCellMar>
        </w:tblPrEx>
        <w:trPr>
          <w:trHeight w:val="607" w:hRule="atLeast"/>
        </w:trPr>
        <w:tc>
          <w:tcPr>
            <w:tcW w:w="515" w:type="dxa"/>
            <w:vMerge w:val="continue"/>
            <w:tcBorders>
              <w:top w:val="single" w:color="000000" w:sz="4" w:space="0"/>
              <w:left w:val="single" w:color="000000" w:sz="8" w:space="0"/>
              <w:bottom w:val="single" w:color="000000" w:sz="4" w:space="0"/>
              <w:right w:val="single" w:color="000000" w:sz="4" w:space="0"/>
            </w:tcBorders>
            <w:vAlign w:val="center"/>
          </w:tcPr>
          <w:p w14:paraId="31A82249">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4" w:type="dxa"/>
            <w:gridSpan w:val="10"/>
            <w:vMerge w:val="continue"/>
            <w:tcBorders>
              <w:top w:val="nil"/>
              <w:left w:val="single" w:color="000000" w:sz="4" w:space="0"/>
              <w:bottom w:val="nil"/>
              <w:right w:val="single" w:color="000000" w:sz="8" w:space="0"/>
            </w:tcBorders>
          </w:tcPr>
          <w:p w14:paraId="0ACAC8A8">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14:paraId="1420A459">
        <w:tblPrEx>
          <w:tblCellMar>
            <w:top w:w="0" w:type="dxa"/>
            <w:left w:w="108" w:type="dxa"/>
            <w:bottom w:w="0" w:type="dxa"/>
            <w:right w:w="108" w:type="dxa"/>
          </w:tblCellMar>
        </w:tblPrEx>
        <w:trPr>
          <w:trHeight w:val="607" w:hRule="atLeast"/>
        </w:trPr>
        <w:tc>
          <w:tcPr>
            <w:tcW w:w="515" w:type="dxa"/>
            <w:vMerge w:val="continue"/>
            <w:tcBorders>
              <w:top w:val="single" w:color="000000" w:sz="4" w:space="0"/>
              <w:left w:val="single" w:color="000000" w:sz="8" w:space="0"/>
              <w:bottom w:val="single" w:color="000000" w:sz="4" w:space="0"/>
              <w:right w:val="single" w:color="000000" w:sz="4" w:space="0"/>
            </w:tcBorders>
            <w:vAlign w:val="center"/>
          </w:tcPr>
          <w:p w14:paraId="1D344E41">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4" w:type="dxa"/>
            <w:gridSpan w:val="10"/>
            <w:vMerge w:val="continue"/>
            <w:tcBorders>
              <w:top w:val="nil"/>
              <w:left w:val="single" w:color="000000" w:sz="4" w:space="0"/>
              <w:bottom w:val="nil"/>
              <w:right w:val="single" w:color="000000" w:sz="8" w:space="0"/>
            </w:tcBorders>
          </w:tcPr>
          <w:p w14:paraId="344BAB85">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14:paraId="79EDDC5C">
        <w:tblPrEx>
          <w:tblCellMar>
            <w:top w:w="0" w:type="dxa"/>
            <w:left w:w="108" w:type="dxa"/>
            <w:bottom w:w="0" w:type="dxa"/>
            <w:right w:w="108" w:type="dxa"/>
          </w:tblCellMar>
        </w:tblPrEx>
        <w:trPr>
          <w:trHeight w:val="607" w:hRule="atLeast"/>
        </w:trPr>
        <w:tc>
          <w:tcPr>
            <w:tcW w:w="515" w:type="dxa"/>
            <w:vMerge w:val="continue"/>
            <w:tcBorders>
              <w:top w:val="single" w:color="000000" w:sz="4" w:space="0"/>
              <w:left w:val="single" w:color="000000" w:sz="8" w:space="0"/>
              <w:bottom w:val="single" w:color="000000" w:sz="4" w:space="0"/>
              <w:right w:val="single" w:color="000000" w:sz="4" w:space="0"/>
            </w:tcBorders>
            <w:vAlign w:val="center"/>
          </w:tcPr>
          <w:p w14:paraId="489DC637">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4" w:type="dxa"/>
            <w:gridSpan w:val="10"/>
            <w:vMerge w:val="continue"/>
            <w:tcBorders>
              <w:top w:val="nil"/>
              <w:left w:val="single" w:color="000000" w:sz="4" w:space="0"/>
              <w:bottom w:val="nil"/>
              <w:right w:val="single" w:color="000000" w:sz="8" w:space="0"/>
            </w:tcBorders>
          </w:tcPr>
          <w:p w14:paraId="0EB2FBF4">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14:paraId="2D04AB84">
        <w:tblPrEx>
          <w:tblCellMar>
            <w:top w:w="0" w:type="dxa"/>
            <w:left w:w="108" w:type="dxa"/>
            <w:bottom w:w="0" w:type="dxa"/>
            <w:right w:w="108" w:type="dxa"/>
          </w:tblCellMar>
        </w:tblPrEx>
        <w:trPr>
          <w:trHeight w:val="607" w:hRule="atLeast"/>
        </w:trPr>
        <w:tc>
          <w:tcPr>
            <w:tcW w:w="515" w:type="dxa"/>
            <w:vMerge w:val="continue"/>
            <w:tcBorders>
              <w:top w:val="single" w:color="000000" w:sz="4" w:space="0"/>
              <w:left w:val="single" w:color="000000" w:sz="8" w:space="0"/>
              <w:bottom w:val="single" w:color="000000" w:sz="4" w:space="0"/>
              <w:right w:val="single" w:color="000000" w:sz="4" w:space="0"/>
            </w:tcBorders>
            <w:vAlign w:val="center"/>
          </w:tcPr>
          <w:p w14:paraId="2D564414">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4" w:type="dxa"/>
            <w:gridSpan w:val="10"/>
            <w:vMerge w:val="continue"/>
            <w:tcBorders>
              <w:top w:val="nil"/>
              <w:left w:val="single" w:color="000000" w:sz="4" w:space="0"/>
              <w:bottom w:val="nil"/>
              <w:right w:val="single" w:color="000000" w:sz="8" w:space="0"/>
            </w:tcBorders>
          </w:tcPr>
          <w:p w14:paraId="3A8BA1BE">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14:paraId="46A9972D">
        <w:tblPrEx>
          <w:tblCellMar>
            <w:top w:w="0" w:type="dxa"/>
            <w:left w:w="108" w:type="dxa"/>
            <w:bottom w:w="0" w:type="dxa"/>
            <w:right w:w="108" w:type="dxa"/>
          </w:tblCellMar>
        </w:tblPrEx>
        <w:trPr>
          <w:trHeight w:val="312" w:hRule="atLeast"/>
        </w:trPr>
        <w:tc>
          <w:tcPr>
            <w:tcW w:w="515" w:type="dxa"/>
            <w:vMerge w:val="continue"/>
            <w:tcBorders>
              <w:top w:val="single" w:color="000000" w:sz="4" w:space="0"/>
              <w:left w:val="single" w:color="000000" w:sz="8" w:space="0"/>
              <w:bottom w:val="single" w:color="000000" w:sz="4" w:space="0"/>
              <w:right w:val="single" w:color="000000" w:sz="4" w:space="0"/>
            </w:tcBorders>
            <w:vAlign w:val="center"/>
          </w:tcPr>
          <w:p w14:paraId="2B7ABEB3">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4" w:type="dxa"/>
            <w:gridSpan w:val="10"/>
            <w:vMerge w:val="continue"/>
            <w:tcBorders>
              <w:top w:val="nil"/>
              <w:left w:val="single" w:color="000000" w:sz="4" w:space="0"/>
              <w:bottom w:val="nil"/>
              <w:right w:val="single" w:color="000000" w:sz="8" w:space="0"/>
            </w:tcBorders>
          </w:tcPr>
          <w:p w14:paraId="5AC6BBED">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14:paraId="1A0CBA94">
        <w:tblPrEx>
          <w:tblCellMar>
            <w:top w:w="0" w:type="dxa"/>
            <w:left w:w="108" w:type="dxa"/>
            <w:bottom w:w="0" w:type="dxa"/>
            <w:right w:w="108" w:type="dxa"/>
          </w:tblCellMar>
        </w:tblPrEx>
        <w:trPr>
          <w:trHeight w:val="507" w:hRule="atLeast"/>
        </w:trPr>
        <w:tc>
          <w:tcPr>
            <w:tcW w:w="4622" w:type="dxa"/>
            <w:gridSpan w:val="4"/>
            <w:tcBorders>
              <w:top w:val="single" w:color="000000" w:sz="4" w:space="0"/>
              <w:left w:val="single" w:color="000000" w:sz="8" w:space="0"/>
              <w:bottom w:val="nil"/>
              <w:right w:val="single" w:color="000000" w:sz="4" w:space="0"/>
            </w:tcBorders>
            <w:vAlign w:val="center"/>
          </w:tcPr>
          <w:p w14:paraId="7ADA79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施工单位确认：</w:t>
            </w:r>
          </w:p>
        </w:tc>
        <w:tc>
          <w:tcPr>
            <w:tcW w:w="4657" w:type="dxa"/>
            <w:gridSpan w:val="7"/>
            <w:tcBorders>
              <w:top w:val="single" w:color="000000" w:sz="4" w:space="0"/>
              <w:left w:val="single" w:color="000000" w:sz="4" w:space="0"/>
              <w:bottom w:val="nil"/>
              <w:right w:val="single" w:color="000000" w:sz="8" w:space="0"/>
            </w:tcBorders>
            <w:vAlign w:val="center"/>
          </w:tcPr>
          <w:p w14:paraId="0CCDF1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监理单位确认：</w:t>
            </w:r>
          </w:p>
        </w:tc>
      </w:tr>
      <w:tr w14:paraId="71DF3006">
        <w:tblPrEx>
          <w:tblCellMar>
            <w:top w:w="0" w:type="dxa"/>
            <w:left w:w="108" w:type="dxa"/>
            <w:bottom w:w="0" w:type="dxa"/>
            <w:right w:w="108" w:type="dxa"/>
          </w:tblCellMar>
        </w:tblPrEx>
        <w:trPr>
          <w:trHeight w:val="588" w:hRule="atLeast"/>
        </w:trPr>
        <w:tc>
          <w:tcPr>
            <w:tcW w:w="4622" w:type="dxa"/>
            <w:gridSpan w:val="4"/>
            <w:vMerge w:val="restart"/>
            <w:tcBorders>
              <w:top w:val="nil"/>
              <w:left w:val="single" w:color="000000" w:sz="8" w:space="0"/>
              <w:bottom w:val="single" w:color="000000" w:sz="4" w:space="0"/>
              <w:right w:val="single" w:color="000000" w:sz="4" w:space="0"/>
            </w:tcBorders>
            <w:vAlign w:val="center"/>
          </w:tcPr>
          <w:p w14:paraId="5ACAE303">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4657" w:type="dxa"/>
            <w:gridSpan w:val="7"/>
            <w:vMerge w:val="restart"/>
            <w:tcBorders>
              <w:top w:val="nil"/>
              <w:left w:val="single" w:color="000000" w:sz="4" w:space="0"/>
              <w:bottom w:val="single" w:color="000000" w:sz="4" w:space="0"/>
              <w:right w:val="single" w:color="000000" w:sz="8" w:space="0"/>
            </w:tcBorders>
            <w:vAlign w:val="center"/>
          </w:tcPr>
          <w:p w14:paraId="0D46F67A">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14:paraId="13FFAC99">
        <w:tblPrEx>
          <w:tblCellMar>
            <w:top w:w="0" w:type="dxa"/>
            <w:left w:w="108" w:type="dxa"/>
            <w:bottom w:w="0" w:type="dxa"/>
            <w:right w:w="108" w:type="dxa"/>
          </w:tblCellMar>
        </w:tblPrEx>
        <w:trPr>
          <w:trHeight w:val="607" w:hRule="atLeast"/>
        </w:trPr>
        <w:tc>
          <w:tcPr>
            <w:tcW w:w="4622" w:type="dxa"/>
            <w:gridSpan w:val="4"/>
            <w:vMerge w:val="continue"/>
            <w:tcBorders>
              <w:top w:val="nil"/>
              <w:left w:val="single" w:color="000000" w:sz="8" w:space="0"/>
              <w:bottom w:val="single" w:color="000000" w:sz="4" w:space="0"/>
              <w:right w:val="single" w:color="000000" w:sz="4" w:space="0"/>
            </w:tcBorders>
            <w:vAlign w:val="center"/>
          </w:tcPr>
          <w:p w14:paraId="1100D2F3">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4657" w:type="dxa"/>
            <w:gridSpan w:val="7"/>
            <w:vMerge w:val="continue"/>
            <w:tcBorders>
              <w:top w:val="nil"/>
              <w:left w:val="single" w:color="000000" w:sz="4" w:space="0"/>
              <w:bottom w:val="single" w:color="000000" w:sz="4" w:space="0"/>
              <w:right w:val="single" w:color="000000" w:sz="8" w:space="0"/>
            </w:tcBorders>
            <w:vAlign w:val="center"/>
          </w:tcPr>
          <w:p w14:paraId="1452FCB8">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14:paraId="4F4C12F6">
        <w:tblPrEx>
          <w:tblCellMar>
            <w:top w:w="0" w:type="dxa"/>
            <w:left w:w="108" w:type="dxa"/>
            <w:bottom w:w="0" w:type="dxa"/>
            <w:right w:w="108" w:type="dxa"/>
          </w:tblCellMar>
        </w:tblPrEx>
        <w:trPr>
          <w:trHeight w:val="507" w:hRule="atLeast"/>
        </w:trPr>
        <w:tc>
          <w:tcPr>
            <w:tcW w:w="4622" w:type="dxa"/>
            <w:gridSpan w:val="4"/>
            <w:tcBorders>
              <w:top w:val="single" w:color="000000" w:sz="4" w:space="0"/>
              <w:left w:val="single" w:color="000000" w:sz="8" w:space="0"/>
              <w:bottom w:val="nil"/>
              <w:right w:val="single" w:color="000000" w:sz="4" w:space="0"/>
            </w:tcBorders>
            <w:vAlign w:val="center"/>
          </w:tcPr>
          <w:p w14:paraId="1068C7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建设管理单位确认：</w:t>
            </w:r>
          </w:p>
        </w:tc>
        <w:tc>
          <w:tcPr>
            <w:tcW w:w="4657" w:type="dxa"/>
            <w:gridSpan w:val="7"/>
            <w:tcBorders>
              <w:top w:val="single" w:color="000000" w:sz="4" w:space="0"/>
              <w:left w:val="single" w:color="000000" w:sz="4" w:space="0"/>
              <w:bottom w:val="nil"/>
              <w:right w:val="single" w:color="000000" w:sz="8" w:space="0"/>
            </w:tcBorders>
            <w:vAlign w:val="center"/>
          </w:tcPr>
          <w:p w14:paraId="2CF8AE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建设单位确认：</w:t>
            </w:r>
          </w:p>
        </w:tc>
      </w:tr>
      <w:tr w14:paraId="103C0304">
        <w:tblPrEx>
          <w:tblCellMar>
            <w:top w:w="0" w:type="dxa"/>
            <w:left w:w="108" w:type="dxa"/>
            <w:bottom w:w="0" w:type="dxa"/>
            <w:right w:w="108" w:type="dxa"/>
          </w:tblCellMar>
        </w:tblPrEx>
        <w:trPr>
          <w:trHeight w:val="588" w:hRule="atLeast"/>
        </w:trPr>
        <w:tc>
          <w:tcPr>
            <w:tcW w:w="4622" w:type="dxa"/>
            <w:gridSpan w:val="4"/>
            <w:vMerge w:val="restart"/>
            <w:tcBorders>
              <w:top w:val="nil"/>
              <w:left w:val="single" w:color="000000" w:sz="8" w:space="0"/>
              <w:bottom w:val="single" w:color="000000" w:sz="8" w:space="0"/>
              <w:right w:val="single" w:color="000000" w:sz="4" w:space="0"/>
            </w:tcBorders>
            <w:vAlign w:val="center"/>
          </w:tcPr>
          <w:p w14:paraId="06C6493A">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4657" w:type="dxa"/>
            <w:gridSpan w:val="7"/>
            <w:vMerge w:val="restart"/>
            <w:tcBorders>
              <w:top w:val="nil"/>
              <w:left w:val="single" w:color="000000" w:sz="4" w:space="0"/>
              <w:bottom w:val="single" w:color="000000" w:sz="8" w:space="0"/>
              <w:right w:val="single" w:color="000000" w:sz="8" w:space="0"/>
            </w:tcBorders>
            <w:vAlign w:val="center"/>
          </w:tcPr>
          <w:p w14:paraId="13FF7A74">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14:paraId="76994C58">
        <w:tblPrEx>
          <w:tblCellMar>
            <w:top w:w="0" w:type="dxa"/>
            <w:left w:w="108" w:type="dxa"/>
            <w:bottom w:w="0" w:type="dxa"/>
            <w:right w:w="108" w:type="dxa"/>
          </w:tblCellMar>
        </w:tblPrEx>
        <w:trPr>
          <w:trHeight w:val="664" w:hRule="atLeast"/>
        </w:trPr>
        <w:tc>
          <w:tcPr>
            <w:tcW w:w="4622" w:type="dxa"/>
            <w:gridSpan w:val="4"/>
            <w:vMerge w:val="continue"/>
            <w:tcBorders>
              <w:top w:val="nil"/>
              <w:left w:val="single" w:color="000000" w:sz="8" w:space="0"/>
              <w:bottom w:val="single" w:color="000000" w:sz="8" w:space="0"/>
              <w:right w:val="single" w:color="000000" w:sz="4" w:space="0"/>
            </w:tcBorders>
            <w:vAlign w:val="center"/>
          </w:tcPr>
          <w:p w14:paraId="6E39B7B2">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4657" w:type="dxa"/>
            <w:gridSpan w:val="7"/>
            <w:vMerge w:val="continue"/>
            <w:tcBorders>
              <w:top w:val="nil"/>
              <w:left w:val="single" w:color="000000" w:sz="4" w:space="0"/>
              <w:bottom w:val="single" w:color="000000" w:sz="8" w:space="0"/>
              <w:right w:val="single" w:color="000000" w:sz="8" w:space="0"/>
            </w:tcBorders>
            <w:vAlign w:val="center"/>
          </w:tcPr>
          <w:p w14:paraId="12698646">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bl>
    <w:p w14:paraId="06D5875A">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551F0AC1">
      <w:pPr>
        <w:pStyle w:val="43"/>
        <w:ind w:firstLine="0" w:firstLineChars="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表(3）</w:t>
      </w:r>
    </w:p>
    <w:p w14:paraId="6DCC795A">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38"/>
          <w:szCs w:val="38"/>
          <w:highlight w:val="none"/>
        </w:rPr>
        <w:t>工程签证确认单</w:t>
      </w:r>
    </w:p>
    <w:p w14:paraId="5BEBA1EE">
      <w:pPr>
        <w:rPr>
          <w:rFonts w:hint="eastAsia" w:ascii="宋体" w:hAnsi="宋体" w:eastAsia="宋体" w:cs="宋体"/>
          <w:b/>
          <w:color w:val="auto"/>
          <w:sz w:val="24"/>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highlight w:val="none"/>
        </w:rPr>
        <w:t xml:space="preserve">                                                                    签证单编号：</w:t>
      </w:r>
    </w:p>
    <w:tbl>
      <w:tblPr>
        <w:tblStyle w:val="45"/>
        <w:tblW w:w="95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
        <w:gridCol w:w="1349"/>
        <w:gridCol w:w="281"/>
        <w:gridCol w:w="399"/>
        <w:gridCol w:w="1420"/>
        <w:gridCol w:w="458"/>
        <w:gridCol w:w="1469"/>
        <w:gridCol w:w="188"/>
        <w:gridCol w:w="1996"/>
        <w:gridCol w:w="1936"/>
      </w:tblGrid>
      <w:tr w14:paraId="2274B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22" w:type="dxa"/>
          <w:trHeight w:val="538" w:hRule="atLeast"/>
          <w:jc w:val="center"/>
        </w:trPr>
        <w:tc>
          <w:tcPr>
            <w:tcW w:w="1349" w:type="dxa"/>
            <w:tcBorders>
              <w:top w:val="single" w:color="auto" w:sz="18" w:space="0"/>
              <w:left w:val="single" w:color="auto" w:sz="18" w:space="0"/>
              <w:bottom w:val="single" w:color="auto" w:sz="6" w:space="0"/>
            </w:tcBorders>
            <w:vAlign w:val="center"/>
          </w:tcPr>
          <w:p w14:paraId="47E71EBF">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工程名称</w:t>
            </w:r>
          </w:p>
        </w:tc>
        <w:tc>
          <w:tcPr>
            <w:tcW w:w="4027" w:type="dxa"/>
            <w:gridSpan w:val="5"/>
            <w:tcBorders>
              <w:top w:val="single" w:color="auto" w:sz="18" w:space="0"/>
              <w:bottom w:val="single" w:color="auto" w:sz="6" w:space="0"/>
            </w:tcBorders>
            <w:vAlign w:val="center"/>
          </w:tcPr>
          <w:p w14:paraId="22B97ACF">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184" w:type="dxa"/>
            <w:gridSpan w:val="2"/>
            <w:tcBorders>
              <w:top w:val="single" w:color="auto" w:sz="18" w:space="0"/>
              <w:bottom w:val="single" w:color="auto" w:sz="6" w:space="0"/>
            </w:tcBorders>
            <w:vAlign w:val="center"/>
          </w:tcPr>
          <w:p w14:paraId="22836CC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合同编号</w:t>
            </w:r>
          </w:p>
        </w:tc>
        <w:tc>
          <w:tcPr>
            <w:tcW w:w="1936" w:type="dxa"/>
            <w:tcBorders>
              <w:top w:val="single" w:color="auto" w:sz="18" w:space="0"/>
              <w:bottom w:val="single" w:color="auto" w:sz="6" w:space="0"/>
              <w:right w:val="single" w:color="auto" w:sz="18" w:space="0"/>
            </w:tcBorders>
            <w:vAlign w:val="center"/>
          </w:tcPr>
          <w:p w14:paraId="11E9F444">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150830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22" w:type="dxa"/>
          <w:trHeight w:val="485" w:hRule="atLeast"/>
          <w:jc w:val="center"/>
        </w:trPr>
        <w:tc>
          <w:tcPr>
            <w:tcW w:w="1349" w:type="dxa"/>
            <w:tcBorders>
              <w:top w:val="single" w:color="auto" w:sz="6" w:space="0"/>
              <w:left w:val="single" w:color="auto" w:sz="18" w:space="0"/>
              <w:bottom w:val="single" w:color="auto" w:sz="6" w:space="0"/>
            </w:tcBorders>
            <w:vAlign w:val="center"/>
          </w:tcPr>
          <w:p w14:paraId="708109CF">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施工单位</w:t>
            </w:r>
          </w:p>
        </w:tc>
        <w:tc>
          <w:tcPr>
            <w:tcW w:w="4027" w:type="dxa"/>
            <w:gridSpan w:val="5"/>
            <w:tcBorders>
              <w:top w:val="single" w:color="auto" w:sz="6" w:space="0"/>
              <w:bottom w:val="single" w:color="auto" w:sz="6" w:space="0"/>
            </w:tcBorders>
            <w:vAlign w:val="center"/>
          </w:tcPr>
          <w:p w14:paraId="2F92FF2F">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184" w:type="dxa"/>
            <w:gridSpan w:val="2"/>
            <w:tcBorders>
              <w:top w:val="single" w:color="auto" w:sz="6" w:space="0"/>
              <w:bottom w:val="single" w:color="auto" w:sz="6" w:space="0"/>
            </w:tcBorders>
            <w:vAlign w:val="center"/>
          </w:tcPr>
          <w:p w14:paraId="4495BC8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（标段）栋号</w:t>
            </w:r>
          </w:p>
        </w:tc>
        <w:tc>
          <w:tcPr>
            <w:tcW w:w="1936" w:type="dxa"/>
            <w:tcBorders>
              <w:top w:val="single" w:color="auto" w:sz="6" w:space="0"/>
              <w:bottom w:val="single" w:color="auto" w:sz="6" w:space="0"/>
              <w:right w:val="single" w:color="auto" w:sz="18" w:space="0"/>
            </w:tcBorders>
            <w:vAlign w:val="center"/>
          </w:tcPr>
          <w:p w14:paraId="44DA4E4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217956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22" w:type="dxa"/>
          <w:trHeight w:val="314" w:hRule="atLeast"/>
          <w:jc w:val="center"/>
        </w:trPr>
        <w:tc>
          <w:tcPr>
            <w:tcW w:w="1349" w:type="dxa"/>
            <w:tcBorders>
              <w:top w:val="single" w:color="auto" w:sz="6" w:space="0"/>
              <w:left w:val="single" w:color="auto" w:sz="18" w:space="0"/>
              <w:bottom w:val="single" w:color="auto" w:sz="6" w:space="0"/>
            </w:tcBorders>
            <w:vAlign w:val="center"/>
          </w:tcPr>
          <w:p w14:paraId="2FF5DE0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提出方</w:t>
            </w:r>
          </w:p>
        </w:tc>
        <w:tc>
          <w:tcPr>
            <w:tcW w:w="680" w:type="dxa"/>
            <w:gridSpan w:val="2"/>
            <w:vMerge w:val="restart"/>
            <w:tcBorders>
              <w:top w:val="single" w:color="auto" w:sz="6" w:space="0"/>
              <w:bottom w:val="single" w:color="auto" w:sz="6" w:space="0"/>
            </w:tcBorders>
            <w:vAlign w:val="center"/>
          </w:tcPr>
          <w:p w14:paraId="66E5395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签证变更</w:t>
            </w:r>
          </w:p>
          <w:p w14:paraId="04B4713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原因</w:t>
            </w:r>
          </w:p>
        </w:tc>
        <w:tc>
          <w:tcPr>
            <w:tcW w:w="1878" w:type="dxa"/>
            <w:gridSpan w:val="2"/>
            <w:tcBorders>
              <w:top w:val="single" w:color="auto" w:sz="6" w:space="0"/>
              <w:bottom w:val="single" w:color="auto" w:sz="6" w:space="0"/>
            </w:tcBorders>
            <w:vAlign w:val="center"/>
          </w:tcPr>
          <w:p w14:paraId="7FF5558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1.设计类</w:t>
            </w:r>
          </w:p>
        </w:tc>
        <w:tc>
          <w:tcPr>
            <w:tcW w:w="1469" w:type="dxa"/>
            <w:tcBorders>
              <w:top w:val="single" w:color="auto" w:sz="6" w:space="0"/>
              <w:bottom w:val="single" w:color="auto" w:sz="6" w:space="0"/>
            </w:tcBorders>
            <w:vAlign w:val="center"/>
          </w:tcPr>
          <w:p w14:paraId="48BEC4C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2.外部条件</w:t>
            </w:r>
          </w:p>
        </w:tc>
        <w:tc>
          <w:tcPr>
            <w:tcW w:w="2184" w:type="dxa"/>
            <w:gridSpan w:val="2"/>
            <w:tcBorders>
              <w:top w:val="single" w:color="auto" w:sz="6" w:space="0"/>
              <w:bottom w:val="single" w:color="auto" w:sz="6" w:space="0"/>
            </w:tcBorders>
            <w:vAlign w:val="center"/>
          </w:tcPr>
          <w:p w14:paraId="36E6E9E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3.现场施工类</w:t>
            </w:r>
          </w:p>
        </w:tc>
        <w:tc>
          <w:tcPr>
            <w:tcW w:w="1936" w:type="dxa"/>
            <w:tcBorders>
              <w:top w:val="single" w:color="auto" w:sz="6" w:space="0"/>
              <w:bottom w:val="single" w:color="auto" w:sz="6" w:space="0"/>
              <w:right w:val="single" w:color="auto" w:sz="18" w:space="0"/>
            </w:tcBorders>
            <w:vAlign w:val="center"/>
          </w:tcPr>
          <w:p w14:paraId="4E6D33B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4.其它类</w:t>
            </w:r>
          </w:p>
        </w:tc>
      </w:tr>
      <w:tr w14:paraId="4DBE95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22" w:type="dxa"/>
          <w:trHeight w:val="1790" w:hRule="atLeast"/>
          <w:jc w:val="center"/>
        </w:trPr>
        <w:tc>
          <w:tcPr>
            <w:tcW w:w="1349" w:type="dxa"/>
            <w:tcBorders>
              <w:top w:val="single" w:color="auto" w:sz="6" w:space="0"/>
              <w:left w:val="single" w:color="auto" w:sz="18" w:space="0"/>
              <w:bottom w:val="single" w:color="auto" w:sz="6" w:space="0"/>
            </w:tcBorders>
            <w:vAlign w:val="center"/>
          </w:tcPr>
          <w:p w14:paraId="6F050298">
            <w:pPr>
              <w:keepNext w:val="0"/>
              <w:keepLines w:val="0"/>
              <w:suppressLineNumbers w:val="0"/>
              <w:spacing w:before="0" w:beforeAutospacing="0" w:after="0" w:afterAutospacing="0" w:line="200" w:lineRule="exact"/>
              <w:ind w:left="0" w:right="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□承包人 </w:t>
            </w:r>
          </w:p>
          <w:p w14:paraId="13181B1A">
            <w:pPr>
              <w:keepNext w:val="0"/>
              <w:keepLines w:val="0"/>
              <w:suppressLineNumbers w:val="0"/>
              <w:spacing w:before="0" w:beforeAutospacing="0" w:after="0" w:afterAutospacing="0" w:line="200" w:lineRule="exact"/>
              <w:ind w:left="0" w:right="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□项目部</w:t>
            </w:r>
          </w:p>
          <w:p w14:paraId="7F205654">
            <w:pPr>
              <w:keepNext w:val="0"/>
              <w:keepLines w:val="0"/>
              <w:suppressLineNumbers w:val="0"/>
              <w:spacing w:before="0" w:beforeAutospacing="0" w:after="0" w:afterAutospacing="0" w:line="200" w:lineRule="exact"/>
              <w:ind w:left="0" w:right="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□营销部门    </w:t>
            </w:r>
          </w:p>
          <w:p w14:paraId="3C4CD907">
            <w:pPr>
              <w:keepNext w:val="0"/>
              <w:keepLines w:val="0"/>
              <w:suppressLineNumbers w:val="0"/>
              <w:spacing w:before="0" w:beforeAutospacing="0" w:after="0" w:afterAutospacing="0" w:line="200" w:lineRule="exact"/>
              <w:ind w:left="0" w:right="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□其它（说明）</w:t>
            </w:r>
          </w:p>
          <w:p w14:paraId="1B746E21">
            <w:pPr>
              <w:keepNext w:val="0"/>
              <w:keepLines w:val="0"/>
              <w:suppressLineNumbers w:val="0"/>
              <w:spacing w:before="0" w:beforeAutospacing="0" w:after="0" w:afterAutospacing="0" w:line="200" w:lineRule="exact"/>
              <w:ind w:left="0" w:right="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u w:val="single"/>
              </w:rPr>
              <w:t xml:space="preserve">                 </w:t>
            </w:r>
          </w:p>
        </w:tc>
        <w:tc>
          <w:tcPr>
            <w:tcW w:w="680" w:type="dxa"/>
            <w:gridSpan w:val="2"/>
            <w:vMerge w:val="continue"/>
            <w:tcBorders>
              <w:top w:val="single" w:color="auto" w:sz="6" w:space="0"/>
              <w:bottom w:val="single" w:color="auto" w:sz="6" w:space="0"/>
            </w:tcBorders>
            <w:vAlign w:val="center"/>
          </w:tcPr>
          <w:p w14:paraId="74B8B9B5">
            <w:pPr>
              <w:keepNext w:val="0"/>
              <w:keepLines w:val="0"/>
              <w:suppressLineNumbers w:val="0"/>
              <w:spacing w:before="0" w:beforeAutospacing="0" w:after="0" w:afterAutospacing="0" w:line="200" w:lineRule="exact"/>
              <w:ind w:left="0" w:right="0"/>
              <w:rPr>
                <w:rFonts w:hint="eastAsia" w:ascii="宋体" w:hAnsi="宋体" w:eastAsia="宋体" w:cs="宋体"/>
                <w:color w:val="auto"/>
                <w:sz w:val="18"/>
                <w:szCs w:val="18"/>
                <w:highlight w:val="none"/>
              </w:rPr>
            </w:pPr>
          </w:p>
        </w:tc>
        <w:tc>
          <w:tcPr>
            <w:tcW w:w="1878" w:type="dxa"/>
            <w:gridSpan w:val="2"/>
            <w:tcBorders>
              <w:top w:val="single" w:color="auto" w:sz="6" w:space="0"/>
              <w:bottom w:val="single" w:color="auto" w:sz="6" w:space="0"/>
            </w:tcBorders>
          </w:tcPr>
          <w:p w14:paraId="6C559E0C">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□1.1设计优化、补充设计</w:t>
            </w:r>
          </w:p>
          <w:p w14:paraId="08FAD525">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□1.2设计失误或设计专业不匹配</w:t>
            </w:r>
          </w:p>
          <w:p w14:paraId="7F8EE60F">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□1.3政策变化或规范修改</w:t>
            </w:r>
          </w:p>
          <w:p w14:paraId="01B68987">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□1.4图纸会审</w:t>
            </w:r>
          </w:p>
          <w:p w14:paraId="5282E3E5">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u w:val="single"/>
              </w:rPr>
            </w:pPr>
            <w:r>
              <w:rPr>
                <w:rFonts w:hint="eastAsia" w:ascii="宋体" w:hAnsi="宋体" w:eastAsia="宋体" w:cs="宋体"/>
                <w:color w:val="auto"/>
                <w:sz w:val="15"/>
                <w:szCs w:val="15"/>
                <w:highlight w:val="none"/>
              </w:rPr>
              <w:t>□1.5其它（说明）</w:t>
            </w:r>
          </w:p>
          <w:p w14:paraId="71163FBE">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u w:val="single"/>
              </w:rPr>
            </w:pPr>
            <w:r>
              <w:rPr>
                <w:rFonts w:hint="eastAsia" w:ascii="宋体" w:hAnsi="宋体" w:eastAsia="宋体" w:cs="宋体"/>
                <w:color w:val="auto"/>
                <w:sz w:val="15"/>
                <w:szCs w:val="15"/>
                <w:highlight w:val="none"/>
                <w:u w:val="single"/>
              </w:rPr>
              <w:t xml:space="preserve">                       </w:t>
            </w:r>
          </w:p>
        </w:tc>
        <w:tc>
          <w:tcPr>
            <w:tcW w:w="1469" w:type="dxa"/>
            <w:tcBorders>
              <w:top w:val="single" w:color="auto" w:sz="6" w:space="0"/>
              <w:bottom w:val="single" w:color="auto" w:sz="6" w:space="0"/>
            </w:tcBorders>
          </w:tcPr>
          <w:p w14:paraId="458177B7">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□2.1营销策划调整</w:t>
            </w:r>
          </w:p>
          <w:p w14:paraId="2DB34543">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□2.2客户需求</w:t>
            </w:r>
          </w:p>
          <w:p w14:paraId="15703207">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□2.3其它（说明）</w:t>
            </w:r>
          </w:p>
          <w:p w14:paraId="5CEE1F28">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u w:val="single"/>
              </w:rPr>
              <w:t xml:space="preserve">                        </w:t>
            </w:r>
          </w:p>
        </w:tc>
        <w:tc>
          <w:tcPr>
            <w:tcW w:w="2184" w:type="dxa"/>
            <w:gridSpan w:val="2"/>
            <w:tcBorders>
              <w:top w:val="single" w:color="auto" w:sz="6" w:space="0"/>
              <w:bottom w:val="single" w:color="auto" w:sz="6" w:space="0"/>
            </w:tcBorders>
          </w:tcPr>
          <w:p w14:paraId="1723E06E">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□3.1现场环境及地质情况影响</w:t>
            </w:r>
          </w:p>
          <w:p w14:paraId="3B3576DC">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□3.2现场管理需求</w:t>
            </w:r>
          </w:p>
          <w:p w14:paraId="47C60E98">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□3.3现场施工失误</w:t>
            </w:r>
          </w:p>
          <w:p w14:paraId="0A2992DD">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□3.4其它（说明）</w:t>
            </w:r>
          </w:p>
          <w:p w14:paraId="4C0DDA98">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u w:val="single"/>
              </w:rPr>
              <w:t xml:space="preserve">                     </w:t>
            </w:r>
          </w:p>
        </w:tc>
        <w:tc>
          <w:tcPr>
            <w:tcW w:w="1936" w:type="dxa"/>
            <w:tcBorders>
              <w:top w:val="single" w:color="auto" w:sz="6" w:space="0"/>
              <w:bottom w:val="single" w:color="auto" w:sz="6" w:space="0"/>
              <w:right w:val="single" w:color="auto" w:sz="18" w:space="0"/>
            </w:tcBorders>
          </w:tcPr>
          <w:p w14:paraId="622DD6F9">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□4.1建筑材料无法按原计划采购</w:t>
            </w:r>
          </w:p>
          <w:p w14:paraId="19D4BBD9">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□4.2其它（说明）</w:t>
            </w:r>
          </w:p>
          <w:p w14:paraId="2D34C436">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u w:val="single"/>
              </w:rPr>
              <w:t xml:space="preserve">                       </w:t>
            </w:r>
            <w:r>
              <w:rPr>
                <w:rFonts w:hint="eastAsia" w:ascii="宋体" w:hAnsi="宋体" w:eastAsia="宋体" w:cs="宋体"/>
                <w:color w:val="auto"/>
                <w:sz w:val="15"/>
                <w:szCs w:val="15"/>
                <w:highlight w:val="none"/>
              </w:rPr>
              <w:t xml:space="preserve"> </w:t>
            </w:r>
          </w:p>
          <w:p w14:paraId="56029C73">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p>
        </w:tc>
      </w:tr>
      <w:tr w14:paraId="607044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0" w:hRule="atLeast"/>
          <w:jc w:val="center"/>
        </w:trPr>
        <w:tc>
          <w:tcPr>
            <w:tcW w:w="9518" w:type="dxa"/>
            <w:gridSpan w:val="10"/>
            <w:tcBorders>
              <w:top w:val="single" w:color="auto" w:sz="6" w:space="0"/>
              <w:left w:val="single" w:color="auto" w:sz="18" w:space="0"/>
              <w:bottom w:val="single" w:color="auto" w:sz="6" w:space="0"/>
              <w:right w:val="single" w:color="auto" w:sz="18" w:space="0"/>
            </w:tcBorders>
          </w:tcPr>
          <w:p w14:paraId="0A3AE5A3">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签证内容：</w:t>
            </w:r>
          </w:p>
          <w:p w14:paraId="27BDDB1B">
            <w:pPr>
              <w:keepNext w:val="0"/>
              <w:keepLines w:val="0"/>
              <w:numPr>
                <w:ilvl w:val="0"/>
                <w:numId w:val="38"/>
              </w:numPr>
              <w:suppressLineNumbers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签证依据：（设计变更、工作联系单等）</w:t>
            </w:r>
          </w:p>
          <w:p w14:paraId="6677C75F">
            <w:pPr>
              <w:keepNext w:val="0"/>
              <w:keepLines w:val="0"/>
              <w:numPr>
                <w:ilvl w:val="0"/>
                <w:numId w:val="38"/>
              </w:numPr>
              <w:suppressLineNumbers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签证部位：                                    3、签证事项实施时间：</w:t>
            </w:r>
          </w:p>
          <w:p w14:paraId="55E9EC6C">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4、工程量计算资料（可作为附件单独提供）：[</w:t>
            </w:r>
            <w:r>
              <w:rPr>
                <w:rFonts w:hint="eastAsia" w:ascii="宋体" w:hAnsi="宋体" w:eastAsia="宋体" w:cs="宋体"/>
                <w:color w:val="auto"/>
                <w:szCs w:val="21"/>
                <w:highlight w:val="none"/>
              </w:rPr>
              <w:t>签证涉及的图纸、草图/示意图；</w:t>
            </w:r>
            <w:r>
              <w:rPr>
                <w:rFonts w:hint="eastAsia" w:ascii="宋体" w:hAnsi="宋体" w:eastAsia="宋体" w:cs="宋体"/>
                <w:color w:val="auto"/>
                <w:kern w:val="0"/>
                <w:szCs w:val="21"/>
                <w:highlight w:val="none"/>
              </w:rPr>
              <w:t>施工前、中、后的影像资料（彩色照片：含拍摄日期、编辑说明）]</w:t>
            </w:r>
          </w:p>
          <w:p w14:paraId="7A6B69DD">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14:paraId="50F448A1">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7A84A4D7">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tc>
      </w:tr>
      <w:tr w14:paraId="5A884E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tcBorders>
              <w:top w:val="single" w:color="auto" w:sz="6" w:space="0"/>
              <w:left w:val="single" w:color="auto" w:sz="18" w:space="0"/>
              <w:bottom w:val="single" w:color="auto" w:sz="6" w:space="0"/>
            </w:tcBorders>
            <w:vAlign w:val="center"/>
          </w:tcPr>
          <w:p w14:paraId="504E7B9F">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施工单位意见（公章）</w:t>
            </w:r>
          </w:p>
        </w:tc>
        <w:tc>
          <w:tcPr>
            <w:tcW w:w="7866" w:type="dxa"/>
            <w:gridSpan w:val="7"/>
            <w:tcBorders>
              <w:top w:val="single" w:color="auto" w:sz="6" w:space="0"/>
              <w:bottom w:val="single" w:color="auto" w:sz="6" w:space="0"/>
              <w:right w:val="single" w:color="auto" w:sz="18" w:space="0"/>
            </w:tcBorders>
          </w:tcPr>
          <w:p w14:paraId="296E58A5">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179A620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14:paraId="578D6DB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14:paraId="42EF5761">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14:paraId="3EDD343D">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14:paraId="1CD93CF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项目经理：               </w:t>
            </w:r>
            <w:r>
              <w:rPr>
                <w:rFonts w:hint="eastAsia" w:ascii="宋体" w:hAnsi="宋体" w:eastAsia="宋体" w:cs="宋体"/>
                <w:color w:val="auto"/>
                <w:kern w:val="0"/>
                <w:szCs w:val="21"/>
                <w:highlight w:val="none"/>
              </w:rPr>
              <w:t>年   月   日</w:t>
            </w:r>
          </w:p>
        </w:tc>
      </w:tr>
      <w:tr w14:paraId="19473E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tcBorders>
              <w:top w:val="single" w:color="auto" w:sz="6" w:space="0"/>
              <w:left w:val="single" w:color="auto" w:sz="18" w:space="0"/>
              <w:bottom w:val="single" w:color="auto" w:sz="6" w:space="0"/>
            </w:tcBorders>
            <w:vAlign w:val="center"/>
          </w:tcPr>
          <w:p w14:paraId="279FFD86">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监理单位意见</w:t>
            </w:r>
          </w:p>
          <w:p w14:paraId="3BD8DF1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 w:val="24"/>
                <w:highlight w:val="none"/>
              </w:rPr>
              <w:t>（公章）</w:t>
            </w:r>
          </w:p>
        </w:tc>
        <w:tc>
          <w:tcPr>
            <w:tcW w:w="7866" w:type="dxa"/>
            <w:gridSpan w:val="7"/>
            <w:tcBorders>
              <w:top w:val="single" w:color="auto" w:sz="6" w:space="0"/>
              <w:bottom w:val="single" w:color="auto" w:sz="6" w:space="0"/>
              <w:right w:val="single" w:color="auto" w:sz="18" w:space="0"/>
            </w:tcBorders>
          </w:tcPr>
          <w:p w14:paraId="4A53A84F">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382613A5">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12049CE6">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306AB00F">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5133B3F0">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7B792FCB">
            <w:pPr>
              <w:keepNext w:val="0"/>
              <w:keepLines w:val="0"/>
              <w:suppressLineNumbers w:val="0"/>
              <w:spacing w:before="0" w:beforeAutospacing="0" w:after="0" w:afterAutospacing="0"/>
              <w:ind w:left="0" w:right="0" w:firstLine="3570" w:firstLineChars="17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项目总监：               年   月   日</w:t>
            </w:r>
          </w:p>
        </w:tc>
      </w:tr>
      <w:tr w14:paraId="73906A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tcBorders>
              <w:top w:val="single" w:color="auto" w:sz="6" w:space="0"/>
              <w:left w:val="single" w:color="auto" w:sz="18" w:space="0"/>
              <w:bottom w:val="single" w:color="auto" w:sz="6" w:space="0"/>
            </w:tcBorders>
            <w:vAlign w:val="center"/>
          </w:tcPr>
          <w:p w14:paraId="168859BA">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建设管理单位意见</w:t>
            </w:r>
          </w:p>
          <w:p w14:paraId="085EEC6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 w:val="24"/>
                <w:highlight w:val="none"/>
              </w:rPr>
              <w:t>（公章）</w:t>
            </w:r>
          </w:p>
        </w:tc>
        <w:tc>
          <w:tcPr>
            <w:tcW w:w="7866" w:type="dxa"/>
            <w:gridSpan w:val="7"/>
            <w:tcBorders>
              <w:top w:val="single" w:color="auto" w:sz="6" w:space="0"/>
              <w:bottom w:val="single" w:color="auto" w:sz="6" w:space="0"/>
              <w:right w:val="single" w:color="auto" w:sz="18" w:space="0"/>
            </w:tcBorders>
          </w:tcPr>
          <w:p w14:paraId="09A9FA53">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14:paraId="7D55A940">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14:paraId="0E88F36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14:paraId="6961DB9D">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14:paraId="38CA0CA7">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14:paraId="245712C2">
            <w:pPr>
              <w:keepNext w:val="0"/>
              <w:keepLines w:val="0"/>
              <w:suppressLineNumbers w:val="0"/>
              <w:spacing w:before="0" w:beforeAutospacing="0" w:after="0" w:afterAutospacing="0"/>
              <w:ind w:left="0" w:right="0" w:firstLine="3570" w:firstLineChars="17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项目负责人：             年   月   日</w:t>
            </w:r>
          </w:p>
        </w:tc>
      </w:tr>
      <w:tr w14:paraId="255EA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vMerge w:val="restart"/>
            <w:tcBorders>
              <w:top w:val="single" w:color="auto" w:sz="6" w:space="0"/>
              <w:left w:val="single" w:color="auto" w:sz="18" w:space="0"/>
              <w:bottom w:val="single" w:color="auto" w:sz="6" w:space="0"/>
            </w:tcBorders>
            <w:vAlign w:val="center"/>
          </w:tcPr>
          <w:p w14:paraId="46A90420">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建设单位意见</w:t>
            </w:r>
          </w:p>
          <w:p w14:paraId="4CFF8E70">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（公章）</w:t>
            </w:r>
          </w:p>
        </w:tc>
        <w:tc>
          <w:tcPr>
            <w:tcW w:w="3934" w:type="dxa"/>
            <w:gridSpan w:val="5"/>
            <w:tcBorders>
              <w:top w:val="single" w:color="auto" w:sz="6" w:space="0"/>
              <w:bottom w:val="single" w:color="auto" w:sz="6" w:space="0"/>
            </w:tcBorders>
            <w:vAlign w:val="center"/>
          </w:tcPr>
          <w:p w14:paraId="71771764">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6E4FC1E6">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548A4A4C">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15BE67D4">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现场工程师：               </w:t>
            </w:r>
          </w:p>
          <w:p w14:paraId="31492889">
            <w:pPr>
              <w:keepNext w:val="0"/>
              <w:keepLines w:val="0"/>
              <w:suppressLineNumbers w:val="0"/>
              <w:spacing w:before="0" w:beforeAutospacing="0" w:after="0" w:afterAutospacing="0"/>
              <w:ind w:left="0" w:right="0" w:firstLine="2730" w:firstLineChars="1300"/>
              <w:rPr>
                <w:rFonts w:hint="eastAsia" w:ascii="宋体" w:hAnsi="宋体" w:eastAsia="宋体" w:cs="宋体"/>
                <w:color w:val="auto"/>
                <w:kern w:val="0"/>
                <w:szCs w:val="21"/>
                <w:highlight w:val="none"/>
              </w:rPr>
            </w:pPr>
          </w:p>
          <w:p w14:paraId="33073710">
            <w:pPr>
              <w:keepNext w:val="0"/>
              <w:keepLines w:val="0"/>
              <w:suppressLineNumbers w:val="0"/>
              <w:spacing w:before="0" w:beforeAutospacing="0" w:after="0" w:afterAutospacing="0"/>
              <w:ind w:left="0" w:right="0" w:firstLine="2100" w:firstLineChars="10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年   月   日</w:t>
            </w:r>
          </w:p>
        </w:tc>
        <w:tc>
          <w:tcPr>
            <w:tcW w:w="3932" w:type="dxa"/>
            <w:gridSpan w:val="2"/>
            <w:tcBorders>
              <w:top w:val="single" w:color="auto" w:sz="6" w:space="0"/>
              <w:bottom w:val="single" w:color="auto" w:sz="6" w:space="0"/>
              <w:right w:val="single" w:color="auto" w:sz="18" w:space="0"/>
            </w:tcBorders>
            <w:vAlign w:val="center"/>
          </w:tcPr>
          <w:p w14:paraId="66045757">
            <w:pPr>
              <w:keepNext w:val="0"/>
              <w:keepLines w:val="0"/>
              <w:suppressLineNumbers w:val="0"/>
              <w:spacing w:before="0" w:beforeAutospacing="0" w:after="0" w:afterAutospacing="0"/>
              <w:ind w:left="0" w:right="0" w:firstLine="3780" w:firstLineChars="1800"/>
              <w:rPr>
                <w:rFonts w:hint="eastAsia" w:ascii="宋体" w:hAnsi="宋体" w:eastAsia="宋体" w:cs="宋体"/>
                <w:color w:val="auto"/>
                <w:kern w:val="0"/>
                <w:szCs w:val="21"/>
                <w:highlight w:val="none"/>
              </w:rPr>
            </w:pPr>
          </w:p>
          <w:p w14:paraId="7F154589">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1A2D1434">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0B1AA6B4">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造价工程师：             </w:t>
            </w:r>
          </w:p>
          <w:p w14:paraId="292251E3">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309A35F4">
            <w:pPr>
              <w:keepNext w:val="0"/>
              <w:keepLines w:val="0"/>
              <w:suppressLineNumbers w:val="0"/>
              <w:spacing w:before="0" w:beforeAutospacing="0" w:after="0" w:afterAutospacing="0"/>
              <w:ind w:left="0" w:right="0" w:firstLine="2310" w:firstLineChars="1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r>
      <w:tr w14:paraId="352EC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vMerge w:val="continue"/>
            <w:tcBorders>
              <w:top w:val="single" w:color="auto" w:sz="6" w:space="0"/>
              <w:left w:val="single" w:color="auto" w:sz="18" w:space="0"/>
              <w:bottom w:val="single" w:color="auto" w:sz="6" w:space="0"/>
            </w:tcBorders>
            <w:vAlign w:val="center"/>
          </w:tcPr>
          <w:p w14:paraId="0943A956">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1819" w:type="dxa"/>
            <w:gridSpan w:val="2"/>
            <w:tcBorders>
              <w:top w:val="single" w:color="auto" w:sz="6" w:space="0"/>
              <w:bottom w:val="single" w:color="auto" w:sz="6" w:space="0"/>
            </w:tcBorders>
            <w:vAlign w:val="center"/>
          </w:tcPr>
          <w:p w14:paraId="6A6CD983">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估算金额≤</w:t>
            </w:r>
          </w:p>
          <w:p w14:paraId="4F868538">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30万元</w:t>
            </w:r>
          </w:p>
        </w:tc>
        <w:tc>
          <w:tcPr>
            <w:tcW w:w="6047" w:type="dxa"/>
            <w:gridSpan w:val="5"/>
            <w:tcBorders>
              <w:top w:val="single" w:color="auto" w:sz="6" w:space="0"/>
              <w:bottom w:val="single" w:color="auto" w:sz="6" w:space="0"/>
              <w:right w:val="single" w:color="auto" w:sz="18" w:space="0"/>
            </w:tcBorders>
            <w:vAlign w:val="center"/>
          </w:tcPr>
          <w:p w14:paraId="162E775C">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审批意见：</w:t>
            </w:r>
          </w:p>
          <w:p w14:paraId="34A05DD9">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47BF463A">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2D918330">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423B112A">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0101C13C">
            <w:pPr>
              <w:keepNext w:val="0"/>
              <w:keepLines w:val="0"/>
              <w:suppressLineNumbers w:val="0"/>
              <w:spacing w:before="0" w:beforeAutospacing="0" w:after="0" w:afterAutospacing="0"/>
              <w:ind w:left="0" w:right="0" w:firstLine="1260" w:firstLineChars="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项目负责人：                年   月   日</w:t>
            </w:r>
          </w:p>
        </w:tc>
      </w:tr>
      <w:tr w14:paraId="754959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6" w:hRule="atLeast"/>
          <w:jc w:val="center"/>
        </w:trPr>
        <w:tc>
          <w:tcPr>
            <w:tcW w:w="1652" w:type="dxa"/>
            <w:gridSpan w:val="3"/>
            <w:vMerge w:val="continue"/>
            <w:tcBorders>
              <w:top w:val="single" w:color="auto" w:sz="6" w:space="0"/>
              <w:left w:val="single" w:color="auto" w:sz="18" w:space="0"/>
              <w:bottom w:val="single" w:color="auto" w:sz="6" w:space="0"/>
            </w:tcBorders>
            <w:vAlign w:val="center"/>
          </w:tcPr>
          <w:p w14:paraId="0EA3D1BA">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1819" w:type="dxa"/>
            <w:gridSpan w:val="2"/>
            <w:vMerge w:val="restart"/>
            <w:tcBorders>
              <w:top w:val="single" w:color="auto" w:sz="6" w:space="0"/>
              <w:bottom w:val="single" w:color="auto" w:sz="6" w:space="0"/>
            </w:tcBorders>
            <w:vAlign w:val="center"/>
          </w:tcPr>
          <w:p w14:paraId="5C58ADB4">
            <w:pPr>
              <w:keepNext w:val="0"/>
              <w:keepLines w:val="0"/>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30万元＜估算金额≤100万元</w:t>
            </w:r>
          </w:p>
        </w:tc>
        <w:tc>
          <w:tcPr>
            <w:tcW w:w="6047" w:type="dxa"/>
            <w:gridSpan w:val="5"/>
            <w:tcBorders>
              <w:top w:val="single" w:color="auto" w:sz="6" w:space="0"/>
              <w:bottom w:val="single" w:color="auto" w:sz="6" w:space="0"/>
              <w:right w:val="single" w:color="auto" w:sz="18" w:space="0"/>
            </w:tcBorders>
          </w:tcPr>
          <w:p w14:paraId="1F49A63F">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审批意见：</w:t>
            </w:r>
          </w:p>
          <w:p w14:paraId="38EAF9BD">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424041DB">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5377D5F6">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723D05D5">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项目公司总经理：            年   月   日</w:t>
            </w:r>
          </w:p>
        </w:tc>
      </w:tr>
      <w:tr w14:paraId="591EA2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6" w:hRule="atLeast"/>
          <w:jc w:val="center"/>
        </w:trPr>
        <w:tc>
          <w:tcPr>
            <w:tcW w:w="1652" w:type="dxa"/>
            <w:gridSpan w:val="3"/>
            <w:vMerge w:val="continue"/>
            <w:tcBorders>
              <w:top w:val="single" w:color="auto" w:sz="6" w:space="0"/>
              <w:left w:val="single" w:color="auto" w:sz="18" w:space="0"/>
              <w:bottom w:val="single" w:color="auto" w:sz="6" w:space="0"/>
            </w:tcBorders>
            <w:vAlign w:val="center"/>
          </w:tcPr>
          <w:p w14:paraId="2D2ED25C">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1819" w:type="dxa"/>
            <w:gridSpan w:val="2"/>
            <w:vMerge w:val="continue"/>
            <w:tcBorders>
              <w:top w:val="single" w:color="auto" w:sz="6" w:space="0"/>
              <w:bottom w:val="single" w:color="auto" w:sz="6" w:space="0"/>
            </w:tcBorders>
            <w:vAlign w:val="center"/>
          </w:tcPr>
          <w:p w14:paraId="68113173">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tc>
        <w:tc>
          <w:tcPr>
            <w:tcW w:w="6047" w:type="dxa"/>
            <w:gridSpan w:val="5"/>
            <w:tcBorders>
              <w:top w:val="single" w:color="auto" w:sz="6" w:space="0"/>
              <w:bottom w:val="single" w:color="auto" w:sz="6" w:space="0"/>
              <w:right w:val="single" w:color="auto" w:sz="18" w:space="0"/>
            </w:tcBorders>
          </w:tcPr>
          <w:p w14:paraId="38382173">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审批意见：</w:t>
            </w:r>
          </w:p>
          <w:p w14:paraId="7849143E">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2C29DDAA">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67DD1AB9">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7A2010C4">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项目公司董事长：            年   月   日</w:t>
            </w:r>
          </w:p>
        </w:tc>
      </w:tr>
      <w:tr w14:paraId="66D21C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vMerge w:val="continue"/>
            <w:tcBorders>
              <w:top w:val="single" w:color="auto" w:sz="6" w:space="0"/>
              <w:left w:val="single" w:color="auto" w:sz="18" w:space="0"/>
              <w:bottom w:val="single" w:color="auto" w:sz="6" w:space="0"/>
            </w:tcBorders>
            <w:vAlign w:val="center"/>
          </w:tcPr>
          <w:p w14:paraId="2E37FA61">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819" w:type="dxa"/>
            <w:gridSpan w:val="2"/>
            <w:vMerge w:val="continue"/>
            <w:tcBorders>
              <w:top w:val="single" w:color="auto" w:sz="6" w:space="0"/>
              <w:bottom w:val="single" w:color="auto" w:sz="6" w:space="0"/>
            </w:tcBorders>
            <w:vAlign w:val="center"/>
          </w:tcPr>
          <w:p w14:paraId="082D76C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047" w:type="dxa"/>
            <w:gridSpan w:val="5"/>
            <w:tcBorders>
              <w:top w:val="single" w:color="auto" w:sz="6" w:space="0"/>
              <w:bottom w:val="single" w:color="auto" w:sz="6" w:space="0"/>
              <w:right w:val="single" w:color="auto" w:sz="18" w:space="0"/>
            </w:tcBorders>
          </w:tcPr>
          <w:p w14:paraId="63915FBE">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审批意见：                                   </w:t>
            </w:r>
          </w:p>
          <w:p w14:paraId="1E286431">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14:paraId="11017D30">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14:paraId="73B4C419">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14:paraId="28A00973">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14:paraId="1B3A2285">
            <w:pPr>
              <w:keepNext w:val="0"/>
              <w:keepLines w:val="0"/>
              <w:suppressLineNumbers w:val="0"/>
              <w:wordWrap w:val="0"/>
              <w:spacing w:before="0" w:beforeAutospacing="0" w:after="0" w:afterAutospacing="0"/>
              <w:ind w:left="0" w:right="0"/>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上级公司总经理：           年   月   日     </w:t>
            </w:r>
          </w:p>
        </w:tc>
      </w:tr>
      <w:tr w14:paraId="7B6D67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vMerge w:val="continue"/>
            <w:tcBorders>
              <w:top w:val="single" w:color="auto" w:sz="6" w:space="0"/>
              <w:left w:val="single" w:color="auto" w:sz="18" w:space="0"/>
              <w:bottom w:val="single" w:color="auto" w:sz="6" w:space="0"/>
            </w:tcBorders>
            <w:vAlign w:val="center"/>
          </w:tcPr>
          <w:p w14:paraId="3870F42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819" w:type="dxa"/>
            <w:gridSpan w:val="2"/>
            <w:vMerge w:val="continue"/>
            <w:tcBorders>
              <w:top w:val="single" w:color="auto" w:sz="6" w:space="0"/>
              <w:bottom w:val="single" w:color="auto" w:sz="6" w:space="0"/>
            </w:tcBorders>
          </w:tcPr>
          <w:p w14:paraId="5D167F9C">
            <w:pPr>
              <w:keepNext w:val="0"/>
              <w:keepLines w:val="0"/>
              <w:suppressLineNumbers w:val="0"/>
              <w:spacing w:before="0" w:beforeAutospacing="0" w:after="0" w:afterAutospacing="0"/>
              <w:ind w:left="0" w:right="0"/>
              <w:jc w:val="right"/>
              <w:rPr>
                <w:rFonts w:hint="eastAsia" w:ascii="宋体" w:hAnsi="宋体" w:eastAsia="宋体" w:cs="宋体"/>
                <w:color w:val="auto"/>
                <w:szCs w:val="21"/>
                <w:highlight w:val="none"/>
              </w:rPr>
            </w:pPr>
          </w:p>
        </w:tc>
        <w:tc>
          <w:tcPr>
            <w:tcW w:w="6047" w:type="dxa"/>
            <w:gridSpan w:val="5"/>
            <w:tcBorders>
              <w:top w:val="single" w:color="auto" w:sz="6" w:space="0"/>
              <w:bottom w:val="single" w:color="auto" w:sz="6" w:space="0"/>
              <w:right w:val="single" w:color="auto" w:sz="18" w:space="0"/>
            </w:tcBorders>
          </w:tcPr>
          <w:p w14:paraId="2259ABBE">
            <w:pPr>
              <w:keepNext w:val="0"/>
              <w:keepLines w:val="0"/>
              <w:suppressLineNumbers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审批意见：</w:t>
            </w:r>
          </w:p>
          <w:p w14:paraId="430FBD09">
            <w:pPr>
              <w:keepNext w:val="0"/>
              <w:keepLines w:val="0"/>
              <w:suppressLineNumbers w:val="0"/>
              <w:spacing w:before="0" w:beforeAutospacing="0" w:after="0" w:afterAutospacing="0"/>
              <w:ind w:left="0" w:right="0"/>
              <w:jc w:val="right"/>
              <w:rPr>
                <w:rFonts w:hint="eastAsia" w:ascii="宋体" w:hAnsi="宋体" w:eastAsia="宋体" w:cs="宋体"/>
                <w:color w:val="auto"/>
                <w:kern w:val="0"/>
                <w:szCs w:val="21"/>
                <w:highlight w:val="none"/>
              </w:rPr>
            </w:pPr>
          </w:p>
          <w:p w14:paraId="580B5C27">
            <w:pPr>
              <w:keepNext w:val="0"/>
              <w:keepLines w:val="0"/>
              <w:suppressLineNumbers w:val="0"/>
              <w:spacing w:before="0" w:beforeAutospacing="0" w:after="0" w:afterAutospacing="0"/>
              <w:ind w:left="0" w:right="0"/>
              <w:jc w:val="right"/>
              <w:rPr>
                <w:rFonts w:hint="eastAsia" w:ascii="宋体" w:hAnsi="宋体" w:eastAsia="宋体" w:cs="宋体"/>
                <w:color w:val="auto"/>
                <w:kern w:val="0"/>
                <w:szCs w:val="21"/>
                <w:highlight w:val="none"/>
              </w:rPr>
            </w:pPr>
          </w:p>
          <w:p w14:paraId="5CBF7246">
            <w:pPr>
              <w:keepNext w:val="0"/>
              <w:keepLines w:val="0"/>
              <w:suppressLineNumbers w:val="0"/>
              <w:spacing w:before="0" w:beforeAutospacing="0" w:after="0" w:afterAutospacing="0"/>
              <w:ind w:left="0" w:right="0"/>
              <w:jc w:val="right"/>
              <w:rPr>
                <w:rFonts w:hint="eastAsia" w:ascii="宋体" w:hAnsi="宋体" w:eastAsia="宋体" w:cs="宋体"/>
                <w:color w:val="auto"/>
                <w:kern w:val="0"/>
                <w:szCs w:val="21"/>
                <w:highlight w:val="none"/>
              </w:rPr>
            </w:pPr>
          </w:p>
          <w:p w14:paraId="2734A0E5">
            <w:pPr>
              <w:keepNext w:val="0"/>
              <w:keepLines w:val="0"/>
              <w:suppressLineNumbers w:val="0"/>
              <w:spacing w:before="0" w:beforeAutospacing="0" w:after="0" w:afterAutospacing="0"/>
              <w:ind w:left="0" w:right="0"/>
              <w:jc w:val="right"/>
              <w:rPr>
                <w:rFonts w:hint="eastAsia" w:ascii="宋体" w:hAnsi="宋体" w:eastAsia="宋体" w:cs="宋体"/>
                <w:color w:val="auto"/>
                <w:kern w:val="0"/>
                <w:szCs w:val="21"/>
                <w:highlight w:val="none"/>
              </w:rPr>
            </w:pPr>
          </w:p>
          <w:p w14:paraId="5E0B6C4C">
            <w:pPr>
              <w:keepNext w:val="0"/>
              <w:keepLines w:val="0"/>
              <w:suppressLineNumbers w:val="0"/>
              <w:wordWrap w:val="0"/>
              <w:spacing w:before="0" w:beforeAutospacing="0" w:after="0" w:afterAutospacing="0"/>
              <w:ind w:left="0" w:right="0"/>
              <w:jc w:val="right"/>
              <w:rPr>
                <w:rFonts w:hint="eastAsia" w:ascii="宋体" w:hAnsi="宋体" w:eastAsia="宋体" w:cs="宋体"/>
                <w:color w:val="auto"/>
                <w:highlight w:val="none"/>
              </w:rPr>
            </w:pPr>
            <w:r>
              <w:rPr>
                <w:rFonts w:hint="eastAsia" w:ascii="宋体" w:hAnsi="宋体" w:eastAsia="宋体" w:cs="宋体"/>
                <w:color w:val="auto"/>
                <w:kern w:val="0"/>
                <w:szCs w:val="21"/>
                <w:highlight w:val="none"/>
              </w:rPr>
              <w:t xml:space="preserve">上级公司董事长：          年   月   日     </w:t>
            </w:r>
          </w:p>
        </w:tc>
      </w:tr>
      <w:tr w14:paraId="049A9B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34" w:hRule="atLeast"/>
          <w:jc w:val="center"/>
        </w:trPr>
        <w:tc>
          <w:tcPr>
            <w:tcW w:w="1652" w:type="dxa"/>
            <w:gridSpan w:val="3"/>
            <w:vMerge w:val="continue"/>
            <w:tcBorders>
              <w:top w:val="single" w:color="auto" w:sz="6" w:space="0"/>
              <w:left w:val="single" w:color="auto" w:sz="18" w:space="0"/>
              <w:bottom w:val="single" w:color="auto" w:sz="18" w:space="0"/>
            </w:tcBorders>
            <w:vAlign w:val="center"/>
          </w:tcPr>
          <w:p w14:paraId="4F8DCDE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819" w:type="dxa"/>
            <w:gridSpan w:val="2"/>
            <w:tcBorders>
              <w:top w:val="single" w:color="auto" w:sz="6" w:space="0"/>
              <w:bottom w:val="single" w:color="auto" w:sz="18" w:space="0"/>
            </w:tcBorders>
            <w:vAlign w:val="center"/>
          </w:tcPr>
          <w:p w14:paraId="609886C0">
            <w:pPr>
              <w:keepNext w:val="0"/>
              <w:keepLines w:val="0"/>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估算金额＞</w:t>
            </w:r>
          </w:p>
          <w:p w14:paraId="3BDCCA9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100万元</w:t>
            </w:r>
          </w:p>
        </w:tc>
        <w:tc>
          <w:tcPr>
            <w:tcW w:w="6047" w:type="dxa"/>
            <w:gridSpan w:val="5"/>
            <w:tcBorders>
              <w:top w:val="single" w:color="auto" w:sz="6" w:space="0"/>
              <w:bottom w:val="single" w:color="auto" w:sz="18" w:space="0"/>
              <w:right w:val="single" w:color="auto" w:sz="18" w:space="0"/>
            </w:tcBorders>
          </w:tcPr>
          <w:p w14:paraId="3A66D8C7">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审批意见：</w:t>
            </w:r>
          </w:p>
          <w:p w14:paraId="316AB0DD">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14:paraId="3487E872">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14:paraId="3E5071D6">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14:paraId="5DBBABC5">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14:paraId="3DABB3E8">
            <w:pPr>
              <w:keepNext w:val="0"/>
              <w:keepLines w:val="0"/>
              <w:suppressLineNumbers w:val="0"/>
              <w:spacing w:before="0" w:beforeAutospacing="0" w:after="0" w:afterAutospacing="0"/>
              <w:ind w:left="0" w:right="0" w:firstLine="1260" w:firstLineChars="600"/>
              <w:rPr>
                <w:rFonts w:hint="eastAsia" w:ascii="宋体" w:hAnsi="宋体" w:eastAsia="宋体" w:cs="宋体"/>
                <w:color w:val="auto"/>
                <w:highlight w:val="none"/>
              </w:rPr>
            </w:pPr>
            <w:r>
              <w:rPr>
                <w:rFonts w:hint="eastAsia" w:ascii="宋体" w:hAnsi="宋体" w:eastAsia="宋体" w:cs="宋体"/>
                <w:color w:val="auto"/>
                <w:kern w:val="0"/>
                <w:szCs w:val="21"/>
                <w:highlight w:val="none"/>
              </w:rPr>
              <w:t>集团：                      年   月   日</w:t>
            </w:r>
          </w:p>
        </w:tc>
      </w:tr>
    </w:tbl>
    <w:p w14:paraId="3C6758FC">
      <w:pPr>
        <w:rPr>
          <w:rFonts w:hint="eastAsia" w:ascii="宋体" w:hAnsi="宋体" w:eastAsia="宋体" w:cs="宋体"/>
          <w:b/>
          <w:color w:val="auto"/>
          <w:highlight w:val="none"/>
        </w:rPr>
      </w:pPr>
    </w:p>
    <w:p w14:paraId="5C96E764">
      <w:pPr>
        <w:rPr>
          <w:rFonts w:hint="eastAsia" w:ascii="宋体" w:hAnsi="宋体" w:eastAsia="宋体" w:cs="宋体"/>
          <w:color w:val="auto"/>
          <w:highlight w:val="none"/>
        </w:rPr>
      </w:pPr>
      <w:r>
        <w:rPr>
          <w:rFonts w:hint="eastAsia" w:ascii="宋体" w:hAnsi="宋体" w:eastAsia="宋体" w:cs="宋体"/>
          <w:b/>
          <w:color w:val="auto"/>
          <w:highlight w:val="none"/>
        </w:rPr>
        <w:t>注</w:t>
      </w:r>
      <w:r>
        <w:rPr>
          <w:rFonts w:hint="eastAsia" w:ascii="宋体" w:hAnsi="宋体" w:eastAsia="宋体" w:cs="宋体"/>
          <w:color w:val="auto"/>
          <w:highlight w:val="none"/>
        </w:rPr>
        <w:t>：一、本表格必须双面打印，共一式6份，</w:t>
      </w:r>
      <w:r>
        <w:rPr>
          <w:rFonts w:hint="eastAsia" w:ascii="宋体" w:hAnsi="宋体" w:eastAsia="宋体" w:cs="宋体"/>
          <w:color w:val="auto"/>
          <w:szCs w:val="21"/>
          <w:highlight w:val="none"/>
        </w:rPr>
        <w:t>施工、监理、造价咨询、建设管理单位各持1份，建设单位持2份</w:t>
      </w:r>
      <w:r>
        <w:rPr>
          <w:rFonts w:hint="eastAsia" w:ascii="宋体" w:hAnsi="宋体" w:eastAsia="宋体" w:cs="宋体"/>
          <w:color w:val="auto"/>
          <w:highlight w:val="none"/>
        </w:rPr>
        <w:t>。</w:t>
      </w:r>
    </w:p>
    <w:p w14:paraId="4FF6E803">
      <w:pPr>
        <w:ind w:left="48" w:leftChars="23" w:firstLine="409" w:firstLineChars="194"/>
        <w:rPr>
          <w:rFonts w:hint="eastAsia" w:ascii="宋体" w:hAnsi="宋体" w:eastAsia="宋体" w:cs="宋体"/>
          <w:color w:val="auto"/>
          <w:kern w:val="0"/>
          <w:highlight w:val="none"/>
        </w:rPr>
      </w:pPr>
      <w:r>
        <w:rPr>
          <w:rFonts w:hint="eastAsia" w:ascii="宋体" w:hAnsi="宋体" w:eastAsia="宋体" w:cs="宋体"/>
          <w:b/>
          <w:color w:val="auto"/>
          <w:kern w:val="0"/>
          <w:highlight w:val="none"/>
        </w:rPr>
        <w:t>二</w:t>
      </w:r>
      <w:r>
        <w:rPr>
          <w:rFonts w:hint="eastAsia" w:ascii="宋体" w:hAnsi="宋体" w:eastAsia="宋体" w:cs="宋体"/>
          <w:color w:val="auto"/>
          <w:kern w:val="0"/>
          <w:highlight w:val="none"/>
        </w:rPr>
        <w:t>、填表说明：</w:t>
      </w:r>
    </w:p>
    <w:p w14:paraId="52C1068B">
      <w:pPr>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1、签证内容</w:t>
      </w:r>
      <w:r>
        <w:rPr>
          <w:rFonts w:hint="eastAsia" w:ascii="宋体" w:hAnsi="宋体" w:eastAsia="宋体" w:cs="宋体"/>
          <w:color w:val="auto"/>
          <w:highlight w:val="none"/>
        </w:rPr>
        <w:t>：包括但不限于所列内容；</w:t>
      </w:r>
    </w:p>
    <w:p w14:paraId="11E36A46">
      <w:pPr>
        <w:ind w:left="735" w:leftChars="200" w:hanging="315" w:hangingChars="150"/>
        <w:rPr>
          <w:rFonts w:hint="eastAsia" w:ascii="宋体" w:hAnsi="宋体" w:eastAsia="宋体" w:cs="宋体"/>
          <w:b/>
          <w:color w:val="auto"/>
          <w:highlight w:val="none"/>
        </w:rPr>
      </w:pPr>
      <w:r>
        <w:rPr>
          <w:rFonts w:hint="eastAsia" w:ascii="宋体" w:hAnsi="宋体" w:eastAsia="宋体" w:cs="宋体"/>
          <w:color w:val="auto"/>
          <w:kern w:val="0"/>
          <w:highlight w:val="none"/>
        </w:rPr>
        <w:t>2、</w:t>
      </w:r>
      <w:r>
        <w:rPr>
          <w:rFonts w:hint="eastAsia" w:ascii="宋体" w:hAnsi="宋体" w:eastAsia="宋体" w:cs="宋体"/>
          <w:color w:val="auto"/>
          <w:highlight w:val="none"/>
        </w:rPr>
        <w:t>签证事项完成7天内施工方申报（如隐蔽工程必须在隐蔽前报监理、项目部签认），监理部、项目部；</w:t>
      </w:r>
    </w:p>
    <w:p w14:paraId="5774BA20">
      <w:pPr>
        <w:ind w:left="735" w:leftChars="200" w:hanging="315" w:hangingChars="15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kern w:val="0"/>
          <w:highlight w:val="none"/>
        </w:rPr>
        <w:t>一事一签证，一单一审；项目部负责</w:t>
      </w:r>
      <w:r>
        <w:rPr>
          <w:rFonts w:hint="eastAsia" w:ascii="宋体" w:hAnsi="宋体" w:eastAsia="宋体" w:cs="宋体"/>
          <w:color w:val="auto"/>
          <w:highlight w:val="none"/>
        </w:rPr>
        <w:t xml:space="preserve">签证单按同一合同连续编号（流水号）： </w:t>
      </w:r>
    </w:p>
    <w:p w14:paraId="68C252E5">
      <w:pPr>
        <w:ind w:firstLine="420" w:firstLineChars="200"/>
        <w:rPr>
          <w:rFonts w:hint="eastAsia" w:ascii="宋体" w:hAnsi="宋体" w:eastAsia="宋体" w:cs="宋体"/>
          <w:color w:val="auto"/>
          <w:szCs w:val="21"/>
          <w:highlight w:val="none"/>
        </w:rPr>
        <w:sectPr>
          <w:pgSz w:w="11920" w:h="16840"/>
          <w:pgMar w:top="1134" w:right="1417" w:bottom="1134" w:left="1417" w:header="720" w:footer="720" w:gutter="0"/>
          <w:pgNumType w:fmt="numberInDash"/>
          <w:cols w:space="720" w:num="1"/>
        </w:sectPr>
      </w:pPr>
      <w:r>
        <w:rPr>
          <w:rFonts w:hint="eastAsia" w:ascii="宋体" w:hAnsi="宋体" w:eastAsia="宋体" w:cs="宋体"/>
          <w:color w:val="auto"/>
          <w:kern w:val="0"/>
          <w:highlight w:val="none"/>
        </w:rPr>
        <w:t>4、施工单位、监理单位盖章必须有效授权。</w:t>
      </w:r>
    </w:p>
    <w:p w14:paraId="0F698433">
      <w:pPr>
        <w:spacing w:line="440" w:lineRule="exac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附件七：</w:t>
      </w:r>
    </w:p>
    <w:p w14:paraId="682834A0">
      <w:pPr>
        <w:spacing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中标通知书</w:t>
      </w:r>
    </w:p>
    <w:p w14:paraId="52B36F8C">
      <w:pPr>
        <w:spacing w:line="440" w:lineRule="exact"/>
        <w:rPr>
          <w:rFonts w:hint="eastAsia" w:ascii="宋体" w:hAnsi="宋体" w:eastAsia="宋体" w:cs="宋体"/>
          <w:b/>
          <w:bCs/>
          <w:color w:val="auto"/>
          <w:highlight w:val="none"/>
          <w:u w:val="single"/>
        </w:rPr>
      </w:pPr>
    </w:p>
    <w:p w14:paraId="387058F5">
      <w:pPr>
        <w:spacing w:line="440" w:lineRule="exact"/>
        <w:rPr>
          <w:rFonts w:hint="eastAsia" w:ascii="宋体" w:hAnsi="宋体" w:eastAsia="宋体" w:cs="宋体"/>
          <w:b/>
          <w:bCs/>
          <w:color w:val="auto"/>
          <w:highlight w:val="none"/>
          <w:u w:val="single"/>
        </w:rPr>
      </w:pPr>
    </w:p>
    <w:p w14:paraId="3AB7D3E2">
      <w:pPr>
        <w:spacing w:line="440" w:lineRule="exact"/>
        <w:rPr>
          <w:rFonts w:hint="eastAsia" w:ascii="宋体" w:hAnsi="宋体" w:eastAsia="宋体" w:cs="宋体"/>
          <w:b/>
          <w:bCs/>
          <w:color w:val="auto"/>
          <w:highlight w:val="none"/>
          <w:u w:val="single"/>
        </w:rPr>
      </w:pPr>
    </w:p>
    <w:p w14:paraId="0A2098B4">
      <w:pPr>
        <w:spacing w:line="440" w:lineRule="exact"/>
        <w:rPr>
          <w:rFonts w:hint="eastAsia" w:ascii="宋体" w:hAnsi="宋体" w:eastAsia="宋体" w:cs="宋体"/>
          <w:b/>
          <w:bCs/>
          <w:color w:val="auto"/>
          <w:highlight w:val="none"/>
          <w:u w:val="single"/>
        </w:rPr>
      </w:pPr>
    </w:p>
    <w:p w14:paraId="520DA8A0">
      <w:pPr>
        <w:spacing w:line="440" w:lineRule="exact"/>
        <w:rPr>
          <w:rFonts w:hint="eastAsia" w:ascii="宋体" w:hAnsi="宋体" w:eastAsia="宋体" w:cs="宋体"/>
          <w:b/>
          <w:bCs/>
          <w:color w:val="auto"/>
          <w:highlight w:val="none"/>
          <w:u w:val="single"/>
        </w:rPr>
      </w:pPr>
    </w:p>
    <w:p w14:paraId="4809F4D5">
      <w:pPr>
        <w:spacing w:line="440" w:lineRule="exact"/>
        <w:rPr>
          <w:rFonts w:hint="eastAsia" w:ascii="宋体" w:hAnsi="宋体" w:eastAsia="宋体" w:cs="宋体"/>
          <w:b/>
          <w:bCs/>
          <w:color w:val="auto"/>
          <w:highlight w:val="none"/>
          <w:u w:val="single"/>
        </w:rPr>
      </w:pPr>
    </w:p>
    <w:p w14:paraId="0A456174">
      <w:pPr>
        <w:spacing w:line="440" w:lineRule="exact"/>
        <w:rPr>
          <w:rFonts w:hint="eastAsia" w:ascii="宋体" w:hAnsi="宋体" w:eastAsia="宋体" w:cs="宋体"/>
          <w:b/>
          <w:bCs/>
          <w:color w:val="auto"/>
          <w:highlight w:val="none"/>
          <w:u w:val="single"/>
        </w:rPr>
      </w:pPr>
    </w:p>
    <w:p w14:paraId="5DDDA201">
      <w:pPr>
        <w:spacing w:line="440" w:lineRule="exact"/>
        <w:rPr>
          <w:rFonts w:hint="eastAsia" w:ascii="宋体" w:hAnsi="宋体" w:eastAsia="宋体" w:cs="宋体"/>
          <w:b/>
          <w:bCs/>
          <w:color w:val="auto"/>
          <w:highlight w:val="none"/>
          <w:u w:val="single"/>
        </w:rPr>
      </w:pPr>
    </w:p>
    <w:p w14:paraId="05AB597E">
      <w:pPr>
        <w:spacing w:line="440" w:lineRule="exact"/>
        <w:rPr>
          <w:rFonts w:hint="eastAsia" w:ascii="宋体" w:hAnsi="宋体" w:eastAsia="宋体" w:cs="宋体"/>
          <w:b/>
          <w:bCs/>
          <w:color w:val="auto"/>
          <w:highlight w:val="none"/>
          <w:u w:val="single"/>
        </w:rPr>
      </w:pPr>
    </w:p>
    <w:p w14:paraId="52B7381B">
      <w:pPr>
        <w:spacing w:line="440" w:lineRule="exact"/>
        <w:rPr>
          <w:rFonts w:hint="eastAsia" w:ascii="宋体" w:hAnsi="宋体" w:eastAsia="宋体" w:cs="宋体"/>
          <w:b/>
          <w:bCs/>
          <w:color w:val="auto"/>
          <w:highlight w:val="none"/>
          <w:u w:val="single"/>
        </w:rPr>
      </w:pPr>
    </w:p>
    <w:p w14:paraId="0DA45588">
      <w:pPr>
        <w:spacing w:line="440" w:lineRule="exact"/>
        <w:rPr>
          <w:rFonts w:hint="eastAsia" w:ascii="宋体" w:hAnsi="宋体" w:eastAsia="宋体" w:cs="宋体"/>
          <w:b/>
          <w:bCs/>
          <w:color w:val="auto"/>
          <w:highlight w:val="none"/>
          <w:u w:val="single"/>
        </w:rPr>
      </w:pPr>
    </w:p>
    <w:p w14:paraId="35C63C38">
      <w:pPr>
        <w:spacing w:line="440" w:lineRule="exact"/>
        <w:rPr>
          <w:rFonts w:hint="eastAsia" w:ascii="宋体" w:hAnsi="宋体" w:eastAsia="宋体" w:cs="宋体"/>
          <w:b/>
          <w:bCs/>
          <w:color w:val="auto"/>
          <w:highlight w:val="none"/>
          <w:u w:val="single"/>
        </w:rPr>
      </w:pPr>
    </w:p>
    <w:p w14:paraId="1062846E">
      <w:pPr>
        <w:spacing w:line="440" w:lineRule="exact"/>
        <w:rPr>
          <w:rFonts w:hint="eastAsia" w:ascii="宋体" w:hAnsi="宋体" w:eastAsia="宋体" w:cs="宋体"/>
          <w:b/>
          <w:bCs/>
          <w:color w:val="auto"/>
          <w:highlight w:val="none"/>
          <w:u w:val="single"/>
        </w:rPr>
      </w:pPr>
    </w:p>
    <w:p w14:paraId="2C985BAF">
      <w:pPr>
        <w:spacing w:line="440" w:lineRule="exact"/>
        <w:rPr>
          <w:rFonts w:hint="eastAsia" w:ascii="宋体" w:hAnsi="宋体" w:eastAsia="宋体" w:cs="宋体"/>
          <w:b/>
          <w:bCs/>
          <w:color w:val="auto"/>
          <w:highlight w:val="none"/>
          <w:u w:val="single"/>
        </w:rPr>
      </w:pPr>
    </w:p>
    <w:p w14:paraId="4CC3D6E7">
      <w:pPr>
        <w:spacing w:line="440" w:lineRule="exact"/>
        <w:rPr>
          <w:rFonts w:hint="eastAsia" w:ascii="宋体" w:hAnsi="宋体" w:eastAsia="宋体" w:cs="宋体"/>
          <w:b/>
          <w:bCs/>
          <w:color w:val="auto"/>
          <w:highlight w:val="none"/>
          <w:u w:val="single"/>
        </w:rPr>
      </w:pPr>
    </w:p>
    <w:p w14:paraId="382E7846">
      <w:pPr>
        <w:spacing w:line="440" w:lineRule="exact"/>
        <w:rPr>
          <w:rFonts w:hint="eastAsia" w:ascii="宋体" w:hAnsi="宋体" w:eastAsia="宋体" w:cs="宋体"/>
          <w:b/>
          <w:bCs/>
          <w:color w:val="auto"/>
          <w:highlight w:val="none"/>
          <w:u w:val="single"/>
        </w:rPr>
      </w:pPr>
    </w:p>
    <w:p w14:paraId="14B349DE">
      <w:pPr>
        <w:spacing w:line="440" w:lineRule="exact"/>
        <w:rPr>
          <w:rFonts w:hint="eastAsia" w:ascii="宋体" w:hAnsi="宋体" w:eastAsia="宋体" w:cs="宋体"/>
          <w:b/>
          <w:bCs/>
          <w:color w:val="auto"/>
          <w:highlight w:val="none"/>
          <w:u w:val="single"/>
        </w:rPr>
      </w:pPr>
    </w:p>
    <w:p w14:paraId="0BB13CFA">
      <w:pPr>
        <w:spacing w:line="440" w:lineRule="exact"/>
        <w:rPr>
          <w:rFonts w:hint="eastAsia" w:ascii="宋体" w:hAnsi="宋体" w:eastAsia="宋体" w:cs="宋体"/>
          <w:b/>
          <w:bCs/>
          <w:color w:val="auto"/>
          <w:highlight w:val="none"/>
          <w:u w:val="single"/>
        </w:rPr>
      </w:pPr>
    </w:p>
    <w:p w14:paraId="0D4AE8B1">
      <w:pPr>
        <w:spacing w:line="440" w:lineRule="exact"/>
        <w:rPr>
          <w:rFonts w:hint="eastAsia" w:ascii="宋体" w:hAnsi="宋体" w:eastAsia="宋体" w:cs="宋体"/>
          <w:b/>
          <w:bCs/>
          <w:color w:val="auto"/>
          <w:highlight w:val="none"/>
          <w:u w:val="single"/>
        </w:rPr>
      </w:pPr>
    </w:p>
    <w:p w14:paraId="26D4349E">
      <w:pPr>
        <w:spacing w:line="440" w:lineRule="exact"/>
        <w:rPr>
          <w:rFonts w:hint="eastAsia" w:ascii="宋体" w:hAnsi="宋体" w:eastAsia="宋体" w:cs="宋体"/>
          <w:b/>
          <w:bCs/>
          <w:color w:val="auto"/>
          <w:highlight w:val="none"/>
          <w:u w:val="single"/>
        </w:rPr>
      </w:pPr>
    </w:p>
    <w:p w14:paraId="3AD668C9">
      <w:pPr>
        <w:spacing w:line="440" w:lineRule="exact"/>
        <w:rPr>
          <w:rFonts w:hint="eastAsia" w:ascii="宋体" w:hAnsi="宋体" w:eastAsia="宋体" w:cs="宋体"/>
          <w:b/>
          <w:bCs/>
          <w:color w:val="auto"/>
          <w:highlight w:val="none"/>
          <w:u w:val="single"/>
        </w:rPr>
      </w:pPr>
    </w:p>
    <w:p w14:paraId="443AAB32">
      <w:pPr>
        <w:spacing w:line="440" w:lineRule="exact"/>
        <w:rPr>
          <w:rFonts w:hint="eastAsia" w:ascii="宋体" w:hAnsi="宋体" w:eastAsia="宋体" w:cs="宋体"/>
          <w:b/>
          <w:bCs/>
          <w:color w:val="auto"/>
          <w:highlight w:val="none"/>
          <w:u w:val="single"/>
        </w:rPr>
      </w:pPr>
    </w:p>
    <w:p w14:paraId="380F5394">
      <w:pPr>
        <w:spacing w:line="440" w:lineRule="exact"/>
        <w:rPr>
          <w:rFonts w:hint="eastAsia" w:ascii="宋体" w:hAnsi="宋体" w:eastAsia="宋体" w:cs="宋体"/>
          <w:b/>
          <w:bCs/>
          <w:color w:val="auto"/>
          <w:highlight w:val="none"/>
          <w:u w:val="single"/>
        </w:rPr>
      </w:pPr>
    </w:p>
    <w:p w14:paraId="61D86271">
      <w:pPr>
        <w:spacing w:line="440" w:lineRule="exact"/>
        <w:rPr>
          <w:rFonts w:hint="eastAsia" w:ascii="宋体" w:hAnsi="宋体" w:eastAsia="宋体" w:cs="宋体"/>
          <w:b/>
          <w:bCs/>
          <w:color w:val="auto"/>
          <w:highlight w:val="none"/>
          <w:u w:val="single"/>
        </w:rPr>
      </w:pPr>
    </w:p>
    <w:p w14:paraId="69ABFA4C">
      <w:pPr>
        <w:spacing w:line="440" w:lineRule="exact"/>
        <w:rPr>
          <w:rFonts w:hint="eastAsia" w:ascii="宋体" w:hAnsi="宋体" w:eastAsia="宋体" w:cs="宋体"/>
          <w:b/>
          <w:bCs/>
          <w:color w:val="auto"/>
          <w:highlight w:val="none"/>
          <w:u w:val="single"/>
        </w:rPr>
      </w:pPr>
    </w:p>
    <w:p w14:paraId="7E8B60A9">
      <w:pPr>
        <w:spacing w:line="440" w:lineRule="exact"/>
        <w:rPr>
          <w:rFonts w:hint="eastAsia" w:ascii="宋体" w:hAnsi="宋体" w:eastAsia="宋体" w:cs="宋体"/>
          <w:b/>
          <w:bCs/>
          <w:color w:val="auto"/>
          <w:highlight w:val="none"/>
          <w:u w:val="single"/>
        </w:rPr>
      </w:pPr>
    </w:p>
    <w:p w14:paraId="297F17CC">
      <w:pPr>
        <w:spacing w:line="440" w:lineRule="exact"/>
        <w:rPr>
          <w:rFonts w:hint="eastAsia" w:ascii="宋体" w:hAnsi="宋体" w:eastAsia="宋体" w:cs="宋体"/>
          <w:b/>
          <w:bCs/>
          <w:color w:val="auto"/>
          <w:highlight w:val="none"/>
          <w:u w:val="single"/>
        </w:rPr>
      </w:pPr>
    </w:p>
    <w:p w14:paraId="0EA1DCD9">
      <w:pPr>
        <w:spacing w:line="440" w:lineRule="exact"/>
        <w:rPr>
          <w:rFonts w:hint="eastAsia" w:ascii="宋体" w:hAnsi="宋体" w:eastAsia="宋体" w:cs="宋体"/>
          <w:b/>
          <w:bCs/>
          <w:color w:val="auto"/>
          <w:highlight w:val="none"/>
          <w:u w:val="single"/>
        </w:rPr>
      </w:pPr>
    </w:p>
    <w:p w14:paraId="72E0F142">
      <w:pPr>
        <w:pStyle w:val="6"/>
        <w:rPr>
          <w:rFonts w:hint="eastAsia" w:ascii="宋体" w:hAnsi="宋体" w:eastAsia="宋体" w:cs="宋体"/>
          <w:color w:val="auto"/>
          <w:highlight w:val="none"/>
        </w:rPr>
      </w:pPr>
    </w:p>
    <w:p w14:paraId="614C3EC1">
      <w:pPr>
        <w:spacing w:line="440" w:lineRule="exact"/>
        <w:rPr>
          <w:rFonts w:hint="eastAsia" w:ascii="宋体" w:hAnsi="宋体" w:eastAsia="宋体" w:cs="宋体"/>
          <w:b/>
          <w:bCs/>
          <w:color w:val="auto"/>
          <w:highlight w:val="none"/>
          <w:u w:val="single"/>
        </w:rPr>
      </w:pPr>
    </w:p>
    <w:p w14:paraId="24335FC1">
      <w:pPr>
        <w:spacing w:line="440" w:lineRule="exact"/>
        <w:rPr>
          <w:rFonts w:hint="eastAsia" w:ascii="宋体" w:hAnsi="宋体" w:eastAsia="宋体" w:cs="宋体"/>
          <w:b/>
          <w:bCs/>
          <w:color w:val="auto"/>
          <w:highlight w:val="none"/>
        </w:rPr>
      </w:pPr>
      <w:r>
        <w:rPr>
          <w:rFonts w:hint="eastAsia" w:ascii="宋体" w:hAnsi="宋体" w:eastAsia="宋体" w:cs="宋体"/>
          <w:b/>
          <w:bCs/>
          <w:color w:val="auto"/>
          <w:sz w:val="24"/>
          <w:highlight w:val="none"/>
        </w:rPr>
        <w:t>附件八：</w:t>
      </w:r>
    </w:p>
    <w:p w14:paraId="40588930">
      <w:pPr>
        <w:spacing w:line="360" w:lineRule="auto"/>
        <w:jc w:val="center"/>
        <w:rPr>
          <w:rFonts w:hint="eastAsia" w:ascii="宋体" w:hAnsi="宋体" w:eastAsia="宋体" w:cs="宋体"/>
          <w:b/>
          <w:color w:val="auto"/>
          <w:spacing w:val="40"/>
          <w:sz w:val="36"/>
          <w:szCs w:val="36"/>
          <w:highlight w:val="none"/>
        </w:rPr>
      </w:pPr>
      <w:r>
        <w:rPr>
          <w:rFonts w:hint="eastAsia" w:ascii="宋体" w:hAnsi="宋体" w:eastAsia="宋体" w:cs="宋体"/>
          <w:b/>
          <w:color w:val="auto"/>
          <w:spacing w:val="40"/>
          <w:sz w:val="36"/>
          <w:szCs w:val="36"/>
          <w:highlight w:val="none"/>
        </w:rPr>
        <w:t>履约担保</w:t>
      </w:r>
    </w:p>
    <w:p w14:paraId="1B47DC8C">
      <w:pPr>
        <w:spacing w:line="360" w:lineRule="auto"/>
        <w:rPr>
          <w:rFonts w:hint="eastAsia" w:ascii="宋体" w:hAnsi="宋体" w:eastAsia="宋体" w:cs="宋体"/>
          <w:color w:val="auto"/>
          <w:highlight w:val="none"/>
        </w:rPr>
      </w:pPr>
    </w:p>
    <w:p w14:paraId="5338DF5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（甲方全称）   </w:t>
      </w:r>
    </w:p>
    <w:p w14:paraId="4EE7F8F3">
      <w:pPr>
        <w:spacing w:line="360" w:lineRule="auto"/>
        <w:ind w:firstLine="48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鉴于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（乙方全称）(下称“乙方”)与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甲方全称）(下称“甲方”)签订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（工程名称）施工合同(编号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签署)，并保证乙方按合同约定履行实施、完成并保修合同工程的义务和责任；甲方在合同中要求乙方应通过经认可的银行提交合同指定的乙方履行本合同全部义务和责任的担保金额等事实，我方愿意为乙方担保，以担保金额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元(¥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元)向甲方提供不可撤销的担保。</w:t>
      </w:r>
    </w:p>
    <w:p w14:paraId="5A918393">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如果乙方在履行合同过程中发生违约或违背合同约定的义务和责任时，我方保证在担保金额额度内偿还或偿清甲方因乙方该项违约或违背所造成的经济损失，并在接到甲方提出赔偿要求的第</w:t>
      </w:r>
      <w:r>
        <w:rPr>
          <w:rFonts w:hint="eastAsia" w:ascii="宋体" w:hAnsi="宋体" w:eastAsia="宋体" w:cs="宋体"/>
          <w:color w:val="auto"/>
          <w:sz w:val="24"/>
          <w:highlight w:val="none"/>
          <w:u w:val="single"/>
        </w:rPr>
        <w:t>7</w:t>
      </w:r>
      <w:r>
        <w:rPr>
          <w:rFonts w:hint="eastAsia" w:ascii="宋体" w:hAnsi="宋体" w:eastAsia="宋体" w:cs="宋体"/>
          <w:color w:val="auto"/>
          <w:sz w:val="24"/>
          <w:highlight w:val="none"/>
        </w:rPr>
        <w:t>天内予以支付。</w:t>
      </w:r>
    </w:p>
    <w:p w14:paraId="66D691D0">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在向我方提出要求前，我方将不坚持要求甲方首先向乙方提出上述款项的索赔。</w:t>
      </w:r>
    </w:p>
    <w:p w14:paraId="4C2C26AE">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我方承诺：不论是否经我方知晓或同意，我方的义务和责任不因合同双方当事人对合同条款所作的任何修改或补充而解除。</w:t>
      </w:r>
    </w:p>
    <w:p w14:paraId="1B1D2D89">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本履约担保自合同双方当事人签署施工合同之日起生效，至担保金额支付完毕，或工程竣工验收合格，甲方向乙方颁发竣工验收证书后第60天止。</w:t>
      </w:r>
    </w:p>
    <w:p w14:paraId="006B2237">
      <w:pPr>
        <w:spacing w:line="360" w:lineRule="auto"/>
        <w:rPr>
          <w:rFonts w:hint="eastAsia" w:ascii="宋体" w:hAnsi="宋体" w:eastAsia="宋体" w:cs="宋体"/>
          <w:color w:val="auto"/>
          <w:sz w:val="24"/>
          <w:highlight w:val="none"/>
        </w:rPr>
      </w:pPr>
    </w:p>
    <w:p w14:paraId="11E25578">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担保人盖章：</w:t>
      </w:r>
    </w:p>
    <w:p w14:paraId="38456067">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法定代表人或其授权的代理人：(签字签章)                                                         </w:t>
      </w:r>
    </w:p>
    <w:p w14:paraId="1C7E33AB">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2827D8FE">
      <w:pPr>
        <w:autoSpaceDE w:val="0"/>
        <w:autoSpaceDN w:val="0"/>
        <w:adjustRightInd w:val="0"/>
        <w:spacing w:before="12"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46AF6424">
      <w:pPr>
        <w:autoSpaceDE w:val="0"/>
        <w:autoSpaceDN w:val="0"/>
        <w:adjustRightInd w:val="0"/>
        <w:spacing w:before="12" w:line="360" w:lineRule="auto"/>
        <w:jc w:val="left"/>
        <w:rPr>
          <w:rFonts w:hint="eastAsia" w:ascii="宋体" w:hAnsi="宋体" w:eastAsia="宋体" w:cs="宋体"/>
          <w:color w:val="auto"/>
          <w:sz w:val="24"/>
          <w:highlight w:val="none"/>
        </w:rPr>
      </w:pPr>
      <w:bookmarkStart w:id="303" w:name="_Toc266892929"/>
    </w:p>
    <w:p w14:paraId="3C8C84B0">
      <w:pPr>
        <w:spacing w:line="360" w:lineRule="auto"/>
        <w:rPr>
          <w:rFonts w:hint="eastAsia" w:ascii="宋体" w:hAnsi="宋体" w:eastAsia="宋体" w:cs="宋体"/>
          <w:b/>
          <w:bCs/>
          <w:color w:val="auto"/>
          <w:highlight w:val="none"/>
        </w:rPr>
      </w:pPr>
    </w:p>
    <w:p w14:paraId="7FF99F22">
      <w:pPr>
        <w:pStyle w:val="6"/>
        <w:rPr>
          <w:rFonts w:hint="eastAsia" w:ascii="宋体" w:hAnsi="宋体" w:eastAsia="宋体" w:cs="宋体"/>
          <w:color w:val="auto"/>
          <w:highlight w:val="none"/>
        </w:rPr>
      </w:pPr>
    </w:p>
    <w:p w14:paraId="1B13C7D7">
      <w:pPr>
        <w:pStyle w:val="6"/>
        <w:rPr>
          <w:rFonts w:hint="eastAsia" w:ascii="宋体" w:hAnsi="宋体" w:eastAsia="宋体" w:cs="宋体"/>
          <w:color w:val="auto"/>
          <w:highlight w:val="none"/>
        </w:rPr>
      </w:pPr>
    </w:p>
    <w:p w14:paraId="09BF8F45">
      <w:pPr>
        <w:pStyle w:val="6"/>
        <w:rPr>
          <w:rFonts w:hint="eastAsia" w:ascii="宋体" w:hAnsi="宋体" w:eastAsia="宋体" w:cs="宋体"/>
          <w:color w:val="auto"/>
          <w:highlight w:val="none"/>
        </w:rPr>
      </w:pPr>
    </w:p>
    <w:p w14:paraId="632DCE8A">
      <w:pPr>
        <w:pStyle w:val="6"/>
        <w:rPr>
          <w:rFonts w:hint="eastAsia" w:ascii="宋体" w:hAnsi="宋体" w:eastAsia="宋体" w:cs="宋体"/>
          <w:color w:val="auto"/>
          <w:highlight w:val="none"/>
        </w:rPr>
      </w:pPr>
    </w:p>
    <w:p w14:paraId="0F05FD1F">
      <w:pPr>
        <w:pStyle w:val="6"/>
        <w:rPr>
          <w:rFonts w:hint="eastAsia" w:ascii="宋体" w:hAnsi="宋体" w:eastAsia="宋体" w:cs="宋体"/>
          <w:color w:val="auto"/>
          <w:highlight w:val="none"/>
        </w:rPr>
      </w:pPr>
    </w:p>
    <w:p w14:paraId="2397A0AD">
      <w:pPr>
        <w:pStyle w:val="6"/>
        <w:rPr>
          <w:rFonts w:hint="eastAsia" w:ascii="宋体" w:hAnsi="宋体" w:eastAsia="宋体" w:cs="宋体"/>
          <w:color w:val="auto"/>
          <w:highlight w:val="none"/>
        </w:rPr>
      </w:pPr>
    </w:p>
    <w:bookmarkEnd w:id="303"/>
    <w:p w14:paraId="7D71BE15">
      <w:pPr>
        <w:pStyle w:val="6"/>
        <w:rPr>
          <w:rFonts w:hint="eastAsia" w:ascii="宋体" w:hAnsi="宋体" w:eastAsia="宋体" w:cs="宋体"/>
          <w:color w:val="auto"/>
          <w:highlight w:val="none"/>
        </w:rPr>
      </w:pPr>
    </w:p>
    <w:p w14:paraId="14015FDB">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附件九：</w:t>
      </w:r>
    </w:p>
    <w:p w14:paraId="0A84F273">
      <w:pPr>
        <w:spacing w:line="360" w:lineRule="auto"/>
        <w:jc w:val="center"/>
        <w:rPr>
          <w:rFonts w:hint="eastAsia" w:ascii="宋体" w:hAnsi="宋体" w:eastAsia="宋体" w:cs="宋体"/>
          <w:b/>
          <w:color w:val="auto"/>
          <w:spacing w:val="40"/>
          <w:sz w:val="36"/>
          <w:szCs w:val="36"/>
          <w:highlight w:val="none"/>
        </w:rPr>
      </w:pPr>
      <w:r>
        <w:rPr>
          <w:rFonts w:hint="eastAsia" w:ascii="宋体" w:hAnsi="宋体" w:eastAsia="宋体" w:cs="宋体"/>
          <w:b/>
          <w:color w:val="auto"/>
          <w:spacing w:val="40"/>
          <w:sz w:val="36"/>
          <w:szCs w:val="36"/>
          <w:highlight w:val="none"/>
        </w:rPr>
        <w:t>预付款担保</w:t>
      </w:r>
    </w:p>
    <w:p w14:paraId="07B7E77D">
      <w:pPr>
        <w:spacing w:line="360" w:lineRule="auto"/>
        <w:rPr>
          <w:rFonts w:hint="eastAsia" w:ascii="宋体" w:hAnsi="宋体" w:eastAsia="宋体" w:cs="宋体"/>
          <w:color w:val="auto"/>
          <w:sz w:val="24"/>
          <w:highlight w:val="none"/>
        </w:rPr>
      </w:pPr>
    </w:p>
    <w:p w14:paraId="3435ED9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（甲方全称）   </w:t>
      </w:r>
    </w:p>
    <w:p w14:paraId="76C5DFD8">
      <w:pPr>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鉴于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（乙方全称）(下称“乙方”)与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甲方全称）(下称“甲方”)签订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（工程名称）施工合同(编号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签署)，并保证乙方有权获得按合同约定为保证工程按时开工的由甲方支付的预付款；甲方在合同中要求乙方应通过经认可的担保人提交合同约定的与开工预付款等额的担保金额等事实，我方愿意为乙方担保，以担保金额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元(¥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元)向甲方提供不可撤销的担保。</w:t>
      </w:r>
    </w:p>
    <w:p w14:paraId="0FC54C3A">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如果乙方在履行合同过程中发生违约或违背合同约定的义务和责任时 ，我方保证在担保金额额度内偿还或偿清甲方因乙方该项违约或违背所造成的经济损失，并在接到甲方提出赔偿要求的第</w:t>
      </w:r>
      <w:r>
        <w:rPr>
          <w:rFonts w:hint="eastAsia" w:ascii="宋体" w:hAnsi="宋体" w:eastAsia="宋体" w:cs="宋体"/>
          <w:color w:val="auto"/>
          <w:sz w:val="24"/>
          <w:highlight w:val="none"/>
          <w:u w:val="single"/>
        </w:rPr>
        <w:t>7</w:t>
      </w:r>
      <w:r>
        <w:rPr>
          <w:rFonts w:hint="eastAsia" w:ascii="宋体" w:hAnsi="宋体" w:eastAsia="宋体" w:cs="宋体"/>
          <w:color w:val="auto"/>
          <w:sz w:val="24"/>
          <w:highlight w:val="none"/>
        </w:rPr>
        <w:t>天内予以支付。</w:t>
      </w:r>
    </w:p>
    <w:p w14:paraId="631910B1">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在向我方提出要求前，我方将不坚持要求甲方首先向乙方提出上述款项的索赔。</w:t>
      </w:r>
    </w:p>
    <w:p w14:paraId="17C870C5">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我方承诺：不论是否经我方知晓或同意，我方的义务和责任不因合同双方当事人对合同条款所作的任何修改或补充而解除。</w:t>
      </w:r>
    </w:p>
    <w:p w14:paraId="49B03112">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本预付款担保自乙方获得预付款之日起生效，至与预付款等额的担保金额的担保支付完毕，或甲方抵扣完工预付款后的第15天止。</w:t>
      </w:r>
    </w:p>
    <w:p w14:paraId="43E9F40E">
      <w:pPr>
        <w:spacing w:line="360" w:lineRule="auto"/>
        <w:ind w:firstLine="480"/>
        <w:rPr>
          <w:rFonts w:hint="eastAsia" w:ascii="宋体" w:hAnsi="宋体" w:eastAsia="宋体" w:cs="宋体"/>
          <w:color w:val="auto"/>
          <w:sz w:val="24"/>
          <w:highlight w:val="none"/>
        </w:rPr>
      </w:pPr>
    </w:p>
    <w:p w14:paraId="3178F216">
      <w:pPr>
        <w:spacing w:line="360" w:lineRule="auto"/>
        <w:rPr>
          <w:rFonts w:hint="eastAsia" w:ascii="宋体" w:hAnsi="宋体" w:eastAsia="宋体" w:cs="宋体"/>
          <w:color w:val="auto"/>
          <w:sz w:val="24"/>
          <w:highlight w:val="none"/>
        </w:rPr>
      </w:pPr>
    </w:p>
    <w:p w14:paraId="24DAD18D">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3E62E52">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担保人盖章：</w:t>
      </w:r>
    </w:p>
    <w:p w14:paraId="28439745">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法定代表人或其授权的代理人：(签字签章)                                                         </w:t>
      </w:r>
    </w:p>
    <w:p w14:paraId="2EE33D06">
      <w:pPr>
        <w:spacing w:line="360" w:lineRule="auto"/>
        <w:ind w:firstLine="4320" w:firstLineChars="18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1EF62478">
      <w:pPr>
        <w:autoSpaceDE w:val="0"/>
        <w:autoSpaceDN w:val="0"/>
        <w:adjustRightInd w:val="0"/>
        <w:spacing w:before="12"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CCECFE0">
      <w:pPr>
        <w:autoSpaceDE w:val="0"/>
        <w:autoSpaceDN w:val="0"/>
        <w:adjustRightInd w:val="0"/>
        <w:spacing w:before="12"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bookmarkStart w:id="304" w:name="_Toc266892930"/>
    </w:p>
    <w:bookmarkEnd w:id="304"/>
    <w:p w14:paraId="0E39FF53">
      <w:pPr>
        <w:pStyle w:val="6"/>
        <w:rPr>
          <w:rFonts w:hint="eastAsia" w:ascii="宋体" w:hAnsi="宋体" w:eastAsia="宋体" w:cs="宋体"/>
          <w:color w:val="auto"/>
          <w:highlight w:val="none"/>
        </w:rPr>
      </w:pPr>
    </w:p>
    <w:p w14:paraId="63897E7F">
      <w:pPr>
        <w:spacing w:line="360" w:lineRule="auto"/>
        <w:outlineLvl w:val="1"/>
        <w:rPr>
          <w:rFonts w:hint="eastAsia" w:ascii="宋体" w:hAnsi="宋体" w:eastAsia="宋体" w:cs="宋体"/>
          <w:b/>
          <w:bCs/>
          <w:color w:val="auto"/>
          <w:sz w:val="24"/>
          <w:highlight w:val="none"/>
        </w:rPr>
      </w:pPr>
    </w:p>
    <w:p w14:paraId="5F9DAAC2">
      <w:pPr>
        <w:pStyle w:val="6"/>
        <w:ind w:firstLine="0" w:firstLineChars="0"/>
        <w:rPr>
          <w:rFonts w:hint="eastAsia" w:ascii="宋体" w:hAnsi="宋体" w:eastAsia="宋体" w:cs="宋体"/>
          <w:color w:val="auto"/>
          <w:highlight w:val="none"/>
        </w:rPr>
      </w:pPr>
    </w:p>
    <w:p w14:paraId="70B17150">
      <w:pPr>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附件十：</w:t>
      </w:r>
    </w:p>
    <w:p w14:paraId="69B7CB30">
      <w:pPr>
        <w:spacing w:line="560" w:lineRule="exact"/>
        <w:jc w:val="center"/>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eastAsia="zh-CN"/>
        </w:rPr>
        <w:t>番禺区桥山村村镇工业集聚区更新改造试点项目（一期、二期、三期）勘察设计施工总承包及运营（EPCO）</w:t>
      </w:r>
    </w:p>
    <w:p w14:paraId="57A0A261">
      <w:pPr>
        <w:spacing w:line="56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勘察设计和运营任务书</w:t>
      </w:r>
    </w:p>
    <w:p w14:paraId="0A22EBF9">
      <w:pPr>
        <w:pStyle w:val="6"/>
        <w:ind w:firstLine="0" w:firstLineChars="0"/>
        <w:rPr>
          <w:rFonts w:hint="eastAsia" w:ascii="宋体" w:hAnsi="宋体" w:eastAsia="宋体" w:cs="宋体"/>
          <w:b/>
          <w:color w:val="auto"/>
          <w:sz w:val="24"/>
          <w:highlight w:val="none"/>
        </w:rPr>
      </w:pPr>
    </w:p>
    <w:p w14:paraId="61FB2B16">
      <w:pPr>
        <w:pStyle w:val="6"/>
        <w:ind w:firstLine="0" w:firstLineChars="0"/>
        <w:rPr>
          <w:rFonts w:hint="eastAsia" w:ascii="宋体" w:hAnsi="宋体" w:eastAsia="宋体" w:cs="宋体"/>
          <w:b/>
          <w:color w:val="auto"/>
          <w:sz w:val="24"/>
          <w:highlight w:val="none"/>
        </w:rPr>
      </w:pPr>
    </w:p>
    <w:p w14:paraId="75DAECBF">
      <w:pPr>
        <w:pStyle w:val="6"/>
        <w:ind w:firstLine="0" w:firstLineChars="0"/>
        <w:rPr>
          <w:rFonts w:hint="eastAsia" w:ascii="宋体" w:hAnsi="宋体" w:eastAsia="宋体" w:cs="宋体"/>
          <w:b/>
          <w:color w:val="auto"/>
          <w:sz w:val="24"/>
          <w:highlight w:val="none"/>
        </w:rPr>
      </w:pPr>
    </w:p>
    <w:p w14:paraId="79E5271D">
      <w:pPr>
        <w:pStyle w:val="6"/>
        <w:ind w:firstLine="0" w:firstLineChars="0"/>
        <w:rPr>
          <w:rFonts w:hint="eastAsia" w:ascii="宋体" w:hAnsi="宋体" w:eastAsia="宋体" w:cs="宋体"/>
          <w:b/>
          <w:color w:val="auto"/>
          <w:sz w:val="24"/>
          <w:highlight w:val="none"/>
        </w:rPr>
      </w:pPr>
    </w:p>
    <w:p w14:paraId="231D4EE8">
      <w:pPr>
        <w:pStyle w:val="6"/>
        <w:ind w:firstLine="0" w:firstLineChars="0"/>
        <w:rPr>
          <w:rFonts w:hint="eastAsia" w:ascii="宋体" w:hAnsi="宋体" w:eastAsia="宋体" w:cs="宋体"/>
          <w:b/>
          <w:color w:val="auto"/>
          <w:sz w:val="24"/>
          <w:highlight w:val="none"/>
        </w:rPr>
      </w:pPr>
    </w:p>
    <w:p w14:paraId="2CCF500B">
      <w:pPr>
        <w:pStyle w:val="6"/>
        <w:ind w:firstLine="0" w:firstLineChars="0"/>
        <w:rPr>
          <w:rFonts w:hint="eastAsia" w:ascii="宋体" w:hAnsi="宋体" w:eastAsia="宋体" w:cs="宋体"/>
          <w:b/>
          <w:color w:val="auto"/>
          <w:sz w:val="24"/>
          <w:highlight w:val="none"/>
        </w:rPr>
      </w:pPr>
    </w:p>
    <w:p w14:paraId="58481987">
      <w:pPr>
        <w:pStyle w:val="6"/>
        <w:ind w:firstLine="0" w:firstLineChars="0"/>
        <w:rPr>
          <w:rFonts w:hint="eastAsia" w:ascii="宋体" w:hAnsi="宋体" w:eastAsia="宋体" w:cs="宋体"/>
          <w:b/>
          <w:color w:val="auto"/>
          <w:sz w:val="24"/>
          <w:highlight w:val="none"/>
        </w:rPr>
      </w:pPr>
    </w:p>
    <w:p w14:paraId="21232DCD">
      <w:pPr>
        <w:pStyle w:val="6"/>
        <w:ind w:firstLine="0" w:firstLineChars="0"/>
        <w:rPr>
          <w:rFonts w:hint="eastAsia" w:ascii="宋体" w:hAnsi="宋体" w:eastAsia="宋体" w:cs="宋体"/>
          <w:b/>
          <w:color w:val="auto"/>
          <w:sz w:val="24"/>
          <w:highlight w:val="none"/>
        </w:rPr>
      </w:pPr>
    </w:p>
    <w:p w14:paraId="2DAE91E5">
      <w:pPr>
        <w:pStyle w:val="6"/>
        <w:ind w:firstLine="0" w:firstLineChars="0"/>
        <w:rPr>
          <w:rFonts w:hint="eastAsia" w:ascii="宋体" w:hAnsi="宋体" w:eastAsia="宋体" w:cs="宋体"/>
          <w:b/>
          <w:color w:val="auto"/>
          <w:sz w:val="24"/>
          <w:highlight w:val="none"/>
        </w:rPr>
      </w:pPr>
    </w:p>
    <w:p w14:paraId="1BB2FFC1">
      <w:pPr>
        <w:pStyle w:val="6"/>
        <w:ind w:firstLine="0" w:firstLineChars="0"/>
        <w:rPr>
          <w:rFonts w:hint="eastAsia" w:ascii="宋体" w:hAnsi="宋体" w:eastAsia="宋体" w:cs="宋体"/>
          <w:b/>
          <w:color w:val="auto"/>
          <w:sz w:val="24"/>
          <w:highlight w:val="none"/>
        </w:rPr>
      </w:pPr>
    </w:p>
    <w:p w14:paraId="3FE64807">
      <w:pPr>
        <w:pStyle w:val="6"/>
        <w:ind w:firstLine="0" w:firstLineChars="0"/>
        <w:rPr>
          <w:rFonts w:hint="eastAsia" w:ascii="宋体" w:hAnsi="宋体" w:eastAsia="宋体" w:cs="宋体"/>
          <w:b/>
          <w:color w:val="auto"/>
          <w:sz w:val="24"/>
          <w:highlight w:val="none"/>
        </w:rPr>
      </w:pPr>
    </w:p>
    <w:p w14:paraId="6367663F">
      <w:pPr>
        <w:pStyle w:val="6"/>
        <w:ind w:firstLine="0" w:firstLineChars="0"/>
        <w:rPr>
          <w:rFonts w:hint="eastAsia" w:ascii="宋体" w:hAnsi="宋体" w:eastAsia="宋体" w:cs="宋体"/>
          <w:b/>
          <w:color w:val="auto"/>
          <w:sz w:val="24"/>
          <w:highlight w:val="none"/>
        </w:rPr>
      </w:pPr>
    </w:p>
    <w:p w14:paraId="399C9FEA">
      <w:pPr>
        <w:pStyle w:val="6"/>
        <w:ind w:firstLine="0" w:firstLineChars="0"/>
        <w:rPr>
          <w:rFonts w:hint="eastAsia" w:ascii="宋体" w:hAnsi="宋体" w:eastAsia="宋体" w:cs="宋体"/>
          <w:b/>
          <w:color w:val="auto"/>
          <w:sz w:val="24"/>
          <w:highlight w:val="none"/>
        </w:rPr>
      </w:pPr>
    </w:p>
    <w:p w14:paraId="014D825C">
      <w:pPr>
        <w:pStyle w:val="6"/>
        <w:ind w:firstLine="0" w:firstLineChars="0"/>
        <w:rPr>
          <w:rFonts w:hint="eastAsia" w:ascii="宋体" w:hAnsi="宋体" w:eastAsia="宋体" w:cs="宋体"/>
          <w:b/>
          <w:color w:val="auto"/>
          <w:sz w:val="24"/>
          <w:highlight w:val="none"/>
        </w:rPr>
      </w:pPr>
    </w:p>
    <w:p w14:paraId="397927E9">
      <w:pPr>
        <w:pStyle w:val="6"/>
        <w:ind w:firstLine="0" w:firstLineChars="0"/>
        <w:rPr>
          <w:rFonts w:hint="eastAsia" w:ascii="宋体" w:hAnsi="宋体" w:eastAsia="宋体" w:cs="宋体"/>
          <w:b/>
          <w:color w:val="auto"/>
          <w:sz w:val="24"/>
          <w:highlight w:val="none"/>
        </w:rPr>
      </w:pPr>
    </w:p>
    <w:p w14:paraId="0D064D82">
      <w:pPr>
        <w:pStyle w:val="6"/>
        <w:ind w:firstLine="0" w:firstLineChars="0"/>
        <w:rPr>
          <w:rFonts w:hint="eastAsia" w:ascii="宋体" w:hAnsi="宋体" w:eastAsia="宋体" w:cs="宋体"/>
          <w:b/>
          <w:color w:val="auto"/>
          <w:sz w:val="24"/>
          <w:highlight w:val="none"/>
        </w:rPr>
      </w:pPr>
    </w:p>
    <w:p w14:paraId="6F440810">
      <w:pPr>
        <w:pStyle w:val="6"/>
        <w:ind w:firstLine="0" w:firstLineChars="0"/>
        <w:rPr>
          <w:rFonts w:hint="eastAsia" w:ascii="宋体" w:hAnsi="宋体" w:eastAsia="宋体" w:cs="宋体"/>
          <w:b/>
          <w:color w:val="auto"/>
          <w:sz w:val="24"/>
          <w:highlight w:val="none"/>
        </w:rPr>
      </w:pPr>
    </w:p>
    <w:p w14:paraId="49588BC6">
      <w:pPr>
        <w:pStyle w:val="6"/>
        <w:ind w:firstLine="0" w:firstLineChars="0"/>
        <w:rPr>
          <w:rFonts w:hint="eastAsia" w:ascii="宋体" w:hAnsi="宋体" w:eastAsia="宋体" w:cs="宋体"/>
          <w:b/>
          <w:color w:val="auto"/>
          <w:sz w:val="24"/>
          <w:highlight w:val="none"/>
        </w:rPr>
      </w:pPr>
    </w:p>
    <w:p w14:paraId="2AA5F238">
      <w:pPr>
        <w:pStyle w:val="6"/>
        <w:ind w:firstLine="0" w:firstLineChars="0"/>
        <w:rPr>
          <w:rFonts w:hint="eastAsia" w:ascii="宋体" w:hAnsi="宋体" w:eastAsia="宋体" w:cs="宋体"/>
          <w:b/>
          <w:color w:val="auto"/>
          <w:sz w:val="24"/>
          <w:highlight w:val="none"/>
        </w:rPr>
      </w:pPr>
    </w:p>
    <w:p w14:paraId="320F168A">
      <w:pPr>
        <w:pStyle w:val="6"/>
        <w:ind w:firstLine="0" w:firstLineChars="0"/>
        <w:rPr>
          <w:rFonts w:hint="eastAsia" w:ascii="宋体" w:hAnsi="宋体" w:eastAsia="宋体" w:cs="宋体"/>
          <w:b/>
          <w:color w:val="auto"/>
          <w:sz w:val="24"/>
          <w:highlight w:val="none"/>
        </w:rPr>
      </w:pPr>
    </w:p>
    <w:p w14:paraId="69436F39">
      <w:pPr>
        <w:pStyle w:val="6"/>
        <w:ind w:firstLine="0" w:firstLineChars="0"/>
        <w:rPr>
          <w:rFonts w:hint="eastAsia" w:ascii="宋体" w:hAnsi="宋体" w:eastAsia="宋体" w:cs="宋体"/>
          <w:b/>
          <w:color w:val="auto"/>
          <w:sz w:val="24"/>
          <w:highlight w:val="none"/>
        </w:rPr>
      </w:pPr>
    </w:p>
    <w:p w14:paraId="7E649BA5">
      <w:pPr>
        <w:pStyle w:val="6"/>
        <w:ind w:firstLine="0" w:firstLineChars="0"/>
        <w:rPr>
          <w:rFonts w:hint="eastAsia" w:ascii="宋体" w:hAnsi="宋体" w:eastAsia="宋体" w:cs="宋体"/>
          <w:b/>
          <w:color w:val="auto"/>
          <w:sz w:val="24"/>
          <w:highlight w:val="none"/>
        </w:rPr>
      </w:pPr>
    </w:p>
    <w:p w14:paraId="5277B7DA">
      <w:pPr>
        <w:pStyle w:val="6"/>
        <w:ind w:firstLine="0" w:firstLineChars="0"/>
        <w:rPr>
          <w:rFonts w:hint="eastAsia" w:ascii="宋体" w:hAnsi="宋体" w:eastAsia="宋体" w:cs="宋体"/>
          <w:b/>
          <w:color w:val="auto"/>
          <w:sz w:val="24"/>
          <w:highlight w:val="none"/>
        </w:rPr>
      </w:pPr>
    </w:p>
    <w:p w14:paraId="077135BC">
      <w:pPr>
        <w:pStyle w:val="6"/>
        <w:ind w:firstLine="0" w:firstLineChars="0"/>
        <w:rPr>
          <w:rFonts w:hint="eastAsia" w:ascii="宋体" w:hAnsi="宋体" w:eastAsia="宋体" w:cs="宋体"/>
          <w:b/>
          <w:color w:val="auto"/>
          <w:sz w:val="24"/>
          <w:highlight w:val="none"/>
        </w:rPr>
      </w:pPr>
    </w:p>
    <w:p w14:paraId="234ED3F4">
      <w:pPr>
        <w:pStyle w:val="6"/>
        <w:ind w:firstLine="0" w:firstLineChars="0"/>
        <w:rPr>
          <w:rFonts w:hint="eastAsia" w:ascii="宋体" w:hAnsi="宋体" w:eastAsia="宋体" w:cs="宋体"/>
          <w:b/>
          <w:color w:val="auto"/>
          <w:sz w:val="24"/>
          <w:highlight w:val="none"/>
        </w:rPr>
      </w:pPr>
    </w:p>
    <w:p w14:paraId="6FDC01E5">
      <w:pPr>
        <w:pStyle w:val="6"/>
        <w:ind w:firstLine="0" w:firstLineChars="0"/>
        <w:rPr>
          <w:rFonts w:hint="eastAsia" w:ascii="宋体" w:hAnsi="宋体" w:eastAsia="宋体" w:cs="宋体"/>
          <w:b/>
          <w:color w:val="auto"/>
          <w:sz w:val="24"/>
          <w:highlight w:val="none"/>
        </w:rPr>
      </w:pPr>
    </w:p>
    <w:p w14:paraId="6438ED62">
      <w:pPr>
        <w:pStyle w:val="6"/>
        <w:ind w:firstLine="0" w:firstLineChars="0"/>
        <w:rPr>
          <w:rFonts w:hint="eastAsia" w:ascii="宋体" w:hAnsi="宋体" w:eastAsia="宋体" w:cs="宋体"/>
          <w:b/>
          <w:color w:val="auto"/>
          <w:sz w:val="24"/>
          <w:highlight w:val="none"/>
        </w:rPr>
      </w:pPr>
    </w:p>
    <w:p w14:paraId="11B1325D">
      <w:pPr>
        <w:pStyle w:val="6"/>
        <w:ind w:firstLine="0" w:firstLineChars="0"/>
        <w:rPr>
          <w:rFonts w:hint="eastAsia" w:ascii="宋体" w:hAnsi="宋体" w:eastAsia="宋体" w:cs="宋体"/>
          <w:b/>
          <w:color w:val="auto"/>
          <w:sz w:val="24"/>
          <w:highlight w:val="none"/>
        </w:rPr>
      </w:pPr>
    </w:p>
    <w:p w14:paraId="2DE8DFE7">
      <w:pPr>
        <w:pStyle w:val="6"/>
        <w:ind w:firstLine="0" w:firstLineChars="0"/>
        <w:rPr>
          <w:rFonts w:hint="eastAsia" w:ascii="宋体" w:hAnsi="宋体" w:eastAsia="宋体" w:cs="宋体"/>
          <w:b/>
          <w:color w:val="auto"/>
          <w:sz w:val="24"/>
          <w:highlight w:val="none"/>
        </w:rPr>
      </w:pPr>
    </w:p>
    <w:p w14:paraId="11FDDE22">
      <w:pPr>
        <w:pStyle w:val="6"/>
        <w:ind w:firstLine="0" w:firstLineChars="0"/>
        <w:rPr>
          <w:rFonts w:hint="eastAsia" w:ascii="宋体" w:hAnsi="宋体" w:eastAsia="宋体" w:cs="宋体"/>
          <w:b/>
          <w:color w:val="auto"/>
          <w:sz w:val="24"/>
          <w:highlight w:val="none"/>
        </w:rPr>
      </w:pPr>
    </w:p>
    <w:p w14:paraId="6D382502">
      <w:pPr>
        <w:pStyle w:val="6"/>
        <w:ind w:firstLine="0" w:firstLineChars="0"/>
        <w:rPr>
          <w:rFonts w:hint="eastAsia" w:ascii="宋体" w:hAnsi="宋体" w:eastAsia="宋体" w:cs="宋体"/>
          <w:b/>
          <w:color w:val="auto"/>
          <w:sz w:val="24"/>
          <w:highlight w:val="none"/>
        </w:rPr>
      </w:pPr>
    </w:p>
    <w:p w14:paraId="0E09B4D9">
      <w:pPr>
        <w:pStyle w:val="6"/>
        <w:ind w:firstLine="0" w:firstLineChars="0"/>
        <w:rPr>
          <w:rFonts w:hint="eastAsia" w:ascii="宋体" w:hAnsi="宋体" w:eastAsia="宋体" w:cs="宋体"/>
          <w:b/>
          <w:color w:val="auto"/>
          <w:sz w:val="24"/>
          <w:highlight w:val="none"/>
        </w:rPr>
      </w:pPr>
    </w:p>
    <w:p w14:paraId="64BDD7D8">
      <w:pPr>
        <w:pStyle w:val="6"/>
        <w:ind w:firstLine="0" w:firstLineChars="0"/>
        <w:rPr>
          <w:rFonts w:hint="eastAsia" w:ascii="宋体" w:hAnsi="宋体" w:eastAsia="宋体" w:cs="宋体"/>
          <w:b/>
          <w:color w:val="auto"/>
          <w:sz w:val="24"/>
          <w:highlight w:val="none"/>
        </w:rPr>
      </w:pPr>
    </w:p>
    <w:p w14:paraId="40FB6A24">
      <w:pPr>
        <w:pStyle w:val="6"/>
        <w:ind w:firstLine="0" w:firstLineChars="0"/>
        <w:rPr>
          <w:rFonts w:hint="eastAsia" w:ascii="宋体" w:hAnsi="宋体" w:eastAsia="宋体" w:cs="宋体"/>
          <w:b/>
          <w:color w:val="auto"/>
          <w:sz w:val="24"/>
          <w:highlight w:val="none"/>
        </w:rPr>
      </w:pPr>
    </w:p>
    <w:p w14:paraId="3E35445E">
      <w:pPr>
        <w:pStyle w:val="6"/>
        <w:ind w:firstLine="0" w:firstLineChars="0"/>
        <w:rPr>
          <w:rFonts w:hint="eastAsia" w:ascii="宋体" w:hAnsi="宋体" w:eastAsia="宋体" w:cs="宋体"/>
          <w:b/>
          <w:color w:val="auto"/>
          <w:sz w:val="24"/>
          <w:highlight w:val="none"/>
        </w:rPr>
      </w:pPr>
    </w:p>
    <w:p w14:paraId="698EA6D4">
      <w:pPr>
        <w:pStyle w:val="6"/>
        <w:ind w:firstLine="0" w:firstLineChars="0"/>
        <w:rPr>
          <w:rFonts w:hint="eastAsia" w:ascii="宋体" w:hAnsi="宋体" w:eastAsia="宋体" w:cs="宋体"/>
          <w:b/>
          <w:color w:val="auto"/>
          <w:sz w:val="24"/>
          <w:highlight w:val="none"/>
        </w:rPr>
      </w:pPr>
    </w:p>
    <w:p w14:paraId="564E90C9">
      <w:pPr>
        <w:pStyle w:val="6"/>
        <w:ind w:firstLine="0" w:firstLineChars="0"/>
        <w:rPr>
          <w:rFonts w:hint="eastAsia" w:ascii="宋体" w:hAnsi="宋体" w:eastAsia="宋体" w:cs="宋体"/>
          <w:b/>
          <w:color w:val="auto"/>
          <w:sz w:val="24"/>
          <w:highlight w:val="none"/>
        </w:rPr>
      </w:pPr>
    </w:p>
    <w:p w14:paraId="36B98DCF">
      <w:pPr>
        <w:pStyle w:val="6"/>
        <w:ind w:firstLine="0" w:firstLineChars="0"/>
        <w:rPr>
          <w:rFonts w:hint="eastAsia" w:ascii="宋体" w:hAnsi="宋体" w:eastAsia="宋体" w:cs="宋体"/>
          <w:b/>
          <w:color w:val="auto"/>
          <w:sz w:val="24"/>
          <w:highlight w:val="none"/>
        </w:rPr>
      </w:pPr>
    </w:p>
    <w:p w14:paraId="4F8A877A">
      <w:pPr>
        <w:pStyle w:val="6"/>
        <w:ind w:firstLine="0" w:firstLineChars="0"/>
        <w:rPr>
          <w:rFonts w:hint="eastAsia" w:ascii="宋体" w:hAnsi="宋体" w:eastAsia="宋体" w:cs="宋体"/>
          <w:b/>
          <w:color w:val="auto"/>
          <w:sz w:val="24"/>
          <w:highlight w:val="none"/>
        </w:rPr>
      </w:pPr>
    </w:p>
    <w:p w14:paraId="1B12250B">
      <w:pPr>
        <w:pStyle w:val="6"/>
        <w:ind w:firstLine="0" w:firstLineChars="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附件十：</w:t>
      </w:r>
    </w:p>
    <w:p w14:paraId="0432EF2C">
      <w:pPr>
        <w:pStyle w:val="6"/>
        <w:ind w:firstLine="0" w:firstLineChars="0"/>
        <w:rPr>
          <w:rFonts w:hint="eastAsia" w:ascii="宋体" w:hAnsi="宋体" w:eastAsia="宋体" w:cs="宋体"/>
          <w:b/>
          <w:color w:val="auto"/>
          <w:sz w:val="24"/>
          <w:highlight w:val="none"/>
        </w:rPr>
      </w:pPr>
    </w:p>
    <w:p w14:paraId="55A23657">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工程施工总进度计划表</w:t>
      </w:r>
    </w:p>
    <w:p w14:paraId="79343855">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（另册）</w:t>
      </w:r>
    </w:p>
    <w:p w14:paraId="7D44FEBE">
      <w:pPr>
        <w:spacing w:line="440" w:lineRule="exact"/>
        <w:rPr>
          <w:rFonts w:hint="eastAsia" w:ascii="宋体" w:hAnsi="宋体" w:eastAsia="宋体" w:cs="宋体"/>
          <w:b/>
          <w:bCs/>
          <w:color w:val="auto"/>
          <w:sz w:val="24"/>
          <w:highlight w:val="none"/>
        </w:rPr>
      </w:pPr>
    </w:p>
    <w:p w14:paraId="4D2D873C">
      <w:pPr>
        <w:pStyle w:val="6"/>
        <w:ind w:firstLine="482"/>
        <w:rPr>
          <w:rFonts w:hint="eastAsia" w:ascii="宋体" w:hAnsi="宋体" w:eastAsia="宋体" w:cs="宋体"/>
          <w:b/>
          <w:bCs/>
          <w:color w:val="auto"/>
          <w:sz w:val="24"/>
          <w:highlight w:val="none"/>
        </w:rPr>
      </w:pPr>
    </w:p>
    <w:p w14:paraId="76046376">
      <w:pPr>
        <w:pStyle w:val="6"/>
        <w:ind w:firstLine="482"/>
        <w:rPr>
          <w:rFonts w:hint="eastAsia" w:ascii="宋体" w:hAnsi="宋体" w:eastAsia="宋体" w:cs="宋体"/>
          <w:b/>
          <w:bCs/>
          <w:color w:val="auto"/>
          <w:sz w:val="24"/>
          <w:highlight w:val="none"/>
        </w:rPr>
      </w:pPr>
    </w:p>
    <w:p w14:paraId="38CF9A80">
      <w:pPr>
        <w:pStyle w:val="6"/>
        <w:ind w:firstLine="482"/>
        <w:rPr>
          <w:rFonts w:hint="eastAsia" w:ascii="宋体" w:hAnsi="宋体" w:eastAsia="宋体" w:cs="宋体"/>
          <w:b/>
          <w:bCs/>
          <w:color w:val="auto"/>
          <w:sz w:val="24"/>
          <w:highlight w:val="none"/>
        </w:rPr>
      </w:pPr>
    </w:p>
    <w:p w14:paraId="4250639B">
      <w:pPr>
        <w:pStyle w:val="6"/>
        <w:ind w:firstLine="482"/>
        <w:rPr>
          <w:rFonts w:hint="eastAsia" w:ascii="宋体" w:hAnsi="宋体" w:eastAsia="宋体" w:cs="宋体"/>
          <w:b/>
          <w:bCs/>
          <w:color w:val="auto"/>
          <w:sz w:val="24"/>
          <w:highlight w:val="none"/>
        </w:rPr>
      </w:pPr>
    </w:p>
    <w:p w14:paraId="0C37D2BB">
      <w:pPr>
        <w:pStyle w:val="6"/>
        <w:ind w:firstLine="482"/>
        <w:rPr>
          <w:rFonts w:hint="eastAsia" w:ascii="宋体" w:hAnsi="宋体" w:eastAsia="宋体" w:cs="宋体"/>
          <w:b/>
          <w:bCs/>
          <w:color w:val="auto"/>
          <w:sz w:val="24"/>
          <w:highlight w:val="none"/>
        </w:rPr>
      </w:pPr>
    </w:p>
    <w:p w14:paraId="545C43A3">
      <w:pPr>
        <w:pStyle w:val="6"/>
        <w:ind w:firstLine="482"/>
        <w:rPr>
          <w:rFonts w:hint="eastAsia" w:ascii="宋体" w:hAnsi="宋体" w:eastAsia="宋体" w:cs="宋体"/>
          <w:b/>
          <w:bCs/>
          <w:color w:val="auto"/>
          <w:sz w:val="24"/>
          <w:highlight w:val="none"/>
        </w:rPr>
      </w:pPr>
    </w:p>
    <w:p w14:paraId="3B25869C">
      <w:pPr>
        <w:pStyle w:val="6"/>
        <w:ind w:firstLine="482"/>
        <w:rPr>
          <w:rFonts w:hint="eastAsia" w:ascii="宋体" w:hAnsi="宋体" w:eastAsia="宋体" w:cs="宋体"/>
          <w:b/>
          <w:bCs/>
          <w:color w:val="auto"/>
          <w:sz w:val="24"/>
          <w:highlight w:val="none"/>
        </w:rPr>
      </w:pPr>
    </w:p>
    <w:p w14:paraId="32EA6CB1">
      <w:pPr>
        <w:pStyle w:val="6"/>
        <w:ind w:firstLine="482"/>
        <w:rPr>
          <w:rFonts w:hint="eastAsia" w:ascii="宋体" w:hAnsi="宋体" w:eastAsia="宋体" w:cs="宋体"/>
          <w:b/>
          <w:bCs/>
          <w:color w:val="auto"/>
          <w:sz w:val="24"/>
          <w:highlight w:val="none"/>
        </w:rPr>
      </w:pPr>
    </w:p>
    <w:p w14:paraId="5316D9E1">
      <w:pPr>
        <w:pStyle w:val="6"/>
        <w:ind w:firstLine="482"/>
        <w:rPr>
          <w:rFonts w:hint="eastAsia" w:ascii="宋体" w:hAnsi="宋体" w:eastAsia="宋体" w:cs="宋体"/>
          <w:b/>
          <w:bCs/>
          <w:color w:val="auto"/>
          <w:sz w:val="24"/>
          <w:highlight w:val="none"/>
        </w:rPr>
      </w:pPr>
    </w:p>
    <w:p w14:paraId="7F9404CB">
      <w:pPr>
        <w:pStyle w:val="6"/>
        <w:ind w:firstLine="482"/>
        <w:rPr>
          <w:rFonts w:hint="eastAsia" w:ascii="宋体" w:hAnsi="宋体" w:eastAsia="宋体" w:cs="宋体"/>
          <w:b/>
          <w:bCs/>
          <w:color w:val="auto"/>
          <w:sz w:val="24"/>
          <w:highlight w:val="none"/>
        </w:rPr>
      </w:pPr>
    </w:p>
    <w:p w14:paraId="1CCC0AAD">
      <w:pPr>
        <w:pStyle w:val="6"/>
        <w:ind w:firstLine="482"/>
        <w:rPr>
          <w:rFonts w:hint="eastAsia" w:ascii="宋体" w:hAnsi="宋体" w:eastAsia="宋体" w:cs="宋体"/>
          <w:b/>
          <w:bCs/>
          <w:color w:val="auto"/>
          <w:sz w:val="24"/>
          <w:highlight w:val="none"/>
        </w:rPr>
      </w:pPr>
    </w:p>
    <w:p w14:paraId="794AC000">
      <w:pPr>
        <w:pStyle w:val="6"/>
        <w:ind w:firstLine="482"/>
        <w:rPr>
          <w:rFonts w:hint="eastAsia" w:ascii="宋体" w:hAnsi="宋体" w:eastAsia="宋体" w:cs="宋体"/>
          <w:b/>
          <w:bCs/>
          <w:color w:val="auto"/>
          <w:sz w:val="24"/>
          <w:highlight w:val="none"/>
        </w:rPr>
      </w:pPr>
    </w:p>
    <w:p w14:paraId="7E2DE057">
      <w:pPr>
        <w:pStyle w:val="6"/>
        <w:ind w:firstLine="482"/>
        <w:rPr>
          <w:rFonts w:hint="eastAsia" w:ascii="宋体" w:hAnsi="宋体" w:eastAsia="宋体" w:cs="宋体"/>
          <w:b/>
          <w:bCs/>
          <w:color w:val="auto"/>
          <w:sz w:val="24"/>
          <w:highlight w:val="none"/>
        </w:rPr>
      </w:pPr>
    </w:p>
    <w:p w14:paraId="19B65350">
      <w:pPr>
        <w:pStyle w:val="6"/>
        <w:ind w:firstLine="482"/>
        <w:rPr>
          <w:rFonts w:hint="eastAsia" w:ascii="宋体" w:hAnsi="宋体" w:eastAsia="宋体" w:cs="宋体"/>
          <w:b/>
          <w:bCs/>
          <w:color w:val="auto"/>
          <w:sz w:val="24"/>
          <w:highlight w:val="none"/>
        </w:rPr>
      </w:pPr>
    </w:p>
    <w:p w14:paraId="466A0BC3">
      <w:pPr>
        <w:pStyle w:val="6"/>
        <w:ind w:firstLine="482"/>
        <w:rPr>
          <w:rFonts w:hint="eastAsia" w:ascii="宋体" w:hAnsi="宋体" w:eastAsia="宋体" w:cs="宋体"/>
          <w:b/>
          <w:bCs/>
          <w:color w:val="auto"/>
          <w:sz w:val="24"/>
          <w:highlight w:val="none"/>
        </w:rPr>
      </w:pPr>
    </w:p>
    <w:p w14:paraId="2DE91E8E">
      <w:pPr>
        <w:pStyle w:val="6"/>
        <w:ind w:firstLine="482"/>
        <w:rPr>
          <w:rFonts w:hint="eastAsia" w:ascii="宋体" w:hAnsi="宋体" w:eastAsia="宋体" w:cs="宋体"/>
          <w:b/>
          <w:bCs/>
          <w:color w:val="auto"/>
          <w:sz w:val="24"/>
          <w:highlight w:val="none"/>
        </w:rPr>
      </w:pPr>
    </w:p>
    <w:p w14:paraId="6FB461F6">
      <w:pPr>
        <w:pStyle w:val="6"/>
        <w:ind w:firstLine="482"/>
        <w:rPr>
          <w:rFonts w:hint="eastAsia" w:ascii="宋体" w:hAnsi="宋体" w:eastAsia="宋体" w:cs="宋体"/>
          <w:b/>
          <w:bCs/>
          <w:color w:val="auto"/>
          <w:sz w:val="24"/>
          <w:highlight w:val="none"/>
        </w:rPr>
      </w:pPr>
    </w:p>
    <w:p w14:paraId="0A05D61D">
      <w:pPr>
        <w:pStyle w:val="6"/>
        <w:ind w:firstLine="482"/>
        <w:rPr>
          <w:rFonts w:hint="eastAsia" w:ascii="宋体" w:hAnsi="宋体" w:eastAsia="宋体" w:cs="宋体"/>
          <w:b/>
          <w:bCs/>
          <w:color w:val="auto"/>
          <w:sz w:val="24"/>
          <w:highlight w:val="none"/>
        </w:rPr>
      </w:pPr>
    </w:p>
    <w:p w14:paraId="351F420B">
      <w:pPr>
        <w:pStyle w:val="6"/>
        <w:ind w:firstLine="482"/>
        <w:rPr>
          <w:rFonts w:hint="eastAsia" w:ascii="宋体" w:hAnsi="宋体" w:eastAsia="宋体" w:cs="宋体"/>
          <w:b/>
          <w:bCs/>
          <w:color w:val="auto"/>
          <w:sz w:val="24"/>
          <w:highlight w:val="none"/>
        </w:rPr>
      </w:pPr>
    </w:p>
    <w:p w14:paraId="7CE35275">
      <w:pPr>
        <w:pStyle w:val="6"/>
        <w:ind w:firstLine="482"/>
        <w:rPr>
          <w:rFonts w:hint="eastAsia" w:ascii="宋体" w:hAnsi="宋体" w:eastAsia="宋体" w:cs="宋体"/>
          <w:b/>
          <w:bCs/>
          <w:color w:val="auto"/>
          <w:sz w:val="24"/>
          <w:highlight w:val="none"/>
        </w:rPr>
      </w:pPr>
    </w:p>
    <w:p w14:paraId="531EC0AD">
      <w:pPr>
        <w:pStyle w:val="6"/>
        <w:ind w:firstLine="482"/>
        <w:rPr>
          <w:rFonts w:hint="eastAsia" w:ascii="宋体" w:hAnsi="宋体" w:eastAsia="宋体" w:cs="宋体"/>
          <w:b/>
          <w:bCs/>
          <w:color w:val="auto"/>
          <w:sz w:val="24"/>
          <w:highlight w:val="none"/>
        </w:rPr>
      </w:pPr>
    </w:p>
    <w:p w14:paraId="3353A134">
      <w:pPr>
        <w:pStyle w:val="6"/>
        <w:ind w:firstLine="482"/>
        <w:rPr>
          <w:rFonts w:hint="eastAsia" w:ascii="宋体" w:hAnsi="宋体" w:eastAsia="宋体" w:cs="宋体"/>
          <w:b/>
          <w:bCs/>
          <w:color w:val="auto"/>
          <w:sz w:val="24"/>
          <w:highlight w:val="none"/>
        </w:rPr>
      </w:pPr>
    </w:p>
    <w:p w14:paraId="51B8138B">
      <w:pPr>
        <w:pStyle w:val="6"/>
        <w:ind w:firstLine="482"/>
        <w:rPr>
          <w:rFonts w:hint="eastAsia" w:ascii="宋体" w:hAnsi="宋体" w:eastAsia="宋体" w:cs="宋体"/>
          <w:b/>
          <w:bCs/>
          <w:color w:val="auto"/>
          <w:sz w:val="24"/>
          <w:highlight w:val="none"/>
        </w:rPr>
      </w:pPr>
    </w:p>
    <w:p w14:paraId="3200AA60">
      <w:pPr>
        <w:pStyle w:val="6"/>
        <w:ind w:firstLine="482"/>
        <w:rPr>
          <w:rFonts w:hint="eastAsia" w:ascii="宋体" w:hAnsi="宋体" w:eastAsia="宋体" w:cs="宋体"/>
          <w:b/>
          <w:bCs/>
          <w:color w:val="auto"/>
          <w:sz w:val="24"/>
          <w:highlight w:val="none"/>
        </w:rPr>
      </w:pPr>
    </w:p>
    <w:p w14:paraId="526F72A5">
      <w:pPr>
        <w:pStyle w:val="6"/>
        <w:ind w:firstLine="482"/>
        <w:rPr>
          <w:rFonts w:hint="eastAsia" w:ascii="宋体" w:hAnsi="宋体" w:eastAsia="宋体" w:cs="宋体"/>
          <w:b/>
          <w:bCs/>
          <w:color w:val="auto"/>
          <w:sz w:val="24"/>
          <w:highlight w:val="none"/>
        </w:rPr>
      </w:pPr>
    </w:p>
    <w:p w14:paraId="29245986">
      <w:pPr>
        <w:pStyle w:val="6"/>
        <w:ind w:firstLine="482"/>
        <w:rPr>
          <w:rFonts w:hint="eastAsia" w:ascii="宋体" w:hAnsi="宋体" w:eastAsia="宋体" w:cs="宋体"/>
          <w:b/>
          <w:bCs/>
          <w:color w:val="auto"/>
          <w:sz w:val="24"/>
          <w:highlight w:val="none"/>
        </w:rPr>
      </w:pPr>
    </w:p>
    <w:p w14:paraId="4EBD4AB6">
      <w:pPr>
        <w:pStyle w:val="6"/>
        <w:ind w:firstLine="482"/>
        <w:rPr>
          <w:rFonts w:hint="eastAsia" w:ascii="宋体" w:hAnsi="宋体" w:eastAsia="宋体" w:cs="宋体"/>
          <w:b/>
          <w:bCs/>
          <w:color w:val="auto"/>
          <w:sz w:val="24"/>
          <w:highlight w:val="none"/>
        </w:rPr>
      </w:pPr>
    </w:p>
    <w:p w14:paraId="65DA7304">
      <w:pPr>
        <w:pStyle w:val="6"/>
        <w:ind w:firstLine="482"/>
        <w:rPr>
          <w:rFonts w:hint="eastAsia" w:ascii="宋体" w:hAnsi="宋体" w:eastAsia="宋体" w:cs="宋体"/>
          <w:b/>
          <w:bCs/>
          <w:color w:val="auto"/>
          <w:sz w:val="24"/>
          <w:highlight w:val="none"/>
        </w:rPr>
      </w:pPr>
    </w:p>
    <w:p w14:paraId="64FE6C5F">
      <w:pPr>
        <w:pStyle w:val="6"/>
        <w:ind w:firstLine="482"/>
        <w:rPr>
          <w:rFonts w:hint="eastAsia" w:ascii="宋体" w:hAnsi="宋体" w:eastAsia="宋体" w:cs="宋体"/>
          <w:b/>
          <w:bCs/>
          <w:color w:val="auto"/>
          <w:sz w:val="24"/>
          <w:highlight w:val="none"/>
        </w:rPr>
      </w:pPr>
    </w:p>
    <w:p w14:paraId="50F29D5E">
      <w:pPr>
        <w:pStyle w:val="6"/>
        <w:ind w:firstLine="482"/>
        <w:rPr>
          <w:rFonts w:hint="eastAsia" w:ascii="宋体" w:hAnsi="宋体" w:eastAsia="宋体" w:cs="宋体"/>
          <w:b/>
          <w:bCs/>
          <w:color w:val="auto"/>
          <w:sz w:val="24"/>
          <w:highlight w:val="none"/>
        </w:rPr>
      </w:pPr>
    </w:p>
    <w:p w14:paraId="658E27DB">
      <w:pPr>
        <w:pStyle w:val="6"/>
        <w:ind w:firstLine="482"/>
        <w:rPr>
          <w:rFonts w:hint="eastAsia" w:ascii="宋体" w:hAnsi="宋体" w:eastAsia="宋体" w:cs="宋体"/>
          <w:b/>
          <w:bCs/>
          <w:color w:val="auto"/>
          <w:sz w:val="24"/>
          <w:highlight w:val="none"/>
        </w:rPr>
      </w:pPr>
    </w:p>
    <w:p w14:paraId="5A7DF063">
      <w:pPr>
        <w:pStyle w:val="6"/>
        <w:ind w:firstLine="482"/>
        <w:rPr>
          <w:rFonts w:hint="eastAsia" w:ascii="宋体" w:hAnsi="宋体" w:eastAsia="宋体" w:cs="宋体"/>
          <w:b/>
          <w:bCs/>
          <w:color w:val="auto"/>
          <w:sz w:val="24"/>
          <w:highlight w:val="none"/>
        </w:rPr>
      </w:pPr>
    </w:p>
    <w:p w14:paraId="6517411A">
      <w:pPr>
        <w:pStyle w:val="6"/>
        <w:ind w:firstLine="482"/>
        <w:rPr>
          <w:rFonts w:hint="eastAsia" w:ascii="宋体" w:hAnsi="宋体" w:eastAsia="宋体" w:cs="宋体"/>
          <w:b/>
          <w:bCs/>
          <w:color w:val="auto"/>
          <w:sz w:val="24"/>
          <w:highlight w:val="none"/>
        </w:rPr>
      </w:pPr>
    </w:p>
    <w:p w14:paraId="48702F6C">
      <w:pPr>
        <w:pStyle w:val="6"/>
        <w:ind w:firstLine="482"/>
        <w:rPr>
          <w:rFonts w:hint="eastAsia" w:ascii="宋体" w:hAnsi="宋体" w:eastAsia="宋体" w:cs="宋体"/>
          <w:b/>
          <w:bCs/>
          <w:color w:val="auto"/>
          <w:sz w:val="24"/>
          <w:highlight w:val="none"/>
        </w:rPr>
      </w:pPr>
    </w:p>
    <w:p w14:paraId="04B22198">
      <w:pPr>
        <w:pStyle w:val="6"/>
        <w:ind w:firstLine="482"/>
        <w:rPr>
          <w:rFonts w:hint="eastAsia" w:ascii="宋体" w:hAnsi="宋体" w:eastAsia="宋体" w:cs="宋体"/>
          <w:b/>
          <w:bCs/>
          <w:color w:val="auto"/>
          <w:sz w:val="24"/>
          <w:highlight w:val="none"/>
        </w:rPr>
      </w:pPr>
    </w:p>
    <w:p w14:paraId="29E94929">
      <w:pPr>
        <w:pStyle w:val="6"/>
        <w:ind w:firstLine="482"/>
        <w:rPr>
          <w:rFonts w:hint="eastAsia" w:ascii="宋体" w:hAnsi="宋体" w:eastAsia="宋体" w:cs="宋体"/>
          <w:b/>
          <w:bCs/>
          <w:color w:val="auto"/>
          <w:sz w:val="24"/>
          <w:highlight w:val="none"/>
        </w:rPr>
      </w:pPr>
    </w:p>
    <w:p w14:paraId="57C90788">
      <w:pPr>
        <w:pStyle w:val="31"/>
        <w:rPr>
          <w:color w:val="auto"/>
          <w:highlight w:val="none"/>
        </w:rPr>
      </w:pPr>
    </w:p>
    <w:p w14:paraId="0843F2F4">
      <w:pPr>
        <w:pStyle w:val="6"/>
        <w:ind w:firstLine="482"/>
        <w:rPr>
          <w:rFonts w:hint="eastAsia" w:ascii="宋体" w:hAnsi="宋体" w:eastAsia="宋体" w:cs="宋体"/>
          <w:b/>
          <w:bCs/>
          <w:color w:val="auto"/>
          <w:sz w:val="24"/>
          <w:highlight w:val="none"/>
        </w:rPr>
      </w:pPr>
    </w:p>
    <w:p w14:paraId="2EF56801">
      <w:pPr>
        <w:spacing w:line="440" w:lineRule="exac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附件十一：</w:t>
      </w:r>
    </w:p>
    <w:p w14:paraId="7D5724E0">
      <w:pPr>
        <w:spacing w:line="360" w:lineRule="auto"/>
        <w:ind w:firstLine="562" w:firstLineChars="2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工程施工保证书</w:t>
      </w:r>
    </w:p>
    <w:p w14:paraId="6F9AECA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本公司（本合同乙方联合体之施工单位）充分理解甲方对于</w:t>
      </w:r>
      <w:r>
        <w:rPr>
          <w:rFonts w:hint="eastAsia" w:ascii="宋体" w:hAnsi="宋体" w:eastAsia="宋体" w:cs="宋体"/>
          <w:color w:val="auto"/>
          <w:sz w:val="24"/>
          <w:highlight w:val="none"/>
          <w:u w:val="single"/>
          <w:lang w:eastAsia="zh-CN"/>
        </w:rPr>
        <w:t>番禺区桥山村村镇工业集聚区更新改造试点项目（一期、二期、三期）勘察设计施工总承包及运营（EPCO）</w:t>
      </w:r>
      <w:r>
        <w:rPr>
          <w:rFonts w:hint="eastAsia" w:ascii="宋体" w:hAnsi="宋体" w:eastAsia="宋体" w:cs="宋体"/>
          <w:color w:val="auto"/>
          <w:sz w:val="24"/>
          <w:highlight w:val="none"/>
        </w:rPr>
        <w:t>施工安全、质量和进度等方面的重点关注，为了保证本工程项目能够按质、按量和按期地完成，本公司向甲方郑重保证：</w:t>
      </w:r>
    </w:p>
    <w:p w14:paraId="522F4DA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我公司将根据甲方的要求，完全按照投标文件中为完成本工程安排的管理人员（项目负责人、项目技术负责人及主要项目管理人员）的承诺及主要机械设备配备要求，及时安排人员和设备进入本工程现场开展工作，并保证上述主要管理人员的资料的真实性，保证上述主要管理人员接受监理工程师按制定的工程管理制度考勤．保证不违法转包、不以包代管，保证投入工程所需的周转资金，加强施工现场管理，在施工中为必须的安全生产措施投入足够的费用，严格按照 《广州市建设工程现场文明施工管理办法》 进行文明施工，保证按合同约定的安全、质量和工期目标完成本工程合同。</w:t>
      </w:r>
    </w:p>
    <w:p w14:paraId="4424E82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二、如甲方发现本公司违反上述承诺或出现下述情况之一者：1 ）未经监理工程师及甲方同意，擅自更换主要管理人员或主要管理人员无故离开工地；2）将本工程进行转包；3 ）出现挂靠承包现象；4 ）以包代管； 5 ）挪用本工程的资金； 6 ）违反廉政建设协议； 7 ）无故拖欠工人工资； 8 ）不按招标要求配置主要施工设备等，甲方有权对本公司按合同相关条款进行处罚、有权单独或联合检察机关对项目的资金流向进行跟踪检查、有权视情况扣除本公司的全部或部分履约保证金； 9 ）其他施工单位有违反合同约定的行为且经甲方书面通知施工单位整改但未整改或整改不符合合同约定的。本公司同时保证若我司出现上述情况之一时，导致甲方认为本公司在履行合同义务上不符合招标文件或合同条款的要求，而需取消本公司的承包资格，变更为其他施工单位才有利于工程按期按质完成，即使这种评价与本公司存在争议，只要甲方提出充分证据，经监理工程师认可，并且这种认可不须征求本公司意见，则在甲方与监理方共同向本公司发出解除合同通知书以及要求撤场通知书之日起15天内，本公司承诺主动无条件解除合同并撤离工程现场。如果不能在限期内主动撤离，甲方重新委托的施工单位进场为恢复现场施工条件所发生的一切经济损失由本公司承担，所发生的其它纠纷责任由本公司承担。</w:t>
      </w:r>
    </w:p>
    <w:p w14:paraId="57AD5D7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三、在工程施工过程中，如因上述第二点原因，甲方与本公司解除合同，则双方对在建工程应协商做出妥善处理，尽量减少损失。 我司同意，由监理方牵头确认我司在撤离前已经完成并经验收合格的工程量，结算工程款以甲方或甲方委托的第三方造价咨询机构审核为准。经甲方及监理核实已为本工程所储备的材料，由本公司调离工程场地。本公司在上述规定的撤场时间前积极配合完成确认工作 。如果双方在已经完成的工程量的确认上意见不一，则以甲方和监理方两方确认的工程量作为结算依据，本公司无异议。</w:t>
      </w:r>
    </w:p>
    <w:p w14:paraId="3C7BD95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四、本保证书自正式签订之日起生效，待与甲方签订的合同全部权利与业务履行完毕后自行失效。</w:t>
      </w:r>
    </w:p>
    <w:p w14:paraId="6873093B">
      <w:pPr>
        <w:spacing w:line="360" w:lineRule="auto"/>
        <w:ind w:firstLine="480" w:firstLineChars="200"/>
        <w:rPr>
          <w:rFonts w:hint="eastAsia" w:ascii="宋体" w:hAnsi="宋体" w:eastAsia="宋体" w:cs="宋体"/>
          <w:color w:val="auto"/>
          <w:sz w:val="24"/>
          <w:highlight w:val="none"/>
        </w:rPr>
      </w:pPr>
    </w:p>
    <w:p w14:paraId="7106E7F5">
      <w:pPr>
        <w:pStyle w:val="6"/>
        <w:rPr>
          <w:rFonts w:hint="eastAsia" w:ascii="宋体" w:hAnsi="宋体" w:eastAsia="宋体" w:cs="宋体"/>
          <w:color w:val="auto"/>
          <w:highlight w:val="none"/>
        </w:rPr>
      </w:pPr>
    </w:p>
    <w:p w14:paraId="60189950">
      <w:pPr>
        <w:pStyle w:val="6"/>
        <w:rPr>
          <w:rFonts w:hint="eastAsia" w:ascii="宋体" w:hAnsi="宋体" w:eastAsia="宋体" w:cs="宋体"/>
          <w:color w:val="auto"/>
          <w:highlight w:val="none"/>
        </w:rPr>
      </w:pPr>
    </w:p>
    <w:p w14:paraId="1896CB24">
      <w:pPr>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施工单位（盖章）</w:t>
      </w:r>
    </w:p>
    <w:p w14:paraId="486535B6">
      <w:pPr>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法定代表人：</w:t>
      </w:r>
    </w:p>
    <w:p w14:paraId="234ED52B">
      <w:pPr>
        <w:pStyle w:val="6"/>
        <w:rPr>
          <w:rFonts w:hint="eastAsia" w:ascii="宋体" w:hAnsi="宋体" w:eastAsia="宋体" w:cs="宋体"/>
          <w:color w:val="auto"/>
          <w:highlight w:val="none"/>
        </w:rPr>
      </w:pPr>
    </w:p>
    <w:p w14:paraId="02F105FE">
      <w:pPr>
        <w:pStyle w:val="6"/>
        <w:rPr>
          <w:rFonts w:hint="eastAsia" w:ascii="宋体" w:hAnsi="宋体" w:eastAsia="宋体" w:cs="宋体"/>
          <w:color w:val="auto"/>
          <w:highlight w:val="none"/>
        </w:rPr>
      </w:pPr>
    </w:p>
    <w:p w14:paraId="458CF27A">
      <w:pPr>
        <w:pStyle w:val="6"/>
        <w:rPr>
          <w:rFonts w:hint="eastAsia" w:ascii="宋体" w:hAnsi="宋体" w:eastAsia="宋体" w:cs="宋体"/>
          <w:color w:val="auto"/>
          <w:highlight w:val="none"/>
        </w:rPr>
      </w:pPr>
    </w:p>
    <w:p w14:paraId="472BB893">
      <w:pPr>
        <w:pStyle w:val="6"/>
        <w:rPr>
          <w:rFonts w:hint="eastAsia" w:ascii="宋体" w:hAnsi="宋体" w:eastAsia="宋体" w:cs="宋体"/>
          <w:color w:val="auto"/>
          <w:highlight w:val="none"/>
        </w:rPr>
      </w:pPr>
    </w:p>
    <w:p w14:paraId="5F5CF02C">
      <w:pPr>
        <w:pStyle w:val="6"/>
        <w:rPr>
          <w:rFonts w:hint="eastAsia" w:ascii="宋体" w:hAnsi="宋体" w:eastAsia="宋体" w:cs="宋体"/>
          <w:color w:val="auto"/>
          <w:highlight w:val="none"/>
        </w:rPr>
      </w:pPr>
    </w:p>
    <w:p w14:paraId="3496F5FB">
      <w:pPr>
        <w:pStyle w:val="6"/>
        <w:rPr>
          <w:rFonts w:hint="eastAsia" w:ascii="宋体" w:hAnsi="宋体" w:eastAsia="宋体" w:cs="宋体"/>
          <w:color w:val="auto"/>
          <w:highlight w:val="none"/>
        </w:rPr>
      </w:pPr>
    </w:p>
    <w:p w14:paraId="3B719725">
      <w:pPr>
        <w:pStyle w:val="6"/>
        <w:rPr>
          <w:rFonts w:hint="eastAsia" w:ascii="宋体" w:hAnsi="宋体" w:eastAsia="宋体" w:cs="宋体"/>
          <w:color w:val="auto"/>
          <w:highlight w:val="none"/>
        </w:rPr>
      </w:pPr>
    </w:p>
    <w:p w14:paraId="72E3274F">
      <w:pPr>
        <w:pStyle w:val="6"/>
        <w:rPr>
          <w:rFonts w:hint="eastAsia" w:ascii="宋体" w:hAnsi="宋体" w:eastAsia="宋体" w:cs="宋体"/>
          <w:color w:val="auto"/>
          <w:highlight w:val="none"/>
        </w:rPr>
      </w:pPr>
    </w:p>
    <w:p w14:paraId="3CA1452C">
      <w:pPr>
        <w:pStyle w:val="6"/>
        <w:rPr>
          <w:rFonts w:hint="eastAsia" w:ascii="宋体" w:hAnsi="宋体" w:eastAsia="宋体" w:cs="宋体"/>
          <w:color w:val="auto"/>
          <w:highlight w:val="none"/>
        </w:rPr>
      </w:pPr>
    </w:p>
    <w:p w14:paraId="537EE826">
      <w:pPr>
        <w:pStyle w:val="6"/>
        <w:rPr>
          <w:rFonts w:hint="eastAsia" w:ascii="宋体" w:hAnsi="宋体" w:eastAsia="宋体" w:cs="宋体"/>
          <w:color w:val="auto"/>
          <w:highlight w:val="none"/>
        </w:rPr>
      </w:pPr>
    </w:p>
    <w:p w14:paraId="578BCC0F">
      <w:pPr>
        <w:pStyle w:val="6"/>
        <w:rPr>
          <w:rFonts w:hint="eastAsia" w:ascii="宋体" w:hAnsi="宋体" w:eastAsia="宋体" w:cs="宋体"/>
          <w:color w:val="auto"/>
          <w:highlight w:val="none"/>
        </w:rPr>
      </w:pPr>
    </w:p>
    <w:p w14:paraId="0C6D3EA2">
      <w:pPr>
        <w:pStyle w:val="6"/>
        <w:rPr>
          <w:rFonts w:hint="eastAsia" w:ascii="宋体" w:hAnsi="宋体" w:eastAsia="宋体" w:cs="宋体"/>
          <w:color w:val="auto"/>
          <w:highlight w:val="none"/>
        </w:rPr>
      </w:pPr>
    </w:p>
    <w:p w14:paraId="34686C46">
      <w:pPr>
        <w:pStyle w:val="6"/>
        <w:rPr>
          <w:rFonts w:hint="eastAsia" w:ascii="宋体" w:hAnsi="宋体" w:eastAsia="宋体" w:cs="宋体"/>
          <w:color w:val="auto"/>
          <w:highlight w:val="none"/>
        </w:rPr>
      </w:pPr>
    </w:p>
    <w:p w14:paraId="4527AD97">
      <w:pPr>
        <w:pStyle w:val="6"/>
        <w:rPr>
          <w:rFonts w:hint="eastAsia" w:ascii="宋体" w:hAnsi="宋体" w:eastAsia="宋体" w:cs="宋体"/>
          <w:color w:val="auto"/>
          <w:highlight w:val="none"/>
        </w:rPr>
      </w:pPr>
    </w:p>
    <w:p w14:paraId="35AFB602">
      <w:pPr>
        <w:pStyle w:val="6"/>
        <w:rPr>
          <w:rFonts w:hint="eastAsia" w:ascii="宋体" w:hAnsi="宋体" w:eastAsia="宋体" w:cs="宋体"/>
          <w:color w:val="auto"/>
          <w:highlight w:val="none"/>
        </w:rPr>
      </w:pPr>
    </w:p>
    <w:p w14:paraId="22B71D97">
      <w:pPr>
        <w:pStyle w:val="6"/>
        <w:rPr>
          <w:rFonts w:hint="eastAsia" w:ascii="宋体" w:hAnsi="宋体" w:eastAsia="宋体" w:cs="宋体"/>
          <w:color w:val="auto"/>
          <w:highlight w:val="none"/>
        </w:rPr>
      </w:pPr>
    </w:p>
    <w:p w14:paraId="7964E81F">
      <w:pPr>
        <w:pStyle w:val="6"/>
        <w:ind w:firstLine="0" w:firstLineChars="0"/>
        <w:rPr>
          <w:rFonts w:hint="eastAsia" w:ascii="宋体" w:hAnsi="宋体" w:eastAsia="宋体" w:cs="宋体"/>
          <w:color w:val="auto"/>
          <w:highlight w:val="none"/>
        </w:rPr>
      </w:pPr>
    </w:p>
    <w:p w14:paraId="23274062">
      <w:pPr>
        <w:pStyle w:val="6"/>
        <w:ind w:firstLine="0" w:firstLineChars="0"/>
        <w:rPr>
          <w:rFonts w:hint="eastAsia" w:ascii="宋体" w:hAnsi="宋体" w:eastAsia="宋体" w:cs="宋体"/>
          <w:color w:val="auto"/>
          <w:highlight w:val="none"/>
        </w:rPr>
      </w:pPr>
    </w:p>
    <w:p w14:paraId="28410DA6">
      <w:pPr>
        <w:pStyle w:val="6"/>
        <w:ind w:firstLine="0" w:firstLineChars="0"/>
        <w:rPr>
          <w:rFonts w:hint="eastAsia" w:ascii="宋体" w:hAnsi="宋体" w:eastAsia="宋体" w:cs="宋体"/>
          <w:color w:val="auto"/>
          <w:highlight w:val="none"/>
        </w:rPr>
      </w:pPr>
    </w:p>
    <w:p w14:paraId="5994F950">
      <w:pPr>
        <w:pStyle w:val="6"/>
        <w:ind w:firstLine="0" w:firstLineChars="0"/>
        <w:rPr>
          <w:rFonts w:hint="eastAsia" w:ascii="宋体" w:hAnsi="宋体" w:eastAsia="宋体" w:cs="宋体"/>
          <w:color w:val="auto"/>
          <w:highlight w:val="none"/>
        </w:rPr>
      </w:pPr>
    </w:p>
    <w:p w14:paraId="27D4DB17">
      <w:pPr>
        <w:rPr>
          <w:rFonts w:hint="eastAsia" w:ascii="宋体" w:hAnsi="宋体" w:eastAsia="宋体" w:cs="宋体"/>
          <w:b/>
          <w:color w:val="auto"/>
          <w:sz w:val="24"/>
          <w:highlight w:val="none"/>
        </w:rPr>
      </w:pPr>
    </w:p>
    <w:p w14:paraId="1AA0A554">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1789D363">
      <w:pPr>
        <w:pStyle w:val="6"/>
        <w:ind w:firstLine="0" w:firstLineChars="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附件十二：</w:t>
      </w:r>
    </w:p>
    <w:p w14:paraId="7C3BE961">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安全管理协议书（范本）</w:t>
      </w:r>
    </w:p>
    <w:p w14:paraId="2BE2567B">
      <w:pPr>
        <w:spacing w:line="360" w:lineRule="auto"/>
        <w:ind w:firstLine="420" w:firstLineChars="200"/>
        <w:rPr>
          <w:rFonts w:hint="eastAsia" w:ascii="宋体" w:hAnsi="宋体" w:eastAsia="宋体" w:cs="宋体"/>
          <w:color w:val="auto"/>
          <w:highlight w:val="none"/>
        </w:rPr>
      </w:pPr>
    </w:p>
    <w:p w14:paraId="086BBFF8">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甲方：（全称）</w:t>
      </w:r>
      <w:r>
        <w:rPr>
          <w:rFonts w:hint="eastAsia" w:ascii="宋体" w:hAnsi="宋体" w:eastAsia="宋体" w:cs="宋体"/>
          <w:color w:val="auto"/>
          <w:sz w:val="24"/>
          <w:highlight w:val="none"/>
          <w:u w:val="single"/>
          <w:lang w:eastAsia="zh-CN"/>
        </w:rPr>
        <w:t>广州市番禺区石碁镇桥山村股份合作经济社</w:t>
      </w:r>
    </w:p>
    <w:p w14:paraId="6B23764D">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乙方：（全称）</w:t>
      </w:r>
      <w:r>
        <w:rPr>
          <w:rFonts w:hint="eastAsia" w:ascii="宋体" w:hAnsi="宋体" w:eastAsia="宋体" w:cs="宋体"/>
          <w:color w:val="auto"/>
          <w:sz w:val="24"/>
          <w:highlight w:val="none"/>
          <w:u w:val="single"/>
        </w:rPr>
        <w:t xml:space="preserve">                                       </w:t>
      </w:r>
    </w:p>
    <w:p w14:paraId="5953B090">
      <w:pPr>
        <w:spacing w:line="360" w:lineRule="auto"/>
        <w:ind w:firstLine="480" w:firstLineChars="200"/>
        <w:rPr>
          <w:rFonts w:hint="eastAsia" w:ascii="宋体" w:hAnsi="宋体" w:eastAsia="宋体" w:cs="宋体"/>
          <w:color w:val="auto"/>
          <w:sz w:val="24"/>
          <w:highlight w:val="none"/>
        </w:rPr>
      </w:pPr>
    </w:p>
    <w:p w14:paraId="38DDAA1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为贯彻“安全第一、预防为主、综合治理”的安全管理工作指导方针，明确双方的安全管理责任，依据《中华人民共和国安全生产法》《中华人民共和国消防法》《建设工程安全生产管理条例》等法律、法规以及甲方安全生产管理规章制度，经双方协商，特约定以下条款。</w:t>
      </w:r>
    </w:p>
    <w:p w14:paraId="52A0F7EE">
      <w:pPr>
        <w:adjustRightInd w:val="0"/>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第一条乙方安全管理的责任目标</w:t>
      </w:r>
    </w:p>
    <w:p w14:paraId="6CFEEBD6">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乙方对接管区域的安全管理目标和责任，自乙方接管该区域之日起生效。</w:t>
      </w:r>
    </w:p>
    <w:p w14:paraId="2B8E9D6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（一）安全生产目标</w:t>
      </w:r>
    </w:p>
    <w:p w14:paraId="68433F38">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1、乙方管辖区域内不发生一般及以上安全生产责任事故。</w:t>
      </w:r>
    </w:p>
    <w:p w14:paraId="2A5C73E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2、不发生人员死亡、1人以上重伤，或直接经济损失100万元以上的火灾事故。</w:t>
      </w:r>
    </w:p>
    <w:p w14:paraId="32208E9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3、监管范围内生产安全事故重伤人数控制在1人以内。</w:t>
      </w:r>
    </w:p>
    <w:p w14:paraId="7A13A94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4、办公场所、宿舍、附属临时用房不发生责任火灾事故。</w:t>
      </w:r>
    </w:p>
    <w:p w14:paraId="32653B09">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5、不发生涉及乙方责任的甲方及第三方设施设备的致损事件。</w:t>
      </w:r>
    </w:p>
    <w:p w14:paraId="200715D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6、不发生管辖区域的责任涉险事故。</w:t>
      </w:r>
    </w:p>
    <w:p w14:paraId="465FF38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7、控制和减少责任事件的发生。</w:t>
      </w:r>
    </w:p>
    <w:p w14:paraId="2051E97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8、不发生责任交通安全亡人事故。</w:t>
      </w:r>
    </w:p>
    <w:p w14:paraId="27D59D4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（二）维稳综治责任目标</w:t>
      </w:r>
    </w:p>
    <w:p w14:paraId="6B0C4768">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1、不发生乙方人员违法犯罪受刑事处罚以及受公安机关治安、行政处罚等有损甲方声誉的事件。</w:t>
      </w:r>
    </w:p>
    <w:p w14:paraId="4873DB7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2、不发生乙方人员或因本单位责任引发的管辖区域的人员群体性上访、怠工、罢工等事件。</w:t>
      </w:r>
    </w:p>
    <w:p w14:paraId="675FD5BC">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3、不发生因安保管理不到位，造成管辖区域内公共财产、设备设施被盗，损失达1万元及以上的事件。</w:t>
      </w:r>
    </w:p>
    <w:p w14:paraId="6C5939B8">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4、不发生对社会具有重大负面影响、严重损害甲方声誉的事件。</w:t>
      </w:r>
    </w:p>
    <w:p w14:paraId="4CC9C3C6">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（三）环境及公共卫生管理责任目标</w:t>
      </w:r>
    </w:p>
    <w:p w14:paraId="0377A35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1、管辖区域内不发生违反环境法律法规事件。</w:t>
      </w:r>
    </w:p>
    <w:p w14:paraId="7D5B1100">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2、管辖区域内不发生严重环境污染事故。</w:t>
      </w:r>
    </w:p>
    <w:p w14:paraId="516DD86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3、控制和减少管辖区域内有害废弃物对外界环境的影响。</w:t>
      </w:r>
    </w:p>
    <w:p w14:paraId="643EBBE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4、不发生涉及乙方责任的公共卫生事件。</w:t>
      </w:r>
    </w:p>
    <w:p w14:paraId="0F8E96DF">
      <w:pPr>
        <w:adjustRightInd w:val="0"/>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第二条乙方安全管理责任</w:t>
      </w:r>
    </w:p>
    <w:p w14:paraId="176B89E5">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认真贯彻执行《中华人民共和国安全生产法》、《中华人民共和国消防法》、《中华人民共和国突发事件应对法》、《中华人民共和国职业病防治法》、《中华人民共和国环境保护法》及国家、省、市有关生产安全、应急管理、消防安全、职业病防治、交通安全、维稳综治内保、环境管理相关的法律、法规、行业标准、规范性文件及甲方各项安全管理制度。</w:t>
      </w:r>
    </w:p>
    <w:p w14:paraId="612B1F1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结合消防综治实际，加强安全管理标准化、精细化安全管理体系建设，规范安全管理各环节，完善各项管理程序。落实建设生产安全、应急管理、消防安全、职业病防治、交通安全、维稳综治工作机制，建立健全辖下场所安全管理责任制度、考核奖惩制度、安全检查制度、安全工作会议制度，落实专（兼）职安全管理人员设置。</w:t>
      </w:r>
    </w:p>
    <w:p w14:paraId="45C0823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（三）落实乙方主要负责人对安全、环保工作负总责，乙方项目经理是施工场所安全管理的第一责任人。</w:t>
      </w:r>
    </w:p>
    <w:p w14:paraId="601DC49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（四）根据安全生产工作目标和要求，制订本管辖区域的安全生产工作目标和计划，明确安全生产工作重点和内容，并组织实施。</w:t>
      </w:r>
    </w:p>
    <w:p w14:paraId="512A0EF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（五）建立安全隐患排查和专项整治工作的长效机制，定期组织对本管辖范围内的安全隐患进行排查和专项治理，加大安全投入并采取有效措施及时消除或减少安全隐患。</w:t>
      </w:r>
    </w:p>
    <w:p w14:paraId="7BA810F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落实安全风险分级管控工作，组织排查安全风险，形成风险管理情况记录。如实告知员工岗位安全风险，做好安全风险管理宣传培训、消防演练、应急预案演练等。落实安全风险管理的各项工作，每月向甲方上报安全风险、危险源辨识评价及分级管控台账。</w:t>
      </w:r>
    </w:p>
    <w:p w14:paraId="1B8F4E43">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加强应急管理工作，建立健全应急管理体系，落实应急准备措施，加强应急演练工作，综合应急演练每年不少于一次，消防演练每年不少于两次，上下半年各一次。根据甲方有关应急信息报送的要求（见附件1），如实快速做好突发事件的信息报送和应急处置。指导和督促相关单位完善应急救援体系并定期组织演练，提升应急保障能力。</w:t>
      </w:r>
    </w:p>
    <w:p w14:paraId="27786B8A">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（八）落实对本工程区域的设备、设施管理，确保符合安全要求，落实足够的防火、防毒、防人员伤害和职业病危害措施，并定期组织对其维护、保养及检测。</w:t>
      </w:r>
    </w:p>
    <w:p w14:paraId="181E4BB3">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（九）建立健全志愿消防队，落实消防安全巡查制度，组织制定管辖区域的灭火和应急疏散预案，并实施演练。强化管辖区域的防火检查工作，严禁存在住宿与生产、储存、经营合用的“三合一”场所。</w:t>
      </w:r>
    </w:p>
    <w:p w14:paraId="32DBB82E">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（十）明确安全管理目标，落实本工程工地内部的安全考核工作，将安全管理不力、发生安全事故的责任单位和责任人记入安全生产不良记录，并按照有关规定进行处理。</w:t>
      </w:r>
    </w:p>
    <w:p w14:paraId="01BEC1E6">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一）参加甲方组织的安全管理会议及培训。落实对乙方全体员工开展安全生产政策法规宣传、教育、培训，乙方项目部级工人进场安全教育应严格按照《关于进一步强化建设项目安全管理的通知》（云城开投〔2023〕76号）要求开展。积极开展“安全生产月”、“119”消防宣传月等活动。落实对工地范围内内全体员工开展环境管理法律法规及环保措施的宣传、教育、培训。</w:t>
      </w:r>
    </w:p>
    <w:p w14:paraId="01823DC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（十二）落实管辖内区域的环境因素识别与评价，确定重要环境因素及对应的法律法规要求，按相关法律法规要求严格执行。</w:t>
      </w:r>
    </w:p>
    <w:p w14:paraId="50BC3DCE">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（十三）落实对管辖区域的公共卫生管理，加强传染病、食物和职业中毒的防控工作，做好办公、生活区域的卫生保洁。</w:t>
      </w:r>
    </w:p>
    <w:p w14:paraId="14A61242">
      <w:pPr>
        <w:adjustRightInd w:val="0"/>
        <w:snapToGrid w:val="0"/>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（十四）乙方应严格遵守并执行</w:t>
      </w:r>
      <w:r>
        <w:rPr>
          <w:rFonts w:hint="eastAsia" w:ascii="宋体" w:hAnsi="宋体" w:eastAsia="宋体" w:cs="宋体"/>
          <w:color w:val="auto"/>
          <w:sz w:val="24"/>
          <w:highlight w:val="none"/>
          <w:lang w:eastAsia="zh-CN"/>
        </w:rPr>
        <w:t>广州市番禺区石碁镇桥山村股份合作经济社</w:t>
      </w:r>
      <w:r>
        <w:rPr>
          <w:rFonts w:hint="eastAsia" w:ascii="宋体" w:hAnsi="宋体" w:eastAsia="宋体" w:cs="宋体"/>
          <w:color w:val="auto"/>
          <w:sz w:val="24"/>
          <w:highlight w:val="none"/>
        </w:rPr>
        <w:t>发布的《安全文明措施费使用管理办法》《服务供应商不规范行为管理办法》。</w:t>
      </w:r>
    </w:p>
    <w:p w14:paraId="0B770117">
      <w:pPr>
        <w:adjustRightInd w:val="0"/>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第三条安全问题整改</w:t>
      </w:r>
    </w:p>
    <w:p w14:paraId="53A2F132">
      <w:pPr>
        <w:adjustRightInd w:val="0"/>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甲方将不定期到乙方管辖区域进行安全检查。</w:t>
      </w:r>
    </w:p>
    <w:p w14:paraId="4E33848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如在检查过程发现乙方场地存在安全隐患，甲方有权下发《安全文明整改通知书》《安全检查记录》《安全停工令》（格式见附件3、4）并向乙方通报，乙方应在通知书指定的期限内进行整改，并书面回复甲方。</w:t>
      </w:r>
    </w:p>
    <w:p w14:paraId="232EA299">
      <w:pPr>
        <w:adjustRightInd w:val="0"/>
        <w:snapToGrid w:val="0"/>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（二）如未按甲方整改通知书要求整改的，甲方有权按国家相关规定及双方签署的合同及补充协议条款进行处理。</w:t>
      </w:r>
    </w:p>
    <w:p w14:paraId="30E43006">
      <w:pPr>
        <w:adjustRightInd w:val="0"/>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第四条事故（事件）分类及认定标准</w:t>
      </w:r>
    </w:p>
    <w:p w14:paraId="0AFE1A8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按照生产安全事故（事件）造成的人员伤亡、直接经济损失等影响和危害程度，生产安全事故（事件）分为特别重大事故、重大事故、较大事故、一般事故、一般事件。</w:t>
      </w:r>
    </w:p>
    <w:p w14:paraId="06CA868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（一）特别重大事故构成条件</w:t>
      </w:r>
    </w:p>
    <w:p w14:paraId="5AA57A79">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发生下列情况或造成下列后果之一的为特别重大事故：</w:t>
      </w:r>
    </w:p>
    <w:p w14:paraId="3F0B3540">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1）死亡30人（含失踪，下同）以上；</w:t>
      </w:r>
    </w:p>
    <w:p w14:paraId="678095E2">
      <w:pPr>
        <w:pStyle w:val="18"/>
        <w:adjustRightInd w:val="0"/>
        <w:snapToGrid w:val="0"/>
        <w:spacing w:line="360" w:lineRule="auto"/>
        <w:ind w:firstLine="480" w:firstLineChars="200"/>
        <w:rPr>
          <w:rFonts w:hint="eastAsia" w:hAnsi="宋体" w:eastAsia="宋体" w:cs="宋体"/>
          <w:color w:val="auto"/>
          <w:sz w:val="24"/>
          <w:szCs w:val="24"/>
          <w:highlight w:val="none"/>
        </w:rPr>
      </w:pPr>
      <w:r>
        <w:rPr>
          <w:rFonts w:hint="eastAsia" w:hAnsi="宋体" w:eastAsia="宋体" w:cs="宋体"/>
          <w:color w:val="auto"/>
          <w:sz w:val="24"/>
          <w:szCs w:val="24"/>
          <w:highlight w:val="none"/>
        </w:rPr>
        <w:t>2）重伤100人（含急性工业中毒，下同）以上；</w:t>
      </w:r>
    </w:p>
    <w:p w14:paraId="00C7DDB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3）直接经济损失1亿元（人民币，下同）以上。</w:t>
      </w:r>
    </w:p>
    <w:p w14:paraId="3A049AD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（二）重大事故构成条件</w:t>
      </w:r>
    </w:p>
    <w:p w14:paraId="21D756DE">
      <w:pPr>
        <w:pStyle w:val="18"/>
        <w:adjustRightInd w:val="0"/>
        <w:snapToGrid w:val="0"/>
        <w:spacing w:line="360" w:lineRule="auto"/>
        <w:ind w:firstLine="480" w:firstLineChars="200"/>
        <w:rPr>
          <w:rFonts w:hint="eastAsia" w:hAnsi="宋体" w:eastAsia="宋体" w:cs="宋体"/>
          <w:color w:val="auto"/>
          <w:sz w:val="24"/>
          <w:szCs w:val="24"/>
          <w:highlight w:val="none"/>
        </w:rPr>
      </w:pPr>
      <w:r>
        <w:rPr>
          <w:rFonts w:hint="eastAsia" w:hAnsi="宋体" w:eastAsia="宋体" w:cs="宋体"/>
          <w:color w:val="auto"/>
          <w:sz w:val="24"/>
          <w:szCs w:val="24"/>
          <w:highlight w:val="none"/>
        </w:rPr>
        <w:t>发生下列情况或造成下列后果之一的为重大事故：</w:t>
      </w:r>
    </w:p>
    <w:p w14:paraId="763F2205">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1）死亡10人以上30人以下；</w:t>
      </w:r>
    </w:p>
    <w:p w14:paraId="1A62195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2）重伤50人以上100人以下；</w:t>
      </w:r>
    </w:p>
    <w:p w14:paraId="13CADDCC">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3）直接经济损失5000万元以上1亿元以下；</w:t>
      </w:r>
    </w:p>
    <w:p w14:paraId="1181C71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（三）较大事故构成条件</w:t>
      </w:r>
    </w:p>
    <w:p w14:paraId="29E0217E">
      <w:pPr>
        <w:pStyle w:val="18"/>
        <w:adjustRightInd w:val="0"/>
        <w:snapToGrid w:val="0"/>
        <w:spacing w:line="360" w:lineRule="auto"/>
        <w:ind w:firstLine="480" w:firstLineChars="200"/>
        <w:rPr>
          <w:rFonts w:hint="eastAsia" w:hAnsi="宋体" w:eastAsia="宋体" w:cs="宋体"/>
          <w:color w:val="auto"/>
          <w:sz w:val="24"/>
          <w:szCs w:val="24"/>
          <w:highlight w:val="none"/>
        </w:rPr>
      </w:pPr>
      <w:r>
        <w:rPr>
          <w:rFonts w:hint="eastAsia" w:hAnsi="宋体" w:eastAsia="宋体" w:cs="宋体"/>
          <w:color w:val="auto"/>
          <w:sz w:val="24"/>
          <w:szCs w:val="24"/>
          <w:highlight w:val="none"/>
        </w:rPr>
        <w:t>发生下列情况或造成下列后果之一的为较大事故：</w:t>
      </w:r>
    </w:p>
    <w:p w14:paraId="011E3D9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1）死亡3人以上10人以下；</w:t>
      </w:r>
    </w:p>
    <w:p w14:paraId="7AD500F3">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2）重伤10人以上50人以下；</w:t>
      </w:r>
    </w:p>
    <w:p w14:paraId="0F21C7D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3）直接经济损失1000万元以上5000万元以下；</w:t>
      </w:r>
    </w:p>
    <w:p w14:paraId="0E8C96EB">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（四）一般事故构成条件</w:t>
      </w:r>
    </w:p>
    <w:p w14:paraId="28D22D7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发生下列情况或造成下列后果之一的为一般事故：</w:t>
      </w:r>
    </w:p>
    <w:p w14:paraId="6D309AAC">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kern w:val="0"/>
          <w:sz w:val="24"/>
          <w:highlight w:val="none"/>
        </w:rPr>
        <w:t>死亡1人以上3人以下；</w:t>
      </w:r>
    </w:p>
    <w:p w14:paraId="50CE045E">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kern w:val="0"/>
          <w:sz w:val="24"/>
          <w:highlight w:val="none"/>
        </w:rPr>
        <w:t>重伤3人以上10人以下；</w:t>
      </w:r>
    </w:p>
    <w:p w14:paraId="635377F4">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kern w:val="0"/>
          <w:sz w:val="24"/>
          <w:highlight w:val="none"/>
        </w:rPr>
        <w:t>直接经济损失100万元以上1000万元以下；</w:t>
      </w:r>
    </w:p>
    <w:p w14:paraId="48AFDB7C">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（五）一般事件构成条件</w:t>
      </w:r>
    </w:p>
    <w:p w14:paraId="523FAA90">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发生下列情况或造成下列后果之一的为险性事件：</w:t>
      </w:r>
    </w:p>
    <w:p w14:paraId="13B4932F">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kern w:val="0"/>
          <w:sz w:val="24"/>
          <w:highlight w:val="none"/>
        </w:rPr>
        <w:t>1人以上3人以下重伤；</w:t>
      </w:r>
    </w:p>
    <w:p w14:paraId="0ED87E3F">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kern w:val="0"/>
          <w:sz w:val="24"/>
          <w:highlight w:val="none"/>
        </w:rPr>
        <w:t>直接经济损失1万元以上100万元以下；</w:t>
      </w:r>
    </w:p>
    <w:p w14:paraId="22EE993C">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3）发生对社会产生重大负面影响、严重损害甲方声誉的事件，因安全质量问题被政府通报、媒体负面报道；</w:t>
      </w:r>
    </w:p>
    <w:p w14:paraId="4CE1CE3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4）不配合甲方或第三方安全质量检查，或不按期消除安全质量隐患，或第三方人员、设备设施损害后不立即进行应急抢救抢险或不配合应急抢救抢险，或不按照甲方要求报送应急信息，或不参加安全质量约谈。</w:t>
      </w:r>
    </w:p>
    <w:p w14:paraId="397AE271">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kern w:val="0"/>
          <w:sz w:val="24"/>
          <w:highlight w:val="none"/>
        </w:rPr>
        <w:t>其他性质严重、影响恶劣的事件。</w:t>
      </w:r>
    </w:p>
    <w:p w14:paraId="05A48E07">
      <w:pPr>
        <w:adjustRightInd w:val="0"/>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第五条 事故（事件）的扣罚标准</w:t>
      </w:r>
    </w:p>
    <w:p w14:paraId="464865D3">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（一）履行合同期间，发生一起生产安全责任事故（事件）的，根据乙方所承担的责任定性不同，扣罚标准如下： </w:t>
      </w:r>
    </w:p>
    <w:tbl>
      <w:tblPr>
        <w:tblStyle w:val="45"/>
        <w:tblW w:w="826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3"/>
        <w:gridCol w:w="2551"/>
        <w:gridCol w:w="2552"/>
      </w:tblGrid>
      <w:tr w14:paraId="0495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63" w:type="dxa"/>
            <w:vAlign w:val="center"/>
          </w:tcPr>
          <w:p w14:paraId="62EC1A8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事件性质</w:t>
            </w:r>
          </w:p>
        </w:tc>
        <w:tc>
          <w:tcPr>
            <w:tcW w:w="2551" w:type="dxa"/>
            <w:vAlign w:val="center"/>
          </w:tcPr>
          <w:p w14:paraId="5737E92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乙方负主体责任</w:t>
            </w:r>
          </w:p>
        </w:tc>
        <w:tc>
          <w:tcPr>
            <w:tcW w:w="2552" w:type="dxa"/>
            <w:vAlign w:val="center"/>
          </w:tcPr>
          <w:p w14:paraId="5E96F4F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乙方负监管责任</w:t>
            </w:r>
          </w:p>
        </w:tc>
      </w:tr>
      <w:tr w14:paraId="3EC2E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63" w:type="dxa"/>
            <w:vAlign w:val="center"/>
          </w:tcPr>
          <w:p w14:paraId="02E4E1A5">
            <w:pPr>
              <w:keepNext w:val="0"/>
              <w:keepLines w:val="0"/>
              <w:widowControl/>
              <w:suppressLineNumbers w:val="0"/>
              <w:adjustRightInd w:val="0"/>
              <w:spacing w:before="0" w:beforeAutospacing="0" w:after="0" w:afterAutospacing="0" w:line="360" w:lineRule="auto"/>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一般事件</w:t>
            </w:r>
          </w:p>
        </w:tc>
        <w:tc>
          <w:tcPr>
            <w:tcW w:w="2551" w:type="dxa"/>
            <w:vAlign w:val="center"/>
          </w:tcPr>
          <w:p w14:paraId="70D7A6CE">
            <w:pPr>
              <w:keepNext w:val="0"/>
              <w:keepLines w:val="0"/>
              <w:widowControl/>
              <w:suppressLineNumbers w:val="0"/>
              <w:adjustRightInd w:val="0"/>
              <w:spacing w:before="0" w:beforeAutospacing="0" w:after="0" w:afterAutospacing="0" w:line="360" w:lineRule="auto"/>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100000元</w:t>
            </w:r>
          </w:p>
        </w:tc>
        <w:tc>
          <w:tcPr>
            <w:tcW w:w="2552" w:type="dxa"/>
            <w:vAlign w:val="center"/>
          </w:tcPr>
          <w:p w14:paraId="2F386AD8">
            <w:pPr>
              <w:keepNext w:val="0"/>
              <w:keepLines w:val="0"/>
              <w:widowControl/>
              <w:suppressLineNumbers w:val="0"/>
              <w:adjustRightInd w:val="0"/>
              <w:spacing w:before="0" w:beforeAutospacing="0" w:after="0" w:afterAutospacing="0" w:line="360" w:lineRule="auto"/>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40000元</w:t>
            </w:r>
          </w:p>
        </w:tc>
      </w:tr>
      <w:tr w14:paraId="106C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63" w:type="dxa"/>
            <w:vAlign w:val="center"/>
          </w:tcPr>
          <w:p w14:paraId="1AD4102E">
            <w:pPr>
              <w:keepNext w:val="0"/>
              <w:keepLines w:val="0"/>
              <w:widowControl/>
              <w:suppressLineNumbers w:val="0"/>
              <w:adjustRightInd w:val="0"/>
              <w:spacing w:before="0" w:beforeAutospacing="0" w:after="0" w:afterAutospacing="0" w:line="360" w:lineRule="auto"/>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一般事故（涉险事故）</w:t>
            </w:r>
          </w:p>
        </w:tc>
        <w:tc>
          <w:tcPr>
            <w:tcW w:w="2551" w:type="dxa"/>
            <w:vAlign w:val="center"/>
          </w:tcPr>
          <w:p w14:paraId="30FD673C">
            <w:pPr>
              <w:keepNext w:val="0"/>
              <w:keepLines w:val="0"/>
              <w:widowControl/>
              <w:suppressLineNumbers w:val="0"/>
              <w:adjustRightInd w:val="0"/>
              <w:spacing w:before="0" w:beforeAutospacing="0" w:after="0" w:afterAutospacing="0" w:line="360" w:lineRule="auto"/>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500000元</w:t>
            </w:r>
          </w:p>
        </w:tc>
        <w:tc>
          <w:tcPr>
            <w:tcW w:w="2552" w:type="dxa"/>
            <w:vAlign w:val="center"/>
          </w:tcPr>
          <w:p w14:paraId="7D5A0BA7">
            <w:pPr>
              <w:keepNext w:val="0"/>
              <w:keepLines w:val="0"/>
              <w:widowControl/>
              <w:suppressLineNumbers w:val="0"/>
              <w:adjustRightInd w:val="0"/>
              <w:spacing w:before="0" w:beforeAutospacing="0" w:after="0" w:afterAutospacing="0" w:line="360" w:lineRule="auto"/>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200000元</w:t>
            </w:r>
          </w:p>
        </w:tc>
      </w:tr>
      <w:tr w14:paraId="1C73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3163" w:type="dxa"/>
            <w:vAlign w:val="center"/>
          </w:tcPr>
          <w:p w14:paraId="24EAC729">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较大以上事故（含较大事故、重大事故、特别重大事故）</w:t>
            </w:r>
          </w:p>
        </w:tc>
        <w:tc>
          <w:tcPr>
            <w:tcW w:w="2551" w:type="dxa"/>
            <w:vAlign w:val="center"/>
          </w:tcPr>
          <w:p w14:paraId="5D61CA1E">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1000000元</w:t>
            </w:r>
          </w:p>
        </w:tc>
        <w:tc>
          <w:tcPr>
            <w:tcW w:w="2552" w:type="dxa"/>
            <w:vAlign w:val="center"/>
          </w:tcPr>
          <w:p w14:paraId="6BAE5CE9">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400000元</w:t>
            </w:r>
          </w:p>
        </w:tc>
      </w:tr>
    </w:tbl>
    <w:p w14:paraId="01A84DC8">
      <w:pPr>
        <w:adjustRightInd w:val="0"/>
        <w:snapToGrid w:val="0"/>
        <w:spacing w:line="360" w:lineRule="auto"/>
        <w:rPr>
          <w:rFonts w:hint="eastAsia" w:ascii="宋体" w:hAnsi="宋体" w:eastAsia="宋体" w:cs="宋体"/>
          <w:color w:val="auto"/>
          <w:sz w:val="24"/>
          <w:highlight w:val="none"/>
        </w:rPr>
      </w:pPr>
    </w:p>
    <w:p w14:paraId="4E4C816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（二）上述扣罚在当期进度款中扣除，不足部分按以下顺序扣罚：</w:t>
      </w:r>
    </w:p>
    <w:p w14:paraId="0D08895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1、下期进度款，结算款；</w:t>
      </w:r>
    </w:p>
    <w:p w14:paraId="69433F8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2、履约保证金。</w:t>
      </w:r>
    </w:p>
    <w:p w14:paraId="5FF969E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上述扣罚款（绩效考核罚款及其他罚款等）不减少合同金额，且不能抵消乙方应当履行的赔偿责任。</w:t>
      </w:r>
    </w:p>
    <w:p w14:paraId="3A6A3486">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（三）发生一起一般安全生产责任事件的，甲方对乙方进行通报批评。发生一起一般安全生产责任事故的，甲方约谈乙方法定代表人或授权代表人，进行安全谈话，形成谈话内容纪要，正式印发给乙方。</w:t>
      </w:r>
    </w:p>
    <w:p w14:paraId="0CFB043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第六条 安全专项检查评分及结果运用</w:t>
      </w:r>
    </w:p>
    <w:p w14:paraId="57AA313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安全检查为专项检查，甲方组织检查，并通报每月的检查结果。对于发现的问题和隐患，视情况严重程度给予当面提醒、口头警告，对于重大安全隐患或屡次频发的安全问题下发书面《安全文明整改通知书》（参见附件3），对严重威胁安全生产的问题下发安全停工令，责令停工整改，并可启动《服务供应商不规范行为管理办法》下发“项目监管函”警示。</w:t>
      </w:r>
    </w:p>
    <w:p w14:paraId="7B59380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检查标准依照《建筑施工安全检查标准》（JGJ59）、国家、行业强制性标准及本协议规定的推荐性标准，具体检查内容详见附件2《施工单位安全文明检查标准》，甲方有权根据自身安全管理需要对附件2、3有关内容进行修改调整，并以书面形式通知乙方，乙方须按相关文件内容执行。</w:t>
      </w:r>
    </w:p>
    <w:p w14:paraId="50B2C9F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对于甲方发出的《安全检查记录》，经甲方向乙方通报后，视同为甲方下发《安全文明整改通知书》。</w:t>
      </w:r>
    </w:p>
    <w:p w14:paraId="361F2A8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（二）经检查（抽查）发现一般性隐患与问题达到6条及以上的，或存在重大安全隐患的，或隐患问题不整改，整改不彻底、不及时的工地，由甲方给予挂牌警告。</w:t>
      </w:r>
    </w:p>
    <w:p w14:paraId="40720AE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（三）乙方因安全文明管理问题被挂牌警告的，甲方有权做如下处理：</w:t>
      </w:r>
    </w:p>
    <w:p w14:paraId="68862E3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1、甲方有权对其进行通报批评；</w:t>
      </w:r>
    </w:p>
    <w:p w14:paraId="1431CEA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2、启动《服务供应商不规范行为管理办法》下发“项目监管函”警示，并扣罚5000-50000元；</w:t>
      </w:r>
    </w:p>
    <w:p w14:paraId="709024D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3、启动《服务供应商不规范行为管理办法》采取约谈法定代表人措施，对乙方单位现场第一负责人、法人公司负责人进行安全谈话，形成谈话内容纪要，正式印发给乙方；</w:t>
      </w:r>
    </w:p>
    <w:p w14:paraId="6193E77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4、纳入甲方履约“黑名单”，警示期1年以上。</w:t>
      </w:r>
    </w:p>
    <w:p w14:paraId="7D153AA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第七条 </w:t>
      </w:r>
    </w:p>
    <w:p w14:paraId="1AB68BF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乙方应遵守以下推荐性标准</w:t>
      </w:r>
      <w:r>
        <w:rPr>
          <w:rFonts w:hint="eastAsia" w:ascii="宋体" w:hAnsi="宋体" w:eastAsia="宋体" w:cs="宋体"/>
          <w:color w:val="auto"/>
          <w:sz w:val="24"/>
          <w:highlight w:val="none"/>
        </w:rPr>
        <w:t>条文内容：</w:t>
      </w:r>
    </w:p>
    <w:p w14:paraId="07FEC8A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1、建筑施工易发事故防治安全标准（JGJ/T429）</w:t>
      </w:r>
    </w:p>
    <w:p w14:paraId="4F8A3CE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2、施工升降机安全使用规程（GB/T34023）</w:t>
      </w:r>
    </w:p>
    <w:p w14:paraId="481A475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3、起重机 钢丝绳 保养、维护、安装、检验和报废(GB/T5972)</w:t>
      </w:r>
    </w:p>
    <w:p w14:paraId="5156FC2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4、钢丝绳夹（GB/T5976）</w:t>
      </w:r>
    </w:p>
    <w:p w14:paraId="7BA46D3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5、建筑施工机械与设备 钢筋加工机械 安全要求（GB/T38176）</w:t>
      </w:r>
    </w:p>
    <w:p w14:paraId="3CC26D8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6、建筑施工机械与设备 履带式强夯机安全要求（GB/T37465）</w:t>
      </w:r>
    </w:p>
    <w:p w14:paraId="0A0308D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7、移动式道路施工机械 夯实机械安全要求（GB/T36513）</w:t>
      </w:r>
    </w:p>
    <w:p w14:paraId="33F626C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8、建筑施工机械与设备 混凝土和砂浆制备机械与设备安全要求（GB/T37168）</w:t>
      </w:r>
    </w:p>
    <w:p w14:paraId="3C2A379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9、高处作业吊篮安装、拆卸、使用技术规程（JB/T11699）</w:t>
      </w:r>
    </w:p>
    <w:p w14:paraId="005B8BE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若本协议生效之日后，上述适用于本协议的推荐性标准条文有更新的，以最新的为准。若有其他新增推荐性标准，甲方也可通过工程例会形式告知乙方，并在会议纪要中记录，以该种形式告知后的推荐性标准在本协议中生效，乙方应该知晓并遵守。</w:t>
      </w:r>
    </w:p>
    <w:p w14:paraId="19B58FF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第八条 </w:t>
      </w:r>
    </w:p>
    <w:p w14:paraId="127CF32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（一）本协议自双方法定代表人（或授权代表）签字并加盖公章之日起生效。</w:t>
      </w:r>
    </w:p>
    <w:p w14:paraId="4B68747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（二）本协议在履行过程中发生纠纷，双方应及时协商解决。协商不成时，任何一方均可向广州市番禺区人民法院提起诉讼。</w:t>
      </w:r>
    </w:p>
    <w:p w14:paraId="32C2AF3E">
      <w:pPr>
        <w:adjustRightInd w:val="0"/>
        <w:snapToGrid w:val="0"/>
        <w:spacing w:line="360" w:lineRule="auto"/>
        <w:ind w:firstLine="472" w:firstLineChars="196"/>
        <w:rPr>
          <w:rFonts w:hint="eastAsia" w:ascii="宋体" w:hAnsi="宋体" w:eastAsia="宋体" w:cs="宋体"/>
          <w:b/>
          <w:bCs/>
          <w:color w:val="auto"/>
          <w:sz w:val="24"/>
          <w:highlight w:val="none"/>
        </w:rPr>
      </w:pPr>
    </w:p>
    <w:p w14:paraId="65E11D8C">
      <w:pPr>
        <w:adjustRightInd w:val="0"/>
        <w:snapToGrid w:val="0"/>
        <w:spacing w:line="360" w:lineRule="auto"/>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rPr>
        <w:t>附件1：应急信息报送要求及事故（件）速报表</w:t>
      </w:r>
    </w:p>
    <w:p w14:paraId="4071A25E">
      <w:pPr>
        <w:adjustRightInd w:val="0"/>
        <w:snapToGrid w:val="0"/>
        <w:spacing w:line="360" w:lineRule="auto"/>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rPr>
        <w:t>附件2：施工单位安全文明检查标准</w:t>
      </w:r>
    </w:p>
    <w:p w14:paraId="2E5A3BAB">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附件3：安全文明整改通知书、安全检查记录</w:t>
      </w:r>
    </w:p>
    <w:p w14:paraId="278E6130">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附件4：安全停工令</w:t>
      </w:r>
    </w:p>
    <w:p w14:paraId="045D860F">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2265B9DA">
      <w:pPr>
        <w:adjustRightInd w:val="0"/>
        <w:snapToGrid w:val="0"/>
        <w:spacing w:line="360" w:lineRule="auto"/>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rPr>
        <w:t>（本页为签署页）</w:t>
      </w:r>
    </w:p>
    <w:p w14:paraId="75B6A99E">
      <w:pPr>
        <w:pStyle w:val="6"/>
        <w:rPr>
          <w:rFonts w:hint="eastAsia"/>
          <w:color w:val="auto"/>
          <w:highlight w:val="none"/>
        </w:rPr>
      </w:pPr>
    </w:p>
    <w:p w14:paraId="091413F8">
      <w:pPr>
        <w:adjustRightInd w:val="0"/>
        <w:snapToGrid w:val="0"/>
        <w:spacing w:line="360" w:lineRule="auto"/>
        <w:ind w:firstLine="480" w:firstLineChars="200"/>
        <w:rPr>
          <w:rFonts w:hint="eastAsia" w:ascii="宋体" w:hAnsi="宋体" w:eastAsia="宋体" w:cs="宋体"/>
          <w:color w:val="auto"/>
          <w:sz w:val="24"/>
          <w:highlight w:val="none"/>
        </w:rPr>
      </w:pPr>
    </w:p>
    <w:p w14:paraId="0C98DBEE">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lang w:eastAsia="zh-CN"/>
        </w:rPr>
        <w:t>广州市番禺区石碁镇桥山村股份合作经济社</w:t>
      </w:r>
      <w:r>
        <w:rPr>
          <w:rFonts w:hint="eastAsia" w:ascii="宋体" w:hAnsi="宋体" w:eastAsia="宋体" w:cs="宋体"/>
          <w:color w:val="auto"/>
          <w:sz w:val="24"/>
          <w:highlight w:val="none"/>
        </w:rPr>
        <w:t>（盖章）</w:t>
      </w:r>
    </w:p>
    <w:p w14:paraId="34E26E0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通讯地址：</w:t>
      </w:r>
    </w:p>
    <w:p w14:paraId="22AAB6DB">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p w14:paraId="1FBE4E63">
      <w:pPr>
        <w:adjustRightInd w:val="0"/>
        <w:snapToGrid w:val="0"/>
        <w:spacing w:line="360" w:lineRule="auto"/>
        <w:ind w:firstLine="480" w:firstLineChars="200"/>
        <w:rPr>
          <w:rFonts w:hint="eastAsia" w:ascii="宋体" w:hAnsi="宋体" w:eastAsia="宋体" w:cs="宋体"/>
          <w:color w:val="auto"/>
          <w:sz w:val="24"/>
          <w:highlight w:val="none"/>
        </w:rPr>
      </w:pPr>
    </w:p>
    <w:p w14:paraId="3893CCA7">
      <w:pPr>
        <w:pStyle w:val="6"/>
        <w:rPr>
          <w:rFonts w:hint="eastAsia"/>
          <w:color w:val="auto"/>
          <w:highlight w:val="none"/>
        </w:rPr>
      </w:pPr>
    </w:p>
    <w:p w14:paraId="4FB0D00A">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乙方（主）：           （盖章）            </w:t>
      </w:r>
    </w:p>
    <w:p w14:paraId="1F1F59D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14:paraId="51C8FFC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                                                  </w:t>
      </w:r>
    </w:p>
    <w:p w14:paraId="7FA28966">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签约代表：</w:t>
      </w:r>
    </w:p>
    <w:p w14:paraId="51BFB6AB">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C801E12">
      <w:pPr>
        <w:pStyle w:val="6"/>
        <w:rPr>
          <w:rFonts w:hint="eastAsia"/>
          <w:color w:val="auto"/>
          <w:highlight w:val="none"/>
        </w:rPr>
      </w:pPr>
    </w:p>
    <w:p w14:paraId="7338B4BA">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乙方（成）：          （盖章）</w:t>
      </w:r>
    </w:p>
    <w:p w14:paraId="325A3E7A">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65A7A60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p w14:paraId="1BC78CDE">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签约代表：</w:t>
      </w:r>
    </w:p>
    <w:p w14:paraId="2978A043">
      <w:pPr>
        <w:adjustRightInd w:val="0"/>
        <w:snapToGrid w:val="0"/>
        <w:spacing w:line="360" w:lineRule="auto"/>
        <w:ind w:firstLine="480" w:firstLineChars="200"/>
        <w:rPr>
          <w:rFonts w:hint="eastAsia" w:ascii="宋体" w:hAnsi="宋体" w:eastAsia="宋体" w:cs="宋体"/>
          <w:color w:val="auto"/>
          <w:sz w:val="24"/>
          <w:highlight w:val="none"/>
        </w:rPr>
      </w:pPr>
    </w:p>
    <w:p w14:paraId="1A8673D9">
      <w:pPr>
        <w:pStyle w:val="6"/>
        <w:rPr>
          <w:rFonts w:hint="eastAsia"/>
          <w:color w:val="auto"/>
          <w:highlight w:val="none"/>
        </w:rPr>
      </w:pPr>
    </w:p>
    <w:p w14:paraId="2276BEC5">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乙方（成）：            （盖章）</w:t>
      </w:r>
    </w:p>
    <w:p w14:paraId="43B26A1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7F0E9CE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p w14:paraId="4D4A63B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签约代表：</w:t>
      </w:r>
    </w:p>
    <w:p w14:paraId="53C600CE">
      <w:pPr>
        <w:adjustRightInd w:val="0"/>
        <w:snapToGrid w:val="0"/>
        <w:spacing w:line="360" w:lineRule="auto"/>
        <w:ind w:firstLine="460" w:firstLineChars="192"/>
        <w:rPr>
          <w:rFonts w:hint="eastAsia" w:ascii="宋体" w:hAnsi="宋体" w:eastAsia="宋体" w:cs="宋体"/>
          <w:color w:val="auto"/>
          <w:sz w:val="24"/>
          <w:highlight w:val="none"/>
        </w:rPr>
      </w:pPr>
    </w:p>
    <w:p w14:paraId="267F7C2B">
      <w:pPr>
        <w:spacing w:line="360" w:lineRule="auto"/>
        <w:ind w:firstLine="480" w:firstLineChars="200"/>
        <w:rPr>
          <w:rFonts w:hint="eastAsia" w:ascii="宋体" w:hAnsi="宋体" w:eastAsia="宋体" w:cs="宋体"/>
          <w:color w:val="auto"/>
          <w:sz w:val="24"/>
          <w:highlight w:val="none"/>
        </w:rPr>
      </w:pPr>
    </w:p>
    <w:p w14:paraId="5B36490F">
      <w:pPr>
        <w:widowControl/>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7D095E2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附件1：应急信息报送要求</w:t>
      </w:r>
    </w:p>
    <w:p w14:paraId="63D1FC6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一、时间要求：</w:t>
      </w:r>
    </w:p>
    <w:p w14:paraId="75E070E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第一次报送必须在5分钟内以电话形式或当面报送，10分钟内以邮件方式报送，随后以纸质方式正式上报。</w:t>
      </w:r>
    </w:p>
    <w:p w14:paraId="0391CFF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二、报送对象：</w:t>
      </w:r>
    </w:p>
    <w:p w14:paraId="7B876A3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理报送给甲方项目负责人，如项目负责人电话不通情况下，应报送给甲方工程管理人员，如果两电话均确实不通（无信号），立即编制信息发送（其他的报送形式无效），并须越级向甲方工程管理部门上报。</w:t>
      </w:r>
    </w:p>
    <w:p w14:paraId="382CE71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如乙方项目经理不在场（休假），应事先进行授权，由被授权人上报。</w:t>
      </w:r>
    </w:p>
    <w:p w14:paraId="2186622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三、报送范围：</w:t>
      </w:r>
    </w:p>
    <w:p w14:paraId="2F3BFA1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1.根据合同要求明确的安全管理责任范围内发生的责任应急事件；</w:t>
      </w:r>
    </w:p>
    <w:p w14:paraId="2EBFD6B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2.甲方规定的报送范围</w:t>
      </w:r>
    </w:p>
    <w:p w14:paraId="6CA3358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四、报送格式要求</w:t>
      </w:r>
    </w:p>
    <w:p w14:paraId="236B686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1.第一次电话报送格式：“某某地点几时几分发生什么事件，具体情况和原因正在调查中”。详细情况待了解清楚后再上报。</w:t>
      </w:r>
    </w:p>
    <w:p w14:paraId="657EB03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2.书面速报格式见《事故（件）速报表》。</w:t>
      </w:r>
    </w:p>
    <w:p w14:paraId="58D3467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五、其他要求</w:t>
      </w:r>
    </w:p>
    <w:p w14:paraId="5376E7F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1.对于责任范围内的突发事件，有事即报，不需任何人授权。</w:t>
      </w:r>
    </w:p>
    <w:p w14:paraId="0695782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2.有信息报送责任的人员需保持通信工具畅通，不得关机。</w:t>
      </w:r>
    </w:p>
    <w:p w14:paraId="05D80E8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3.各环节责任人需记录信息报送时间信息，作为调查时的依据。乙方相关涉及人员，不得拒接甲方房产总部安全管理部负责人电话，因未接电话，导致信息报送延时的，追究其责任。</w:t>
      </w:r>
    </w:p>
    <w:p w14:paraId="395774E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4.乙方必须在5分钟之内电话报甲方工程管理部，根据报送流程优化并制定内部信息报送流程和处理流程，对相关报送要求进行培训，以确保报送信息畅通、及时。</w:t>
      </w:r>
    </w:p>
    <w:p w14:paraId="4CE30718">
      <w:pPr>
        <w:spacing w:line="360" w:lineRule="auto"/>
        <w:ind w:firstLine="480" w:firstLineChars="200"/>
        <w:rPr>
          <w:rFonts w:hint="eastAsia" w:ascii="宋体" w:hAnsi="宋体" w:eastAsia="宋体" w:cs="宋体"/>
          <w:color w:val="auto"/>
          <w:sz w:val="24"/>
          <w:highlight w:val="none"/>
        </w:rPr>
      </w:pPr>
    </w:p>
    <w:p w14:paraId="5C24C338">
      <w:pPr>
        <w:spacing w:line="360" w:lineRule="auto"/>
        <w:ind w:firstLine="480" w:firstLineChars="200"/>
        <w:rPr>
          <w:rFonts w:hint="eastAsia" w:ascii="宋体" w:hAnsi="宋体" w:eastAsia="宋体" w:cs="宋体"/>
          <w:color w:val="auto"/>
          <w:sz w:val="24"/>
          <w:highlight w:val="none"/>
        </w:rPr>
      </w:pPr>
    </w:p>
    <w:p w14:paraId="081E0149">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事故（件）速报表</w:t>
      </w:r>
    </w:p>
    <w:p w14:paraId="63B54C93">
      <w:pPr>
        <w:spacing w:line="360" w:lineRule="auto"/>
        <w:ind w:firstLine="120" w:firstLineChars="50"/>
        <w:rPr>
          <w:rFonts w:hint="eastAsia" w:ascii="宋体" w:hAnsi="宋体" w:eastAsia="宋体" w:cs="宋体"/>
          <w:color w:val="auto"/>
          <w:sz w:val="24"/>
          <w:highlight w:val="none"/>
        </w:rPr>
      </w:pPr>
    </w:p>
    <w:p w14:paraId="02DF39A0">
      <w:pPr>
        <w:spacing w:line="360" w:lineRule="auto"/>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填报单位（公章）：</w:t>
      </w:r>
    </w:p>
    <w:p w14:paraId="385ED9C0">
      <w:pPr>
        <w:spacing w:line="360" w:lineRule="auto"/>
        <w:rPr>
          <w:rFonts w:hint="eastAsia" w:ascii="宋体" w:hAnsi="宋体" w:eastAsia="宋体" w:cs="宋体"/>
          <w:b/>
          <w:bCs/>
          <w:color w:val="auto"/>
          <w:sz w:val="24"/>
          <w:highlight w:val="none"/>
        </w:rPr>
      </w:pPr>
    </w:p>
    <w:tbl>
      <w:tblPr>
        <w:tblStyle w:val="45"/>
        <w:tblW w:w="8532" w:type="dxa"/>
        <w:tblInd w:w="-176" w:type="dxa"/>
        <w:tblLayout w:type="fixed"/>
        <w:tblCellMar>
          <w:top w:w="0" w:type="dxa"/>
          <w:left w:w="108" w:type="dxa"/>
          <w:bottom w:w="0" w:type="dxa"/>
          <w:right w:w="108" w:type="dxa"/>
        </w:tblCellMar>
      </w:tblPr>
      <w:tblGrid>
        <w:gridCol w:w="1844"/>
        <w:gridCol w:w="1417"/>
        <w:gridCol w:w="83"/>
        <w:gridCol w:w="1618"/>
        <w:gridCol w:w="451"/>
        <w:gridCol w:w="1675"/>
        <w:gridCol w:w="1444"/>
      </w:tblGrid>
      <w:tr w14:paraId="77A640D6">
        <w:tblPrEx>
          <w:tblCellMar>
            <w:top w:w="0" w:type="dxa"/>
            <w:left w:w="108" w:type="dxa"/>
            <w:bottom w:w="0" w:type="dxa"/>
            <w:right w:w="108" w:type="dxa"/>
          </w:tblCellMar>
        </w:tblPrEx>
        <w:trPr>
          <w:cantSplit/>
          <w:trHeight w:val="1529" w:hRule="atLeast"/>
        </w:trPr>
        <w:tc>
          <w:tcPr>
            <w:tcW w:w="1844" w:type="dxa"/>
            <w:vMerge w:val="restart"/>
            <w:tcBorders>
              <w:top w:val="double" w:color="auto" w:sz="2" w:space="0"/>
              <w:left w:val="double" w:color="auto" w:sz="2" w:space="0"/>
              <w:bottom w:val="single" w:color="auto" w:sz="4" w:space="0"/>
              <w:right w:val="single" w:color="auto" w:sz="4" w:space="0"/>
            </w:tcBorders>
            <w:vAlign w:val="center"/>
          </w:tcPr>
          <w:p w14:paraId="58AFDBC5">
            <w:pPr>
              <w:keepNext w:val="0"/>
              <w:keepLines w:val="0"/>
              <w:suppressLineNumbers w:val="0"/>
              <w:spacing w:before="12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基本信息</w:t>
            </w:r>
          </w:p>
        </w:tc>
        <w:tc>
          <w:tcPr>
            <w:tcW w:w="1417" w:type="dxa"/>
            <w:tcBorders>
              <w:top w:val="double" w:color="auto" w:sz="2" w:space="0"/>
              <w:left w:val="single" w:color="auto" w:sz="4" w:space="0"/>
              <w:bottom w:val="single" w:color="auto" w:sz="4" w:space="0"/>
              <w:right w:val="single" w:color="auto" w:sz="4" w:space="0"/>
            </w:tcBorders>
            <w:vAlign w:val="center"/>
          </w:tcPr>
          <w:p w14:paraId="013F539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事故（件）单位</w:t>
            </w:r>
          </w:p>
        </w:tc>
        <w:tc>
          <w:tcPr>
            <w:tcW w:w="5271" w:type="dxa"/>
            <w:gridSpan w:val="5"/>
            <w:tcBorders>
              <w:top w:val="double" w:color="auto" w:sz="2" w:space="0"/>
              <w:left w:val="single" w:color="auto" w:sz="4" w:space="0"/>
              <w:bottom w:val="single" w:color="auto" w:sz="4" w:space="0"/>
              <w:right w:val="double" w:color="auto" w:sz="2" w:space="0"/>
            </w:tcBorders>
            <w:vAlign w:val="center"/>
          </w:tcPr>
          <w:p w14:paraId="20AE41B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r w14:paraId="09269566">
        <w:tblPrEx>
          <w:tblCellMar>
            <w:top w:w="0" w:type="dxa"/>
            <w:left w:w="108" w:type="dxa"/>
            <w:bottom w:w="0" w:type="dxa"/>
            <w:right w:w="108" w:type="dxa"/>
          </w:tblCellMar>
        </w:tblPrEx>
        <w:trPr>
          <w:cantSplit/>
          <w:trHeight w:val="1064" w:hRule="atLeast"/>
        </w:trPr>
        <w:tc>
          <w:tcPr>
            <w:tcW w:w="1844" w:type="dxa"/>
            <w:vMerge w:val="continue"/>
            <w:tcBorders>
              <w:top w:val="double" w:color="auto" w:sz="2" w:space="0"/>
              <w:left w:val="double" w:color="auto" w:sz="2" w:space="0"/>
              <w:bottom w:val="single" w:color="auto" w:sz="4" w:space="0"/>
              <w:right w:val="single" w:color="auto" w:sz="4" w:space="0"/>
            </w:tcBorders>
            <w:vAlign w:val="center"/>
          </w:tcPr>
          <w:p w14:paraId="47D6FEF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0D47817">
            <w:pPr>
              <w:keepNext w:val="0"/>
              <w:keepLines w:val="0"/>
              <w:suppressLineNumbers w:val="0"/>
              <w:adjustRightInd w:val="0"/>
              <w:spacing w:before="0" w:beforeAutospacing="0" w:after="0" w:afterAutospacing="0" w:line="360" w:lineRule="auto"/>
              <w:ind w:left="0" w:right="-108"/>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发生时间</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A999F91">
            <w:pPr>
              <w:keepNext w:val="0"/>
              <w:keepLines w:val="0"/>
              <w:suppressLineNumbers w:val="0"/>
              <w:adjustRightInd w:val="0"/>
              <w:spacing w:before="0" w:beforeAutospacing="0" w:after="0" w:afterAutospacing="0" w:line="360" w:lineRule="auto"/>
              <w:ind w:left="0" w:right="21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月日时分</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23A10F2">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（预计）处理结束时间</w:t>
            </w:r>
          </w:p>
        </w:tc>
        <w:tc>
          <w:tcPr>
            <w:tcW w:w="1444" w:type="dxa"/>
            <w:tcBorders>
              <w:top w:val="single" w:color="auto" w:sz="4" w:space="0"/>
              <w:left w:val="single" w:color="auto" w:sz="4" w:space="0"/>
              <w:bottom w:val="single" w:color="auto" w:sz="4" w:space="0"/>
              <w:right w:val="double" w:color="auto" w:sz="2" w:space="0"/>
            </w:tcBorders>
            <w:vAlign w:val="center"/>
          </w:tcPr>
          <w:p w14:paraId="242CB1C4">
            <w:pPr>
              <w:keepNext w:val="0"/>
              <w:keepLines w:val="0"/>
              <w:suppressLineNumbers w:val="0"/>
              <w:spacing w:before="0" w:beforeAutospacing="0" w:after="0" w:afterAutospacing="0" w:line="360" w:lineRule="auto"/>
              <w:ind w:left="0" w:right="71" w:rightChars="34"/>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月  日  时  分</w:t>
            </w:r>
          </w:p>
        </w:tc>
      </w:tr>
      <w:tr w14:paraId="2E4E7BDA">
        <w:tblPrEx>
          <w:tblCellMar>
            <w:top w:w="0" w:type="dxa"/>
            <w:left w:w="108" w:type="dxa"/>
            <w:bottom w:w="0" w:type="dxa"/>
            <w:right w:w="108" w:type="dxa"/>
          </w:tblCellMar>
        </w:tblPrEx>
        <w:trPr>
          <w:cantSplit/>
          <w:trHeight w:val="547" w:hRule="atLeast"/>
        </w:trPr>
        <w:tc>
          <w:tcPr>
            <w:tcW w:w="1844" w:type="dxa"/>
            <w:vMerge w:val="continue"/>
            <w:tcBorders>
              <w:top w:val="double" w:color="auto" w:sz="2" w:space="0"/>
              <w:left w:val="double" w:color="auto" w:sz="2" w:space="0"/>
              <w:bottom w:val="single" w:color="auto" w:sz="4" w:space="0"/>
              <w:right w:val="single" w:color="auto" w:sz="4" w:space="0"/>
            </w:tcBorders>
            <w:vAlign w:val="center"/>
          </w:tcPr>
          <w:p w14:paraId="09E43C8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5DEBA76">
            <w:pPr>
              <w:keepNext w:val="0"/>
              <w:keepLines w:val="0"/>
              <w:suppressLineNumbers w:val="0"/>
              <w:adjustRightInd w:val="0"/>
              <w:spacing w:before="0" w:beforeAutospacing="0" w:after="0" w:afterAutospacing="0" w:line="360" w:lineRule="auto"/>
              <w:ind w:left="0" w:right="-107" w:rightChars="-5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地点</w:t>
            </w:r>
          </w:p>
        </w:tc>
        <w:tc>
          <w:tcPr>
            <w:tcW w:w="5271" w:type="dxa"/>
            <w:gridSpan w:val="5"/>
            <w:tcBorders>
              <w:top w:val="single" w:color="auto" w:sz="4" w:space="0"/>
              <w:left w:val="single" w:color="auto" w:sz="4" w:space="0"/>
              <w:bottom w:val="single" w:color="auto" w:sz="4" w:space="0"/>
              <w:right w:val="double" w:color="auto" w:sz="2" w:space="0"/>
            </w:tcBorders>
            <w:vAlign w:val="center"/>
          </w:tcPr>
          <w:p w14:paraId="1AFB87E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r w14:paraId="04E038D9">
        <w:tblPrEx>
          <w:tblCellMar>
            <w:top w:w="0" w:type="dxa"/>
            <w:left w:w="108" w:type="dxa"/>
            <w:bottom w:w="0" w:type="dxa"/>
            <w:right w:w="108" w:type="dxa"/>
          </w:tblCellMar>
        </w:tblPrEx>
        <w:trPr>
          <w:cantSplit/>
          <w:trHeight w:val="1185" w:hRule="atLeast"/>
        </w:trPr>
        <w:tc>
          <w:tcPr>
            <w:tcW w:w="1844" w:type="dxa"/>
            <w:tcBorders>
              <w:top w:val="single" w:color="auto" w:sz="4" w:space="0"/>
              <w:left w:val="double" w:color="auto" w:sz="2" w:space="0"/>
              <w:bottom w:val="single" w:color="auto" w:sz="4" w:space="0"/>
              <w:right w:val="single" w:color="auto" w:sz="4" w:space="0"/>
            </w:tcBorders>
            <w:vAlign w:val="center"/>
          </w:tcPr>
          <w:p w14:paraId="45CB4529">
            <w:pPr>
              <w:keepNext w:val="0"/>
              <w:keepLines w:val="0"/>
              <w:suppressLineNumbers w:val="0"/>
              <w:adjustRightInd w:val="0"/>
              <w:spacing w:before="12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事故（件）概况</w:t>
            </w:r>
          </w:p>
        </w:tc>
        <w:tc>
          <w:tcPr>
            <w:tcW w:w="6688" w:type="dxa"/>
            <w:gridSpan w:val="6"/>
            <w:tcBorders>
              <w:top w:val="single" w:color="auto" w:sz="4" w:space="0"/>
              <w:left w:val="single" w:color="auto" w:sz="4" w:space="0"/>
              <w:bottom w:val="single" w:color="auto" w:sz="4" w:space="0"/>
              <w:right w:val="double" w:color="auto" w:sz="2" w:space="0"/>
            </w:tcBorders>
            <w:vAlign w:val="center"/>
          </w:tcPr>
          <w:p w14:paraId="214A30D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r w14:paraId="7A538E17">
        <w:tblPrEx>
          <w:tblCellMar>
            <w:top w:w="0" w:type="dxa"/>
            <w:left w:w="108" w:type="dxa"/>
            <w:bottom w:w="0" w:type="dxa"/>
            <w:right w:w="108" w:type="dxa"/>
          </w:tblCellMar>
        </w:tblPrEx>
        <w:trPr>
          <w:cantSplit/>
          <w:trHeight w:val="1091" w:hRule="atLeast"/>
        </w:trPr>
        <w:tc>
          <w:tcPr>
            <w:tcW w:w="1844" w:type="dxa"/>
            <w:tcBorders>
              <w:top w:val="single" w:color="auto" w:sz="4" w:space="0"/>
              <w:left w:val="double" w:color="auto" w:sz="2" w:space="0"/>
              <w:bottom w:val="single" w:color="auto" w:sz="4" w:space="0"/>
              <w:right w:val="single" w:color="auto" w:sz="4" w:space="0"/>
            </w:tcBorders>
            <w:vAlign w:val="center"/>
          </w:tcPr>
          <w:p w14:paraId="7A3C8F26">
            <w:pPr>
              <w:keepNext w:val="0"/>
              <w:keepLines w:val="0"/>
              <w:suppressLineNumbers w:val="0"/>
              <w:adjustRightInd w:val="0"/>
              <w:spacing w:before="0" w:beforeAutospacing="0" w:after="0" w:afterAutospacing="0" w:line="360" w:lineRule="auto"/>
              <w:ind w:left="113" w:right="11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事故（件）损失</w:t>
            </w:r>
          </w:p>
        </w:tc>
        <w:tc>
          <w:tcPr>
            <w:tcW w:w="6688" w:type="dxa"/>
            <w:gridSpan w:val="6"/>
            <w:tcBorders>
              <w:top w:val="single" w:color="auto" w:sz="4" w:space="0"/>
              <w:left w:val="single" w:color="auto" w:sz="4" w:space="0"/>
              <w:bottom w:val="single" w:color="auto" w:sz="4" w:space="0"/>
              <w:right w:val="double" w:color="auto" w:sz="2" w:space="0"/>
            </w:tcBorders>
            <w:vAlign w:val="center"/>
          </w:tcPr>
          <w:p w14:paraId="31F544B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r w14:paraId="2EBC994A">
        <w:tblPrEx>
          <w:tblCellMar>
            <w:top w:w="0" w:type="dxa"/>
            <w:left w:w="108" w:type="dxa"/>
            <w:bottom w:w="0" w:type="dxa"/>
            <w:right w:w="108" w:type="dxa"/>
          </w:tblCellMar>
        </w:tblPrEx>
        <w:trPr>
          <w:cantSplit/>
          <w:trHeight w:val="1247" w:hRule="atLeast"/>
        </w:trPr>
        <w:tc>
          <w:tcPr>
            <w:tcW w:w="1844" w:type="dxa"/>
            <w:tcBorders>
              <w:top w:val="single" w:color="auto" w:sz="4" w:space="0"/>
              <w:left w:val="double" w:color="auto" w:sz="2" w:space="0"/>
              <w:bottom w:val="single" w:color="auto" w:sz="4" w:space="0"/>
              <w:right w:val="single" w:color="auto" w:sz="4" w:space="0"/>
            </w:tcBorders>
            <w:vAlign w:val="center"/>
          </w:tcPr>
          <w:p w14:paraId="129C2876">
            <w:pPr>
              <w:keepNext w:val="0"/>
              <w:keepLines w:val="0"/>
              <w:suppressLineNumbers w:val="0"/>
              <w:adjustRightInd w:val="0"/>
              <w:spacing w:before="0" w:beforeAutospacing="0" w:after="0" w:afterAutospacing="0" w:line="360" w:lineRule="auto"/>
              <w:ind w:left="113" w:right="11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初步原因分析</w:t>
            </w:r>
          </w:p>
        </w:tc>
        <w:tc>
          <w:tcPr>
            <w:tcW w:w="6688" w:type="dxa"/>
            <w:gridSpan w:val="6"/>
            <w:tcBorders>
              <w:top w:val="single" w:color="auto" w:sz="4" w:space="0"/>
              <w:left w:val="single" w:color="auto" w:sz="4" w:space="0"/>
              <w:bottom w:val="single" w:color="auto" w:sz="4" w:space="0"/>
              <w:right w:val="double" w:color="auto" w:sz="2" w:space="0"/>
            </w:tcBorders>
            <w:vAlign w:val="center"/>
          </w:tcPr>
          <w:p w14:paraId="4B54531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r w14:paraId="7B217D5E">
        <w:tblPrEx>
          <w:tblCellMar>
            <w:top w:w="0" w:type="dxa"/>
            <w:left w:w="108" w:type="dxa"/>
            <w:bottom w:w="0" w:type="dxa"/>
            <w:right w:w="108" w:type="dxa"/>
          </w:tblCellMar>
        </w:tblPrEx>
        <w:trPr>
          <w:cantSplit/>
          <w:trHeight w:val="1141" w:hRule="atLeast"/>
        </w:trPr>
        <w:tc>
          <w:tcPr>
            <w:tcW w:w="1844" w:type="dxa"/>
            <w:tcBorders>
              <w:top w:val="single" w:color="auto" w:sz="4" w:space="0"/>
              <w:left w:val="double" w:color="auto" w:sz="2" w:space="0"/>
              <w:bottom w:val="single" w:color="auto" w:sz="4" w:space="0"/>
              <w:right w:val="single" w:color="auto" w:sz="4" w:space="0"/>
            </w:tcBorders>
            <w:vAlign w:val="center"/>
          </w:tcPr>
          <w:p w14:paraId="4EC29D34">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已采取</w:t>
            </w:r>
          </w:p>
          <w:p w14:paraId="199D8651">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措施</w:t>
            </w:r>
          </w:p>
        </w:tc>
        <w:tc>
          <w:tcPr>
            <w:tcW w:w="6688" w:type="dxa"/>
            <w:gridSpan w:val="6"/>
            <w:tcBorders>
              <w:top w:val="single" w:color="auto" w:sz="4" w:space="0"/>
              <w:left w:val="single" w:color="auto" w:sz="4" w:space="0"/>
              <w:bottom w:val="single" w:color="auto" w:sz="4" w:space="0"/>
              <w:right w:val="double" w:color="auto" w:sz="2" w:space="0"/>
            </w:tcBorders>
            <w:vAlign w:val="center"/>
          </w:tcPr>
          <w:p w14:paraId="2244686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r w14:paraId="63C84CF1">
        <w:tblPrEx>
          <w:tblCellMar>
            <w:top w:w="0" w:type="dxa"/>
            <w:left w:w="108" w:type="dxa"/>
            <w:bottom w:w="0" w:type="dxa"/>
            <w:right w:w="108" w:type="dxa"/>
          </w:tblCellMar>
        </w:tblPrEx>
        <w:trPr>
          <w:cantSplit/>
          <w:trHeight w:val="454" w:hRule="atLeast"/>
        </w:trPr>
        <w:tc>
          <w:tcPr>
            <w:tcW w:w="1844" w:type="dxa"/>
            <w:vMerge w:val="restart"/>
            <w:tcBorders>
              <w:top w:val="single" w:color="auto" w:sz="4" w:space="0"/>
              <w:left w:val="double" w:color="auto" w:sz="2" w:space="0"/>
              <w:bottom w:val="single" w:color="auto" w:sz="4" w:space="0"/>
              <w:right w:val="single" w:color="auto" w:sz="4" w:space="0"/>
            </w:tcBorders>
            <w:vAlign w:val="center"/>
          </w:tcPr>
          <w:p w14:paraId="4A488D78">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事故（件）处理</w:t>
            </w:r>
          </w:p>
          <w:p w14:paraId="553041DA">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负责人</w:t>
            </w:r>
          </w:p>
        </w:tc>
        <w:tc>
          <w:tcPr>
            <w:tcW w:w="1500" w:type="dxa"/>
            <w:gridSpan w:val="2"/>
            <w:tcBorders>
              <w:top w:val="single" w:color="auto" w:sz="4" w:space="0"/>
              <w:left w:val="single" w:color="auto" w:sz="4" w:space="0"/>
              <w:bottom w:val="single" w:color="auto" w:sz="4" w:space="0"/>
              <w:right w:val="single" w:color="auto" w:sz="4" w:space="0"/>
            </w:tcBorders>
            <w:vAlign w:val="center"/>
          </w:tcPr>
          <w:p w14:paraId="1577CCBA">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2069" w:type="dxa"/>
            <w:gridSpan w:val="2"/>
            <w:tcBorders>
              <w:top w:val="single" w:color="auto" w:sz="4" w:space="0"/>
              <w:left w:val="single" w:color="auto" w:sz="4" w:space="0"/>
              <w:bottom w:val="single" w:color="auto" w:sz="4" w:space="0"/>
              <w:right w:val="single" w:color="auto" w:sz="4" w:space="0"/>
            </w:tcBorders>
            <w:vAlign w:val="center"/>
          </w:tcPr>
          <w:p w14:paraId="73FBB58A">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3119" w:type="dxa"/>
            <w:gridSpan w:val="2"/>
            <w:tcBorders>
              <w:top w:val="single" w:color="auto" w:sz="4" w:space="0"/>
              <w:left w:val="single" w:color="auto" w:sz="4" w:space="0"/>
              <w:bottom w:val="single" w:color="auto" w:sz="4" w:space="0"/>
              <w:right w:val="double" w:color="auto" w:sz="2" w:space="0"/>
            </w:tcBorders>
            <w:vAlign w:val="center"/>
          </w:tcPr>
          <w:p w14:paraId="223EB187">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r>
      <w:tr w14:paraId="72216662">
        <w:tblPrEx>
          <w:tblCellMar>
            <w:top w:w="0" w:type="dxa"/>
            <w:left w:w="108" w:type="dxa"/>
            <w:bottom w:w="0" w:type="dxa"/>
            <w:right w:w="108" w:type="dxa"/>
          </w:tblCellMar>
        </w:tblPrEx>
        <w:trPr>
          <w:cantSplit/>
          <w:trHeight w:val="454" w:hRule="atLeast"/>
        </w:trPr>
        <w:tc>
          <w:tcPr>
            <w:tcW w:w="1844" w:type="dxa"/>
            <w:vMerge w:val="continue"/>
            <w:tcBorders>
              <w:top w:val="single" w:color="auto" w:sz="4" w:space="0"/>
              <w:left w:val="double" w:color="auto" w:sz="2" w:space="0"/>
              <w:bottom w:val="single" w:color="auto" w:sz="4" w:space="0"/>
              <w:right w:val="single" w:color="auto" w:sz="4" w:space="0"/>
            </w:tcBorders>
            <w:vAlign w:val="center"/>
          </w:tcPr>
          <w:p w14:paraId="0039ED9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4"/>
                <w:highlight w:val="none"/>
              </w:rPr>
            </w:pPr>
          </w:p>
        </w:tc>
        <w:tc>
          <w:tcPr>
            <w:tcW w:w="1500" w:type="dxa"/>
            <w:gridSpan w:val="2"/>
            <w:tcBorders>
              <w:top w:val="single" w:color="auto" w:sz="4" w:space="0"/>
              <w:left w:val="single" w:color="auto" w:sz="4" w:space="0"/>
              <w:bottom w:val="single" w:color="auto" w:sz="4" w:space="0"/>
              <w:right w:val="single" w:color="auto" w:sz="4" w:space="0"/>
            </w:tcBorders>
            <w:vAlign w:val="center"/>
          </w:tcPr>
          <w:p w14:paraId="737F4FF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2069" w:type="dxa"/>
            <w:gridSpan w:val="2"/>
            <w:tcBorders>
              <w:top w:val="single" w:color="auto" w:sz="4" w:space="0"/>
              <w:left w:val="single" w:color="auto" w:sz="4" w:space="0"/>
              <w:bottom w:val="single" w:color="auto" w:sz="4" w:space="0"/>
              <w:right w:val="single" w:color="auto" w:sz="4" w:space="0"/>
            </w:tcBorders>
            <w:vAlign w:val="center"/>
          </w:tcPr>
          <w:p w14:paraId="0D36FCF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3119" w:type="dxa"/>
            <w:gridSpan w:val="2"/>
            <w:tcBorders>
              <w:top w:val="single" w:color="auto" w:sz="4" w:space="0"/>
              <w:left w:val="single" w:color="auto" w:sz="4" w:space="0"/>
              <w:bottom w:val="single" w:color="auto" w:sz="4" w:space="0"/>
              <w:right w:val="double" w:color="auto" w:sz="2" w:space="0"/>
            </w:tcBorders>
            <w:vAlign w:val="center"/>
          </w:tcPr>
          <w:p w14:paraId="3806F44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r w14:paraId="5CCF35AE">
        <w:tblPrEx>
          <w:tblCellMar>
            <w:top w:w="0" w:type="dxa"/>
            <w:left w:w="108" w:type="dxa"/>
            <w:bottom w:w="0" w:type="dxa"/>
            <w:right w:w="108" w:type="dxa"/>
          </w:tblCellMar>
        </w:tblPrEx>
        <w:trPr>
          <w:cantSplit/>
          <w:trHeight w:val="454" w:hRule="atLeast"/>
        </w:trPr>
        <w:tc>
          <w:tcPr>
            <w:tcW w:w="1844" w:type="dxa"/>
            <w:vMerge w:val="continue"/>
            <w:tcBorders>
              <w:top w:val="single" w:color="auto" w:sz="4" w:space="0"/>
              <w:left w:val="double" w:color="auto" w:sz="2" w:space="0"/>
              <w:bottom w:val="single" w:color="auto" w:sz="4" w:space="0"/>
              <w:right w:val="single" w:color="auto" w:sz="4" w:space="0"/>
            </w:tcBorders>
            <w:vAlign w:val="center"/>
          </w:tcPr>
          <w:p w14:paraId="6A4B416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4"/>
                <w:highlight w:val="none"/>
              </w:rPr>
            </w:pPr>
          </w:p>
        </w:tc>
        <w:tc>
          <w:tcPr>
            <w:tcW w:w="1500" w:type="dxa"/>
            <w:gridSpan w:val="2"/>
            <w:tcBorders>
              <w:top w:val="single" w:color="auto" w:sz="4" w:space="0"/>
              <w:left w:val="single" w:color="auto" w:sz="4" w:space="0"/>
              <w:bottom w:val="single" w:color="auto" w:sz="4" w:space="0"/>
              <w:right w:val="single" w:color="auto" w:sz="4" w:space="0"/>
            </w:tcBorders>
            <w:vAlign w:val="center"/>
          </w:tcPr>
          <w:p w14:paraId="0529C16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2069" w:type="dxa"/>
            <w:gridSpan w:val="2"/>
            <w:tcBorders>
              <w:top w:val="single" w:color="auto" w:sz="4" w:space="0"/>
              <w:left w:val="single" w:color="auto" w:sz="4" w:space="0"/>
              <w:bottom w:val="single" w:color="auto" w:sz="4" w:space="0"/>
              <w:right w:val="single" w:color="auto" w:sz="4" w:space="0"/>
            </w:tcBorders>
            <w:vAlign w:val="center"/>
          </w:tcPr>
          <w:p w14:paraId="7E0B3DE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3119" w:type="dxa"/>
            <w:gridSpan w:val="2"/>
            <w:tcBorders>
              <w:top w:val="single" w:color="auto" w:sz="4" w:space="0"/>
              <w:left w:val="single" w:color="auto" w:sz="4" w:space="0"/>
              <w:bottom w:val="single" w:color="auto" w:sz="4" w:space="0"/>
              <w:right w:val="double" w:color="auto" w:sz="2" w:space="0"/>
            </w:tcBorders>
            <w:vAlign w:val="center"/>
          </w:tcPr>
          <w:p w14:paraId="14FEBB1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r w14:paraId="33BB3118">
        <w:tblPrEx>
          <w:tblCellMar>
            <w:top w:w="0" w:type="dxa"/>
            <w:left w:w="108" w:type="dxa"/>
            <w:bottom w:w="0" w:type="dxa"/>
            <w:right w:w="108" w:type="dxa"/>
          </w:tblCellMar>
        </w:tblPrEx>
        <w:trPr>
          <w:cantSplit/>
          <w:trHeight w:val="454" w:hRule="atLeast"/>
        </w:trPr>
        <w:tc>
          <w:tcPr>
            <w:tcW w:w="1844" w:type="dxa"/>
            <w:vMerge w:val="continue"/>
            <w:tcBorders>
              <w:top w:val="single" w:color="auto" w:sz="4" w:space="0"/>
              <w:left w:val="double" w:color="auto" w:sz="2" w:space="0"/>
              <w:bottom w:val="single" w:color="auto" w:sz="4" w:space="0"/>
              <w:right w:val="single" w:color="auto" w:sz="4" w:space="0"/>
            </w:tcBorders>
            <w:vAlign w:val="center"/>
          </w:tcPr>
          <w:p w14:paraId="686EFB6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4"/>
                <w:highlight w:val="none"/>
              </w:rPr>
            </w:pPr>
          </w:p>
        </w:tc>
        <w:tc>
          <w:tcPr>
            <w:tcW w:w="1500" w:type="dxa"/>
            <w:gridSpan w:val="2"/>
            <w:tcBorders>
              <w:top w:val="single" w:color="auto" w:sz="4" w:space="0"/>
              <w:left w:val="single" w:color="auto" w:sz="4" w:space="0"/>
              <w:bottom w:val="double" w:color="auto" w:sz="2" w:space="0"/>
              <w:right w:val="single" w:color="auto" w:sz="4" w:space="0"/>
            </w:tcBorders>
            <w:vAlign w:val="center"/>
          </w:tcPr>
          <w:p w14:paraId="6732516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2069" w:type="dxa"/>
            <w:gridSpan w:val="2"/>
            <w:tcBorders>
              <w:top w:val="single" w:color="auto" w:sz="4" w:space="0"/>
              <w:left w:val="single" w:color="auto" w:sz="4" w:space="0"/>
              <w:bottom w:val="double" w:color="auto" w:sz="2" w:space="0"/>
              <w:right w:val="single" w:color="auto" w:sz="4" w:space="0"/>
            </w:tcBorders>
            <w:vAlign w:val="center"/>
          </w:tcPr>
          <w:p w14:paraId="2982ECD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3119" w:type="dxa"/>
            <w:gridSpan w:val="2"/>
            <w:tcBorders>
              <w:top w:val="single" w:color="auto" w:sz="4" w:space="0"/>
              <w:left w:val="single" w:color="auto" w:sz="4" w:space="0"/>
              <w:bottom w:val="double" w:color="auto" w:sz="2" w:space="0"/>
              <w:right w:val="double" w:color="auto" w:sz="2" w:space="0"/>
            </w:tcBorders>
            <w:vAlign w:val="center"/>
          </w:tcPr>
          <w:p w14:paraId="4E4BFE9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bl>
    <w:p w14:paraId="1934065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单位领导：        施工单位负责人：             填表人：          填报时间：</w:t>
      </w:r>
    </w:p>
    <w:p w14:paraId="2B1617C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注：本表由施工单位填写，“事故（件）单位”指事故发生单位，涉及多家单位时，</w:t>
      </w:r>
    </w:p>
    <w:p w14:paraId="657D6D47">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一并填入。</w:t>
      </w:r>
    </w:p>
    <w:p w14:paraId="466234EE">
      <w:pPr>
        <w:adjustRightInd w:val="0"/>
        <w:snapToGrid w:val="0"/>
        <w:spacing w:line="360" w:lineRule="auto"/>
        <w:ind w:left="960" w:hanging="960" w:hangingChars="400"/>
        <w:jc w:val="left"/>
        <w:rPr>
          <w:rFonts w:hint="eastAsia" w:ascii="宋体" w:hAnsi="宋体" w:eastAsia="宋体" w:cs="宋体"/>
          <w:color w:val="auto"/>
          <w:sz w:val="24"/>
          <w:highlight w:val="none"/>
        </w:rPr>
      </w:pPr>
    </w:p>
    <w:p w14:paraId="4DED3448">
      <w:pPr>
        <w:adjustRightInd w:val="0"/>
        <w:snapToGrid w:val="0"/>
        <w:spacing w:line="360" w:lineRule="auto"/>
        <w:ind w:left="960" w:hanging="960" w:hangingChars="400"/>
        <w:jc w:val="left"/>
        <w:rPr>
          <w:rFonts w:hint="eastAsia" w:ascii="宋体" w:hAnsi="宋体" w:eastAsia="宋体" w:cs="宋体"/>
          <w:color w:val="auto"/>
          <w:sz w:val="24"/>
          <w:highlight w:val="none"/>
        </w:rPr>
      </w:pPr>
    </w:p>
    <w:p w14:paraId="352D7AF1">
      <w:pPr>
        <w:adjustRightInd w:val="0"/>
        <w:snapToGrid w:val="0"/>
        <w:spacing w:line="360" w:lineRule="auto"/>
        <w:ind w:left="960" w:hanging="960" w:hangingChars="4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附件2</w:t>
      </w:r>
    </w:p>
    <w:p w14:paraId="364FCA98">
      <w:pPr>
        <w:adjustRightInd w:val="0"/>
        <w:snapToGrid w:val="0"/>
        <w:spacing w:line="360" w:lineRule="auto"/>
        <w:ind w:left="964" w:hanging="964" w:hangingChars="40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施工单位安全文明检查标准</w:t>
      </w:r>
    </w:p>
    <w:tbl>
      <w:tblPr>
        <w:tblStyle w:val="45"/>
        <w:tblW w:w="8986" w:type="dxa"/>
        <w:jc w:val="center"/>
        <w:tblLayout w:type="fixed"/>
        <w:tblCellMar>
          <w:top w:w="0" w:type="dxa"/>
          <w:left w:w="108" w:type="dxa"/>
          <w:bottom w:w="0" w:type="dxa"/>
          <w:right w:w="108" w:type="dxa"/>
        </w:tblCellMar>
      </w:tblPr>
      <w:tblGrid>
        <w:gridCol w:w="682"/>
        <w:gridCol w:w="636"/>
        <w:gridCol w:w="957"/>
        <w:gridCol w:w="6711"/>
      </w:tblGrid>
      <w:tr w14:paraId="65EA2F82">
        <w:tblPrEx>
          <w:tblCellMar>
            <w:top w:w="0" w:type="dxa"/>
            <w:left w:w="108" w:type="dxa"/>
            <w:bottom w:w="0" w:type="dxa"/>
            <w:right w:w="108" w:type="dxa"/>
          </w:tblCellMar>
        </w:tblPrEx>
        <w:trPr>
          <w:trHeight w:val="14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D0AC7A7">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1593" w:type="dxa"/>
            <w:gridSpan w:val="2"/>
            <w:tcBorders>
              <w:top w:val="single" w:color="auto" w:sz="4" w:space="0"/>
              <w:left w:val="nil"/>
              <w:bottom w:val="single" w:color="auto" w:sz="4" w:space="0"/>
              <w:right w:val="single" w:color="auto" w:sz="4" w:space="0"/>
            </w:tcBorders>
            <w:vAlign w:val="center"/>
          </w:tcPr>
          <w:p w14:paraId="337FF8C0">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检查项目</w:t>
            </w:r>
          </w:p>
        </w:tc>
        <w:tc>
          <w:tcPr>
            <w:tcW w:w="6711" w:type="dxa"/>
            <w:tcBorders>
              <w:top w:val="single" w:color="auto" w:sz="4" w:space="0"/>
              <w:left w:val="nil"/>
              <w:bottom w:val="single" w:color="auto" w:sz="4" w:space="0"/>
              <w:right w:val="single" w:color="auto" w:sz="4" w:space="0"/>
            </w:tcBorders>
            <w:vAlign w:val="center"/>
          </w:tcPr>
          <w:p w14:paraId="1A70E7D1">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检查标准</w:t>
            </w:r>
          </w:p>
        </w:tc>
      </w:tr>
      <w:tr w14:paraId="04F91049">
        <w:tblPrEx>
          <w:tblCellMar>
            <w:top w:w="0" w:type="dxa"/>
            <w:left w:w="108" w:type="dxa"/>
            <w:bottom w:w="0" w:type="dxa"/>
            <w:right w:w="108" w:type="dxa"/>
          </w:tblCellMar>
        </w:tblPrEx>
        <w:trPr>
          <w:trHeight w:val="2409"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08A125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636" w:type="dxa"/>
            <w:vMerge w:val="restart"/>
            <w:tcBorders>
              <w:top w:val="nil"/>
              <w:left w:val="nil"/>
              <w:bottom w:val="single" w:color="auto" w:sz="4" w:space="0"/>
              <w:right w:val="single" w:color="auto" w:sz="4" w:space="0"/>
            </w:tcBorders>
            <w:vAlign w:val="center"/>
          </w:tcPr>
          <w:p w14:paraId="58A70B06">
            <w:pPr>
              <w:keepNext w:val="0"/>
              <w:keepLines w:val="0"/>
              <w:suppressLineNumbers w:val="0"/>
              <w:spacing w:before="0" w:beforeAutospacing="0" w:after="0" w:afterAutospacing="0" w:line="360" w:lineRule="auto"/>
              <w:ind w:left="113" w:right="113"/>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安全管理</w:t>
            </w:r>
          </w:p>
        </w:tc>
        <w:tc>
          <w:tcPr>
            <w:tcW w:w="957" w:type="dxa"/>
            <w:tcBorders>
              <w:top w:val="single" w:color="auto" w:sz="4" w:space="0"/>
              <w:left w:val="nil"/>
              <w:bottom w:val="single" w:color="auto" w:sz="4" w:space="0"/>
              <w:right w:val="single" w:color="auto" w:sz="4" w:space="0"/>
            </w:tcBorders>
            <w:vAlign w:val="center"/>
          </w:tcPr>
          <w:p w14:paraId="74648230">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项目组织</w:t>
            </w:r>
          </w:p>
        </w:tc>
        <w:tc>
          <w:tcPr>
            <w:tcW w:w="6711" w:type="dxa"/>
            <w:tcBorders>
              <w:top w:val="single" w:color="auto" w:sz="4" w:space="0"/>
              <w:left w:val="nil"/>
              <w:bottom w:val="single" w:color="auto" w:sz="4" w:space="0"/>
              <w:right w:val="single" w:color="auto" w:sz="4" w:space="0"/>
            </w:tcBorders>
            <w:vAlign w:val="center"/>
          </w:tcPr>
          <w:p w14:paraId="7DEE8247">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部经理、副经理、总工和专职安全管理人员是否与投标承诺或合同一致；如不一致，是否已更换，是否已完善审批、备案手续；主要管理人员资质是否与投标承诺或合同相符；是否建立安全责任制；是否明确安全管理目标，并按人员和单位进行目标分解。</w:t>
            </w:r>
          </w:p>
          <w:p w14:paraId="086D3511">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2、是否按有关规定配备足够数量安全管理人员。</w:t>
            </w:r>
          </w:p>
          <w:p w14:paraId="4414FF20">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3、项目经理、主管安全领导是否出席项目部各项安全会议、安全大检查；根据考勤记录，是否有项目经理长期不在岗现象。</w:t>
            </w:r>
          </w:p>
          <w:p w14:paraId="043273F4">
            <w:pPr>
              <w:keepNext w:val="0"/>
              <w:keepLines w:val="0"/>
              <w:suppressLineNumbers w:val="0"/>
              <w:snapToGrid w:val="0"/>
              <w:spacing w:before="0" w:beforeAutospacing="0" w:after="0" w:afterAutospacing="0"/>
              <w:ind w:left="1"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4、分包单位无是否有安全生产许可证，是否具备相应的施工资质等级；总承包单位是否与分包单位签订安全协议，是否出现转包、以包代管；安全管理目标是否与总承包单位一致。</w:t>
            </w:r>
          </w:p>
          <w:p w14:paraId="51529977">
            <w:pPr>
              <w:keepNext w:val="0"/>
              <w:keepLines w:val="0"/>
              <w:suppressLineNumbers w:val="0"/>
              <w:snapToGrid w:val="0"/>
              <w:spacing w:before="0" w:beforeAutospacing="0" w:after="0" w:afterAutospacing="0"/>
              <w:ind w:left="1"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5、围墙内涉及相关单位（非本工程参建单位）共同作业时，是否签订安全管理协议。</w:t>
            </w:r>
          </w:p>
        </w:tc>
      </w:tr>
      <w:tr w14:paraId="7D9DB3EA">
        <w:tblPrEx>
          <w:tblCellMar>
            <w:top w:w="0" w:type="dxa"/>
            <w:left w:w="108" w:type="dxa"/>
            <w:bottom w:w="0" w:type="dxa"/>
            <w:right w:w="108" w:type="dxa"/>
          </w:tblCellMar>
        </w:tblPrEx>
        <w:trPr>
          <w:trHeight w:val="155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4A6096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636" w:type="dxa"/>
            <w:vMerge w:val="continue"/>
            <w:tcBorders>
              <w:top w:val="nil"/>
              <w:left w:val="nil"/>
              <w:bottom w:val="single" w:color="auto" w:sz="4" w:space="0"/>
              <w:right w:val="single" w:color="auto" w:sz="4" w:space="0"/>
            </w:tcBorders>
            <w:vAlign w:val="center"/>
          </w:tcPr>
          <w:p w14:paraId="475C129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sz w:val="24"/>
                <w:highlight w:val="none"/>
              </w:rPr>
            </w:pPr>
          </w:p>
        </w:tc>
        <w:tc>
          <w:tcPr>
            <w:tcW w:w="957" w:type="dxa"/>
            <w:tcBorders>
              <w:top w:val="single" w:color="auto" w:sz="4" w:space="0"/>
              <w:left w:val="nil"/>
              <w:bottom w:val="single" w:color="auto" w:sz="4" w:space="0"/>
              <w:right w:val="single" w:color="auto" w:sz="4" w:space="0"/>
            </w:tcBorders>
            <w:vAlign w:val="center"/>
          </w:tcPr>
          <w:p w14:paraId="3B5321CA">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安全检查</w:t>
            </w:r>
          </w:p>
        </w:tc>
        <w:tc>
          <w:tcPr>
            <w:tcW w:w="6711" w:type="dxa"/>
            <w:tcBorders>
              <w:top w:val="single" w:color="auto" w:sz="4" w:space="0"/>
              <w:left w:val="nil"/>
              <w:bottom w:val="single" w:color="auto" w:sz="4" w:space="0"/>
              <w:right w:val="single" w:color="auto" w:sz="4" w:space="0"/>
            </w:tcBorders>
            <w:vAlign w:val="center"/>
          </w:tcPr>
          <w:p w14:paraId="098FD3E7">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1．是否按照安全检查制度进行检查；安全直接责任人每周是否带队对工地检查一次。</w:t>
            </w:r>
          </w:p>
          <w:p w14:paraId="51490604">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2．项目经理每月是否带队安全检查一次。</w:t>
            </w:r>
          </w:p>
          <w:p w14:paraId="68F87F19">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3、每月是否对照《广东省建筑施工安全管理资料统一用表》检查一次。</w:t>
            </w:r>
          </w:p>
          <w:p w14:paraId="3EDE989C">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4．施工单位的管理人员是否积极主动配合检查。</w:t>
            </w:r>
          </w:p>
        </w:tc>
      </w:tr>
      <w:tr w14:paraId="15936757">
        <w:tblPrEx>
          <w:tblCellMar>
            <w:top w:w="0" w:type="dxa"/>
            <w:left w:w="108" w:type="dxa"/>
            <w:bottom w:w="0" w:type="dxa"/>
            <w:right w:w="108" w:type="dxa"/>
          </w:tblCellMar>
        </w:tblPrEx>
        <w:trPr>
          <w:trHeight w:val="28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93F590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636" w:type="dxa"/>
            <w:vMerge w:val="restart"/>
            <w:tcBorders>
              <w:top w:val="nil"/>
              <w:left w:val="nil"/>
              <w:bottom w:val="single" w:color="auto" w:sz="4" w:space="0"/>
              <w:right w:val="single" w:color="auto" w:sz="4" w:space="0"/>
            </w:tcBorders>
            <w:vAlign w:val="center"/>
          </w:tcPr>
          <w:p w14:paraId="29D60EB9">
            <w:pPr>
              <w:keepNext w:val="0"/>
              <w:keepLines w:val="0"/>
              <w:suppressLineNumbers w:val="0"/>
              <w:spacing w:before="0" w:beforeAutospacing="0" w:after="0" w:afterAutospacing="0" w:line="360" w:lineRule="auto"/>
              <w:ind w:left="113" w:right="113"/>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内业资料</w:t>
            </w:r>
          </w:p>
        </w:tc>
        <w:tc>
          <w:tcPr>
            <w:tcW w:w="957" w:type="dxa"/>
            <w:tcBorders>
              <w:top w:val="single" w:color="auto" w:sz="4" w:space="0"/>
              <w:left w:val="nil"/>
              <w:bottom w:val="single" w:color="auto" w:sz="4" w:space="0"/>
              <w:right w:val="single" w:color="auto" w:sz="4" w:space="0"/>
            </w:tcBorders>
            <w:vAlign w:val="center"/>
          </w:tcPr>
          <w:p w14:paraId="1A97AF80">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安全制度及资料</w:t>
            </w:r>
          </w:p>
        </w:tc>
        <w:tc>
          <w:tcPr>
            <w:tcW w:w="6711" w:type="dxa"/>
            <w:tcBorders>
              <w:top w:val="single" w:color="auto" w:sz="4" w:space="0"/>
              <w:left w:val="nil"/>
              <w:bottom w:val="single" w:color="auto" w:sz="4" w:space="0"/>
              <w:right w:val="single" w:color="auto" w:sz="4" w:space="0"/>
            </w:tcBorders>
            <w:vAlign w:val="center"/>
          </w:tcPr>
          <w:p w14:paraId="7FA8804E">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1、项目部是否建立和完善规章制度和内业资料；</w:t>
            </w:r>
          </w:p>
          <w:p w14:paraId="155FFF22">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2、开展安全风险排查、辨识及过程控制工作。是否按照要求开展安全风险排查；是否按时上报风险排查辨识成果、台账；是否开展风险过程控制；</w:t>
            </w:r>
          </w:p>
        </w:tc>
      </w:tr>
      <w:tr w14:paraId="0317FDC5">
        <w:tblPrEx>
          <w:tblCellMar>
            <w:top w:w="0" w:type="dxa"/>
            <w:left w:w="108" w:type="dxa"/>
            <w:bottom w:w="0" w:type="dxa"/>
            <w:right w:w="108" w:type="dxa"/>
          </w:tblCellMar>
        </w:tblPrEx>
        <w:trPr>
          <w:trHeight w:val="1079"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0AE2B8B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636" w:type="dxa"/>
            <w:vMerge w:val="continue"/>
            <w:tcBorders>
              <w:top w:val="nil"/>
              <w:left w:val="nil"/>
              <w:bottom w:val="single" w:color="auto" w:sz="4" w:space="0"/>
              <w:right w:val="single" w:color="auto" w:sz="4" w:space="0"/>
            </w:tcBorders>
            <w:vAlign w:val="center"/>
          </w:tcPr>
          <w:p w14:paraId="768AEB2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sz w:val="24"/>
                <w:highlight w:val="none"/>
              </w:rPr>
            </w:pPr>
          </w:p>
        </w:tc>
        <w:tc>
          <w:tcPr>
            <w:tcW w:w="957" w:type="dxa"/>
            <w:tcBorders>
              <w:top w:val="single" w:color="auto" w:sz="4" w:space="0"/>
              <w:left w:val="nil"/>
              <w:bottom w:val="single" w:color="auto" w:sz="4" w:space="0"/>
              <w:right w:val="single" w:color="auto" w:sz="4" w:space="0"/>
            </w:tcBorders>
            <w:vAlign w:val="center"/>
          </w:tcPr>
          <w:p w14:paraId="138F2DCD">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员工安全教育及培训</w:t>
            </w:r>
          </w:p>
        </w:tc>
        <w:tc>
          <w:tcPr>
            <w:tcW w:w="6711" w:type="dxa"/>
            <w:tcBorders>
              <w:top w:val="single" w:color="auto" w:sz="4" w:space="0"/>
              <w:left w:val="nil"/>
              <w:bottom w:val="single" w:color="auto" w:sz="4" w:space="0"/>
              <w:right w:val="single" w:color="auto" w:sz="4" w:space="0"/>
            </w:tcBorders>
            <w:vAlign w:val="center"/>
          </w:tcPr>
          <w:p w14:paraId="4CC8F496">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1、员工应经过安全培训合格，工人按规定需进行三级安全教育后才能上岗，进场工人是否已进行三级安全教育；三级安全教育记录是否完善，是否满足学时要求，有无代签名现象；</w:t>
            </w:r>
          </w:p>
          <w:p w14:paraId="1ADE9DA2">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2、是否每日落实班前教育，并将班前教育照片上报至安全生产工作群；</w:t>
            </w:r>
          </w:p>
          <w:p w14:paraId="4C18954D">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3、项目部级进场教育是否按甲方《关于进一步强化建设项目安全管理的通知》（云城开投〔2023〕76号）要求执行。</w:t>
            </w:r>
          </w:p>
        </w:tc>
      </w:tr>
      <w:tr w14:paraId="543AA2CB">
        <w:tblPrEx>
          <w:tblCellMar>
            <w:top w:w="0" w:type="dxa"/>
            <w:left w:w="108" w:type="dxa"/>
            <w:bottom w:w="0" w:type="dxa"/>
            <w:right w:w="108" w:type="dxa"/>
          </w:tblCellMar>
        </w:tblPrEx>
        <w:trPr>
          <w:trHeight w:val="205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5936FC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636" w:type="dxa"/>
            <w:vMerge w:val="continue"/>
            <w:tcBorders>
              <w:top w:val="nil"/>
              <w:left w:val="nil"/>
              <w:bottom w:val="single" w:color="auto" w:sz="4" w:space="0"/>
              <w:right w:val="single" w:color="auto" w:sz="4" w:space="0"/>
            </w:tcBorders>
            <w:vAlign w:val="center"/>
          </w:tcPr>
          <w:p w14:paraId="09DA040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sz w:val="24"/>
                <w:highlight w:val="none"/>
              </w:rPr>
            </w:pPr>
          </w:p>
        </w:tc>
        <w:tc>
          <w:tcPr>
            <w:tcW w:w="957" w:type="dxa"/>
            <w:tcBorders>
              <w:top w:val="single" w:color="auto" w:sz="4" w:space="0"/>
              <w:left w:val="nil"/>
              <w:bottom w:val="single" w:color="auto" w:sz="4" w:space="0"/>
              <w:right w:val="single" w:color="auto" w:sz="4" w:space="0"/>
            </w:tcBorders>
            <w:vAlign w:val="center"/>
          </w:tcPr>
          <w:p w14:paraId="59789317">
            <w:pPr>
              <w:keepNext w:val="0"/>
              <w:keepLines w:val="0"/>
              <w:suppressLineNumbers w:val="0"/>
              <w:snapToGrid w:val="0"/>
              <w:spacing w:before="0" w:beforeAutospacing="0" w:after="0" w:afterAutospacing="0"/>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隐患整改</w:t>
            </w:r>
          </w:p>
        </w:tc>
        <w:tc>
          <w:tcPr>
            <w:tcW w:w="6711" w:type="dxa"/>
            <w:tcBorders>
              <w:top w:val="single" w:color="auto" w:sz="4" w:space="0"/>
              <w:left w:val="nil"/>
              <w:bottom w:val="single" w:color="auto" w:sz="4" w:space="0"/>
              <w:right w:val="single" w:color="auto" w:sz="4" w:space="0"/>
            </w:tcBorders>
            <w:vAlign w:val="center"/>
          </w:tcPr>
          <w:p w14:paraId="2FD1147E">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1．对监理、政府部门查出的隐患下达的整改通知书，是否及时整改，按时回复；隐患或问题重复出现且有无落实整改；</w:t>
            </w:r>
          </w:p>
          <w:p w14:paraId="241F2E69">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甲方检查时，下发的整改通知书是否及时整改并回复；是否出现同一类问题当月多次下发整改通知书，同样问题是否出现多次被下发整改通知书；是否因现场问题较多且严重，被发停工通知或业主要求监理发停工通知；是否出现停工后问题未整改，第二次发书面整改通知；</w:t>
            </w:r>
          </w:p>
          <w:p w14:paraId="41702614">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3、是否按时回复甲方通报的安全检查记录。</w:t>
            </w:r>
          </w:p>
        </w:tc>
      </w:tr>
      <w:tr w14:paraId="1646895D">
        <w:trPr>
          <w:trHeight w:val="93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039B26A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636" w:type="dxa"/>
            <w:vMerge w:val="continue"/>
            <w:tcBorders>
              <w:top w:val="nil"/>
              <w:left w:val="nil"/>
              <w:bottom w:val="single" w:color="auto" w:sz="4" w:space="0"/>
              <w:right w:val="single" w:color="auto" w:sz="4" w:space="0"/>
            </w:tcBorders>
            <w:vAlign w:val="center"/>
          </w:tcPr>
          <w:p w14:paraId="57359FE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sz w:val="24"/>
                <w:highlight w:val="none"/>
              </w:rPr>
            </w:pPr>
          </w:p>
        </w:tc>
        <w:tc>
          <w:tcPr>
            <w:tcW w:w="957" w:type="dxa"/>
            <w:tcBorders>
              <w:top w:val="single" w:color="auto" w:sz="4" w:space="0"/>
              <w:left w:val="nil"/>
              <w:bottom w:val="single" w:color="auto" w:sz="4" w:space="0"/>
              <w:right w:val="single" w:color="auto" w:sz="4" w:space="0"/>
            </w:tcBorders>
            <w:vAlign w:val="center"/>
          </w:tcPr>
          <w:p w14:paraId="19993EAC">
            <w:pPr>
              <w:keepNext w:val="0"/>
              <w:keepLines w:val="0"/>
              <w:suppressLineNumbers w:val="0"/>
              <w:snapToGrid w:val="0"/>
              <w:spacing w:before="0" w:beforeAutospacing="0" w:after="0" w:afterAutospacing="0"/>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特种作业人员上岗证</w:t>
            </w:r>
          </w:p>
        </w:tc>
        <w:tc>
          <w:tcPr>
            <w:tcW w:w="6711" w:type="dxa"/>
            <w:tcBorders>
              <w:top w:val="single" w:color="auto" w:sz="4" w:space="0"/>
              <w:left w:val="nil"/>
              <w:bottom w:val="single" w:color="auto" w:sz="4" w:space="0"/>
              <w:right w:val="single" w:color="auto" w:sz="4" w:space="0"/>
            </w:tcBorders>
            <w:vAlign w:val="center"/>
          </w:tcPr>
          <w:p w14:paraId="2CA326D1">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特种作业人员是否取得相应的特种作业操作资格证后上岗；操作证是否经年审或过期；</w:t>
            </w:r>
          </w:p>
        </w:tc>
      </w:tr>
      <w:tr w14:paraId="694377FB">
        <w:tblPrEx>
          <w:tblCellMar>
            <w:top w:w="0" w:type="dxa"/>
            <w:left w:w="108" w:type="dxa"/>
            <w:bottom w:w="0" w:type="dxa"/>
            <w:right w:w="108" w:type="dxa"/>
          </w:tblCellMar>
        </w:tblPrEx>
        <w:trPr>
          <w:trHeight w:val="1697"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E6881B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636" w:type="dxa"/>
            <w:vMerge w:val="continue"/>
            <w:tcBorders>
              <w:top w:val="nil"/>
              <w:left w:val="nil"/>
              <w:bottom w:val="single" w:color="auto" w:sz="4" w:space="0"/>
              <w:right w:val="single" w:color="auto" w:sz="4" w:space="0"/>
            </w:tcBorders>
            <w:vAlign w:val="center"/>
          </w:tcPr>
          <w:p w14:paraId="4BAF38A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sz w:val="24"/>
                <w:highlight w:val="none"/>
              </w:rPr>
            </w:pPr>
          </w:p>
        </w:tc>
        <w:tc>
          <w:tcPr>
            <w:tcW w:w="957" w:type="dxa"/>
            <w:tcBorders>
              <w:top w:val="single" w:color="auto" w:sz="4" w:space="0"/>
              <w:left w:val="nil"/>
              <w:bottom w:val="single" w:color="auto" w:sz="4" w:space="0"/>
              <w:right w:val="single" w:color="auto" w:sz="4" w:space="0"/>
            </w:tcBorders>
            <w:vAlign w:val="center"/>
          </w:tcPr>
          <w:p w14:paraId="7CA11D64">
            <w:pPr>
              <w:keepNext w:val="0"/>
              <w:keepLines w:val="0"/>
              <w:suppressLineNumbers w:val="0"/>
              <w:snapToGrid w:val="0"/>
              <w:spacing w:before="0" w:beforeAutospacing="0" w:after="0" w:afterAutospacing="0"/>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安全专项施工方案</w:t>
            </w:r>
          </w:p>
        </w:tc>
        <w:tc>
          <w:tcPr>
            <w:tcW w:w="6711" w:type="dxa"/>
            <w:tcBorders>
              <w:top w:val="single" w:color="auto" w:sz="4" w:space="0"/>
              <w:left w:val="nil"/>
              <w:bottom w:val="single" w:color="auto" w:sz="4" w:space="0"/>
              <w:right w:val="single" w:color="auto" w:sz="4" w:space="0"/>
            </w:tcBorders>
            <w:vAlign w:val="center"/>
          </w:tcPr>
          <w:p w14:paraId="24D35571">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按《危险性较大的分部分项工程安全管理规定》（住建部201837号令）规定对危险性较大的分部分项工程编制安全专项施工方案；是否按规定进行验收；对于超过一定规模的危险性较大的分部分项工程，施工单位是否组织专家论证会；方案是否按规定程序审批；是否按照方案施工；</w:t>
            </w:r>
          </w:p>
        </w:tc>
      </w:tr>
      <w:tr w14:paraId="1E943277">
        <w:tblPrEx>
          <w:tblCellMar>
            <w:top w:w="0" w:type="dxa"/>
            <w:left w:w="108" w:type="dxa"/>
            <w:bottom w:w="0" w:type="dxa"/>
            <w:right w:w="108" w:type="dxa"/>
          </w:tblCellMar>
        </w:tblPrEx>
        <w:trPr>
          <w:trHeight w:val="139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06ADD62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636" w:type="dxa"/>
            <w:vMerge w:val="continue"/>
            <w:tcBorders>
              <w:top w:val="nil"/>
              <w:left w:val="nil"/>
              <w:bottom w:val="single" w:color="auto" w:sz="4" w:space="0"/>
              <w:right w:val="single" w:color="auto" w:sz="4" w:space="0"/>
            </w:tcBorders>
            <w:vAlign w:val="center"/>
          </w:tcPr>
          <w:p w14:paraId="1744DC8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sz w:val="24"/>
                <w:highlight w:val="none"/>
              </w:rPr>
            </w:pPr>
          </w:p>
        </w:tc>
        <w:tc>
          <w:tcPr>
            <w:tcW w:w="957" w:type="dxa"/>
            <w:tcBorders>
              <w:top w:val="single" w:color="auto" w:sz="4" w:space="0"/>
              <w:left w:val="nil"/>
              <w:bottom w:val="single" w:color="auto" w:sz="4" w:space="0"/>
              <w:right w:val="single" w:color="auto" w:sz="4" w:space="0"/>
            </w:tcBorders>
            <w:vAlign w:val="center"/>
          </w:tcPr>
          <w:p w14:paraId="714A5D0E">
            <w:pPr>
              <w:keepNext w:val="0"/>
              <w:keepLines w:val="0"/>
              <w:suppressLineNumbers w:val="0"/>
              <w:snapToGrid w:val="0"/>
              <w:spacing w:before="0" w:beforeAutospacing="0" w:after="0" w:afterAutospacing="0"/>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特种设备的检测、检验、维修保养</w:t>
            </w:r>
          </w:p>
        </w:tc>
        <w:tc>
          <w:tcPr>
            <w:tcW w:w="6711" w:type="dxa"/>
            <w:tcBorders>
              <w:top w:val="single" w:color="auto" w:sz="4" w:space="0"/>
              <w:left w:val="nil"/>
              <w:bottom w:val="single" w:color="auto" w:sz="4" w:space="0"/>
              <w:right w:val="single" w:color="auto" w:sz="4" w:space="0"/>
            </w:tcBorders>
            <w:vAlign w:val="center"/>
          </w:tcPr>
          <w:p w14:paraId="76E41093">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特种设备应经有资质的机构检测检验，并有有效的安全准用证（非标设备为备案登记），有无安全准用证或备案登记证；准用证有无超过有效期；有无维修保养记录，维修保养记录是否完善；</w:t>
            </w:r>
          </w:p>
        </w:tc>
      </w:tr>
      <w:tr w14:paraId="6E6EC7B9">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16B0FF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636" w:type="dxa"/>
            <w:vMerge w:val="continue"/>
            <w:tcBorders>
              <w:top w:val="nil"/>
              <w:left w:val="nil"/>
              <w:bottom w:val="single" w:color="auto" w:sz="4" w:space="0"/>
              <w:right w:val="single" w:color="auto" w:sz="4" w:space="0"/>
            </w:tcBorders>
            <w:vAlign w:val="center"/>
          </w:tcPr>
          <w:p w14:paraId="6D036A0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sz w:val="24"/>
                <w:highlight w:val="none"/>
              </w:rPr>
            </w:pPr>
          </w:p>
        </w:tc>
        <w:tc>
          <w:tcPr>
            <w:tcW w:w="957" w:type="dxa"/>
            <w:tcBorders>
              <w:top w:val="single" w:color="auto" w:sz="4" w:space="0"/>
              <w:left w:val="nil"/>
              <w:bottom w:val="single" w:color="auto" w:sz="4" w:space="0"/>
              <w:right w:val="single" w:color="auto" w:sz="4" w:space="0"/>
            </w:tcBorders>
            <w:vAlign w:val="center"/>
          </w:tcPr>
          <w:p w14:paraId="44B45884">
            <w:pPr>
              <w:keepNext w:val="0"/>
              <w:keepLines w:val="0"/>
              <w:suppressLineNumbers w:val="0"/>
              <w:snapToGrid w:val="0"/>
              <w:spacing w:before="0" w:beforeAutospacing="0" w:after="0" w:afterAutospacing="0"/>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安全资料报送</w:t>
            </w:r>
          </w:p>
        </w:tc>
        <w:tc>
          <w:tcPr>
            <w:tcW w:w="6711" w:type="dxa"/>
            <w:tcBorders>
              <w:top w:val="single" w:color="auto" w:sz="4" w:space="0"/>
              <w:left w:val="nil"/>
              <w:bottom w:val="single" w:color="auto" w:sz="4" w:space="0"/>
              <w:right w:val="single" w:color="auto" w:sz="4" w:space="0"/>
            </w:tcBorders>
            <w:vAlign w:val="center"/>
          </w:tcPr>
          <w:p w14:paraId="1F51BDAD">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业主要求报送的安全资料是否及时上报；</w:t>
            </w:r>
          </w:p>
        </w:tc>
      </w:tr>
      <w:tr w14:paraId="56CFF06D">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08CE1CA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636" w:type="dxa"/>
            <w:vMerge w:val="restart"/>
            <w:tcBorders>
              <w:top w:val="nil"/>
              <w:left w:val="nil"/>
              <w:right w:val="single" w:color="auto" w:sz="4" w:space="0"/>
            </w:tcBorders>
            <w:vAlign w:val="center"/>
          </w:tcPr>
          <w:p w14:paraId="67212CA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文明施工</w:t>
            </w:r>
          </w:p>
        </w:tc>
        <w:tc>
          <w:tcPr>
            <w:tcW w:w="957" w:type="dxa"/>
            <w:tcBorders>
              <w:top w:val="single" w:color="auto" w:sz="4" w:space="0"/>
              <w:left w:val="nil"/>
              <w:bottom w:val="single" w:color="auto" w:sz="4" w:space="0"/>
              <w:right w:val="single" w:color="auto" w:sz="4" w:space="0"/>
            </w:tcBorders>
            <w:vAlign w:val="center"/>
          </w:tcPr>
          <w:p w14:paraId="42160703">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现场</w:t>
            </w:r>
          </w:p>
          <w:p w14:paraId="59DE2FD1">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围挡</w:t>
            </w:r>
          </w:p>
        </w:tc>
        <w:tc>
          <w:tcPr>
            <w:tcW w:w="6711" w:type="dxa"/>
            <w:tcBorders>
              <w:top w:val="single" w:color="auto" w:sz="4" w:space="0"/>
              <w:left w:val="nil"/>
              <w:bottom w:val="single" w:color="auto" w:sz="4" w:space="0"/>
              <w:right w:val="single" w:color="auto" w:sz="4" w:space="0"/>
            </w:tcBorders>
            <w:vAlign w:val="center"/>
          </w:tcPr>
          <w:p w14:paraId="3384EF11">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1、是否按照当地政府要求设置封闭围挡、围墙、喷雾、车辆冲洗设施，设施是否健全并能正常投入使用</w:t>
            </w:r>
          </w:p>
          <w:p w14:paraId="79DD4439">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2、围挡是否坚固、稳定、整洁、美观；围挡是否沿工地四周连续设置。</w:t>
            </w:r>
          </w:p>
        </w:tc>
      </w:tr>
      <w:tr w14:paraId="1AC0B2EB">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74CCA9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636" w:type="dxa"/>
            <w:vMerge w:val="continue"/>
            <w:tcBorders>
              <w:left w:val="nil"/>
              <w:right w:val="single" w:color="auto" w:sz="4" w:space="0"/>
            </w:tcBorders>
            <w:vAlign w:val="center"/>
          </w:tcPr>
          <w:p w14:paraId="20CA84A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sz w:val="24"/>
                <w:highlight w:val="none"/>
              </w:rPr>
            </w:pPr>
          </w:p>
        </w:tc>
        <w:tc>
          <w:tcPr>
            <w:tcW w:w="957" w:type="dxa"/>
            <w:tcBorders>
              <w:top w:val="single" w:color="auto" w:sz="4" w:space="0"/>
              <w:left w:val="nil"/>
              <w:bottom w:val="single" w:color="auto" w:sz="4" w:space="0"/>
              <w:right w:val="single" w:color="auto" w:sz="4" w:space="0"/>
            </w:tcBorders>
            <w:vAlign w:val="center"/>
          </w:tcPr>
          <w:p w14:paraId="40CED781">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封闭</w:t>
            </w:r>
          </w:p>
          <w:p w14:paraId="72814733">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管理</w:t>
            </w:r>
          </w:p>
        </w:tc>
        <w:tc>
          <w:tcPr>
            <w:tcW w:w="6711" w:type="dxa"/>
            <w:tcBorders>
              <w:top w:val="single" w:color="auto" w:sz="4" w:space="0"/>
              <w:left w:val="nil"/>
              <w:bottom w:val="single" w:color="auto" w:sz="4" w:space="0"/>
              <w:right w:val="single" w:color="auto" w:sz="4" w:space="0"/>
            </w:tcBorders>
            <w:vAlign w:val="center"/>
          </w:tcPr>
          <w:p w14:paraId="763AE51A">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施工现场进出口是否有大门；有无门卫和门卫制度情况；是否对进场人员实行来访登记及体温检测；进入施工现场有无佩带工作卡；门头有无设置企业标志。</w:t>
            </w:r>
          </w:p>
        </w:tc>
      </w:tr>
      <w:tr w14:paraId="7BF33694">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94BCD0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636" w:type="dxa"/>
            <w:vMerge w:val="continue"/>
            <w:tcBorders>
              <w:left w:val="nil"/>
              <w:right w:val="single" w:color="auto" w:sz="4" w:space="0"/>
            </w:tcBorders>
            <w:vAlign w:val="center"/>
          </w:tcPr>
          <w:p w14:paraId="3631C5F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sz w:val="24"/>
                <w:highlight w:val="none"/>
              </w:rPr>
            </w:pPr>
          </w:p>
        </w:tc>
        <w:tc>
          <w:tcPr>
            <w:tcW w:w="957" w:type="dxa"/>
            <w:tcBorders>
              <w:top w:val="single" w:color="auto" w:sz="4" w:space="0"/>
              <w:left w:val="nil"/>
              <w:bottom w:val="single" w:color="auto" w:sz="4" w:space="0"/>
              <w:right w:val="single" w:color="auto" w:sz="4" w:space="0"/>
            </w:tcBorders>
            <w:vAlign w:val="center"/>
          </w:tcPr>
          <w:p w14:paraId="63FE739B">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施工</w:t>
            </w:r>
          </w:p>
          <w:p w14:paraId="108ADDCB">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场地</w:t>
            </w:r>
          </w:p>
        </w:tc>
        <w:tc>
          <w:tcPr>
            <w:tcW w:w="6711" w:type="dxa"/>
            <w:tcBorders>
              <w:top w:val="single" w:color="auto" w:sz="4" w:space="0"/>
              <w:left w:val="nil"/>
              <w:bottom w:val="single" w:color="auto" w:sz="4" w:space="0"/>
              <w:right w:val="single" w:color="auto" w:sz="4" w:space="0"/>
            </w:tcBorders>
            <w:vAlign w:val="center"/>
          </w:tcPr>
          <w:p w14:paraId="40BEA183">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地路面是否已做硬化处理；道路是否畅通；是否有排水设施，排水是否通畅；有无防止泥浆、污水及废水外流或堵塞下水道和排水河道措施；工地有无积水；工地是否设置吸烟处、是否有随意吸烟现象；是否对暂不开发的场地进行绿化布置；有无设置并使用洗车槽；建筑垃圾运输车辆是否有超载、无遮盖、未冲洗干净车轮和车身，驶出工地的现象。</w:t>
            </w:r>
          </w:p>
        </w:tc>
      </w:tr>
      <w:tr w14:paraId="059A6DB2">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1F3773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636" w:type="dxa"/>
            <w:vMerge w:val="continue"/>
            <w:tcBorders>
              <w:left w:val="nil"/>
              <w:right w:val="single" w:color="auto" w:sz="4" w:space="0"/>
            </w:tcBorders>
            <w:vAlign w:val="center"/>
          </w:tcPr>
          <w:p w14:paraId="793D25F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sz w:val="24"/>
                <w:highlight w:val="none"/>
              </w:rPr>
            </w:pPr>
          </w:p>
        </w:tc>
        <w:tc>
          <w:tcPr>
            <w:tcW w:w="957" w:type="dxa"/>
            <w:tcBorders>
              <w:top w:val="single" w:color="auto" w:sz="4" w:space="0"/>
              <w:left w:val="nil"/>
              <w:bottom w:val="single" w:color="auto" w:sz="4" w:space="0"/>
              <w:right w:val="single" w:color="auto" w:sz="4" w:space="0"/>
            </w:tcBorders>
            <w:vAlign w:val="center"/>
          </w:tcPr>
          <w:p w14:paraId="095AFB96">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材料</w:t>
            </w:r>
          </w:p>
          <w:p w14:paraId="0A94CD50">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堆放</w:t>
            </w:r>
          </w:p>
        </w:tc>
        <w:tc>
          <w:tcPr>
            <w:tcW w:w="6711" w:type="dxa"/>
            <w:tcBorders>
              <w:top w:val="single" w:color="auto" w:sz="4" w:space="0"/>
              <w:left w:val="nil"/>
              <w:bottom w:val="single" w:color="auto" w:sz="4" w:space="0"/>
              <w:right w:val="single" w:color="auto" w:sz="4" w:space="0"/>
            </w:tcBorders>
            <w:vAlign w:val="center"/>
          </w:tcPr>
          <w:p w14:paraId="7E15A535">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建筑材料、构件、料具是否按总平面布局堆放；料堆是否挂名称、品种、规格等标牌；堆放是否整齐；是否做到工完场清；建筑垃圾堆放是否整齐、是否标出名称、品种。</w:t>
            </w:r>
          </w:p>
        </w:tc>
      </w:tr>
      <w:tr w14:paraId="0F5CF57F">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B168FD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636" w:type="dxa"/>
            <w:vMerge w:val="continue"/>
            <w:tcBorders>
              <w:left w:val="nil"/>
              <w:right w:val="single" w:color="auto" w:sz="4" w:space="0"/>
            </w:tcBorders>
            <w:vAlign w:val="center"/>
          </w:tcPr>
          <w:p w14:paraId="4C0CA5C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sz w:val="24"/>
                <w:highlight w:val="none"/>
              </w:rPr>
            </w:pPr>
          </w:p>
        </w:tc>
        <w:tc>
          <w:tcPr>
            <w:tcW w:w="957" w:type="dxa"/>
            <w:tcBorders>
              <w:top w:val="single" w:color="auto" w:sz="4" w:space="0"/>
              <w:left w:val="nil"/>
              <w:bottom w:val="single" w:color="auto" w:sz="4" w:space="0"/>
              <w:right w:val="single" w:color="auto" w:sz="4" w:space="0"/>
            </w:tcBorders>
            <w:vAlign w:val="center"/>
          </w:tcPr>
          <w:p w14:paraId="1EA9B83B">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现场</w:t>
            </w:r>
          </w:p>
          <w:p w14:paraId="149053E4">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住宿</w:t>
            </w:r>
          </w:p>
        </w:tc>
        <w:tc>
          <w:tcPr>
            <w:tcW w:w="6711" w:type="dxa"/>
            <w:tcBorders>
              <w:top w:val="single" w:color="auto" w:sz="4" w:space="0"/>
              <w:left w:val="nil"/>
              <w:bottom w:val="single" w:color="auto" w:sz="4" w:space="0"/>
              <w:right w:val="single" w:color="auto" w:sz="4" w:space="0"/>
            </w:tcBorders>
            <w:vAlign w:val="center"/>
          </w:tcPr>
          <w:p w14:paraId="626ABC72">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住宿应是否建立宿舍管理制度和值日制度；是否存在在建工程兼作住宿现象；施工作业区与办公、生活区是否能明显划分；宿舍有无消暑和防蚊虫叮咬措施；无床铺、生活用品放置是否整齐；宿舍周围环境是否卫生、安全。</w:t>
            </w:r>
          </w:p>
        </w:tc>
      </w:tr>
      <w:tr w14:paraId="7C657E10">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CBC2F4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636" w:type="dxa"/>
            <w:vMerge w:val="continue"/>
            <w:tcBorders>
              <w:left w:val="nil"/>
              <w:right w:val="single" w:color="auto" w:sz="4" w:space="0"/>
            </w:tcBorders>
            <w:vAlign w:val="center"/>
          </w:tcPr>
          <w:p w14:paraId="5728D66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sz w:val="24"/>
                <w:highlight w:val="none"/>
              </w:rPr>
            </w:pPr>
          </w:p>
        </w:tc>
        <w:tc>
          <w:tcPr>
            <w:tcW w:w="957" w:type="dxa"/>
            <w:tcBorders>
              <w:top w:val="single" w:color="auto" w:sz="4" w:space="0"/>
              <w:left w:val="nil"/>
              <w:bottom w:val="single" w:color="auto" w:sz="4" w:space="0"/>
              <w:right w:val="single" w:color="auto" w:sz="4" w:space="0"/>
            </w:tcBorders>
            <w:vAlign w:val="center"/>
          </w:tcPr>
          <w:p w14:paraId="67F3F07A">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现场防火与危险品管理</w:t>
            </w:r>
          </w:p>
        </w:tc>
        <w:tc>
          <w:tcPr>
            <w:tcW w:w="6711" w:type="dxa"/>
            <w:tcBorders>
              <w:top w:val="single" w:color="auto" w:sz="4" w:space="0"/>
              <w:left w:val="nil"/>
              <w:bottom w:val="single" w:color="auto" w:sz="4" w:space="0"/>
              <w:right w:val="single" w:color="auto" w:sz="4" w:space="0"/>
            </w:tcBorders>
            <w:vAlign w:val="center"/>
          </w:tcPr>
          <w:p w14:paraId="25481B09">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有无消防制度、措施及无灭火器材；灭火器材配置是否合理；有无消防水源（高层建筑）或是否满足消防要求；有无动火审批手续和动火监护；</w:t>
            </w:r>
          </w:p>
          <w:p w14:paraId="1EF41133">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现场危险化学品、易燃易爆物品有无专门仓库分类存放；是否悬挂警示标；是否在宿舍内煮食或使用大功率电器设备；</w:t>
            </w:r>
          </w:p>
        </w:tc>
      </w:tr>
      <w:tr w14:paraId="0A499EAA">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DC0E6D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16</w:t>
            </w:r>
          </w:p>
        </w:tc>
        <w:tc>
          <w:tcPr>
            <w:tcW w:w="636" w:type="dxa"/>
            <w:vMerge w:val="continue"/>
            <w:tcBorders>
              <w:left w:val="nil"/>
              <w:right w:val="single" w:color="auto" w:sz="4" w:space="0"/>
            </w:tcBorders>
            <w:vAlign w:val="center"/>
          </w:tcPr>
          <w:p w14:paraId="7B810BC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sz w:val="24"/>
                <w:highlight w:val="none"/>
              </w:rPr>
            </w:pPr>
          </w:p>
        </w:tc>
        <w:tc>
          <w:tcPr>
            <w:tcW w:w="957" w:type="dxa"/>
            <w:tcBorders>
              <w:top w:val="single" w:color="auto" w:sz="4" w:space="0"/>
              <w:left w:val="nil"/>
              <w:bottom w:val="single" w:color="auto" w:sz="4" w:space="0"/>
              <w:right w:val="single" w:color="auto" w:sz="4" w:space="0"/>
            </w:tcBorders>
            <w:vAlign w:val="center"/>
          </w:tcPr>
          <w:p w14:paraId="4D4C3990">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治安</w:t>
            </w:r>
          </w:p>
          <w:p w14:paraId="55245D12">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综合</w:t>
            </w:r>
          </w:p>
          <w:p w14:paraId="6F8951F5">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治理</w:t>
            </w:r>
          </w:p>
        </w:tc>
        <w:tc>
          <w:tcPr>
            <w:tcW w:w="6711" w:type="dxa"/>
            <w:tcBorders>
              <w:top w:val="single" w:color="auto" w:sz="4" w:space="0"/>
              <w:left w:val="nil"/>
              <w:bottom w:val="single" w:color="auto" w:sz="4" w:space="0"/>
              <w:right w:val="single" w:color="auto" w:sz="4" w:space="0"/>
            </w:tcBorders>
            <w:vAlign w:val="center"/>
          </w:tcPr>
          <w:p w14:paraId="291B0382">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是否在生活区给工人设置学习和娱乐场所；是否建立治安保卫制度的、责任未分解到人；治安防范措施是否到位，是否常发生失盗事件。</w:t>
            </w:r>
          </w:p>
        </w:tc>
      </w:tr>
      <w:tr w14:paraId="5DCAAB78">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34ACB7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p>
        </w:tc>
        <w:tc>
          <w:tcPr>
            <w:tcW w:w="636" w:type="dxa"/>
            <w:vMerge w:val="continue"/>
            <w:tcBorders>
              <w:left w:val="nil"/>
              <w:right w:val="single" w:color="auto" w:sz="4" w:space="0"/>
            </w:tcBorders>
            <w:vAlign w:val="center"/>
          </w:tcPr>
          <w:p w14:paraId="544DF00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sz w:val="24"/>
                <w:highlight w:val="none"/>
              </w:rPr>
            </w:pPr>
          </w:p>
        </w:tc>
        <w:tc>
          <w:tcPr>
            <w:tcW w:w="957" w:type="dxa"/>
            <w:tcBorders>
              <w:top w:val="single" w:color="auto" w:sz="4" w:space="0"/>
              <w:left w:val="nil"/>
              <w:bottom w:val="single" w:color="auto" w:sz="4" w:space="0"/>
              <w:right w:val="single" w:color="auto" w:sz="4" w:space="0"/>
            </w:tcBorders>
            <w:vAlign w:val="center"/>
          </w:tcPr>
          <w:p w14:paraId="09EEC62C">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施工</w:t>
            </w:r>
          </w:p>
          <w:p w14:paraId="10D13FF4">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现场</w:t>
            </w:r>
          </w:p>
          <w:p w14:paraId="0DE16190">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标牌</w:t>
            </w:r>
          </w:p>
        </w:tc>
        <w:tc>
          <w:tcPr>
            <w:tcW w:w="6711" w:type="dxa"/>
            <w:tcBorders>
              <w:top w:val="single" w:color="auto" w:sz="4" w:space="0"/>
              <w:left w:val="nil"/>
              <w:bottom w:val="single" w:color="auto" w:sz="4" w:space="0"/>
              <w:right w:val="single" w:color="auto" w:sz="4" w:space="0"/>
            </w:tcBorders>
            <w:vAlign w:val="center"/>
          </w:tcPr>
          <w:p w14:paraId="5B38BB49">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五牌一图内容是否全面；标牌是否规范、整齐；有无安全标语；有无宣传栏、读报栏、黑板报等。</w:t>
            </w:r>
          </w:p>
        </w:tc>
      </w:tr>
      <w:tr w14:paraId="2DA9DB16">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A021B0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18</w:t>
            </w:r>
          </w:p>
        </w:tc>
        <w:tc>
          <w:tcPr>
            <w:tcW w:w="636" w:type="dxa"/>
            <w:vMerge w:val="continue"/>
            <w:tcBorders>
              <w:left w:val="nil"/>
              <w:right w:val="single" w:color="auto" w:sz="4" w:space="0"/>
            </w:tcBorders>
            <w:vAlign w:val="center"/>
          </w:tcPr>
          <w:p w14:paraId="6357847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sz w:val="24"/>
                <w:highlight w:val="none"/>
              </w:rPr>
            </w:pPr>
          </w:p>
        </w:tc>
        <w:tc>
          <w:tcPr>
            <w:tcW w:w="957" w:type="dxa"/>
            <w:tcBorders>
              <w:top w:val="single" w:color="auto" w:sz="4" w:space="0"/>
              <w:left w:val="nil"/>
              <w:bottom w:val="single" w:color="auto" w:sz="4" w:space="0"/>
              <w:right w:val="single" w:color="auto" w:sz="4" w:space="0"/>
            </w:tcBorders>
            <w:vAlign w:val="center"/>
          </w:tcPr>
          <w:p w14:paraId="167E8FA1">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生活</w:t>
            </w:r>
          </w:p>
          <w:p w14:paraId="4A7FAE5D">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设施</w:t>
            </w:r>
          </w:p>
        </w:tc>
        <w:tc>
          <w:tcPr>
            <w:tcW w:w="6711" w:type="dxa"/>
            <w:tcBorders>
              <w:top w:val="single" w:color="auto" w:sz="4" w:space="0"/>
              <w:left w:val="nil"/>
              <w:bottom w:val="single" w:color="auto" w:sz="4" w:space="0"/>
              <w:right w:val="single" w:color="auto" w:sz="4" w:space="0"/>
            </w:tcBorders>
            <w:vAlign w:val="center"/>
          </w:tcPr>
          <w:p w14:paraId="0127B79F">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厕所是否符合卫生要求；有无厕所、随地大小便；食堂是否符合卫生要求；有无卫生责任制；是否保证供应卫生饮水；有无淋浴室，淋浴室是否符合要求；生活垃圾是否及时清理，装容器，且专人管理。</w:t>
            </w:r>
          </w:p>
        </w:tc>
      </w:tr>
      <w:tr w14:paraId="4931F0F1">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0086C64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19</w:t>
            </w:r>
          </w:p>
        </w:tc>
        <w:tc>
          <w:tcPr>
            <w:tcW w:w="636" w:type="dxa"/>
            <w:vMerge w:val="continue"/>
            <w:tcBorders>
              <w:left w:val="nil"/>
              <w:right w:val="single" w:color="auto" w:sz="4" w:space="0"/>
            </w:tcBorders>
            <w:vAlign w:val="center"/>
          </w:tcPr>
          <w:p w14:paraId="212D81C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sz w:val="24"/>
                <w:highlight w:val="none"/>
              </w:rPr>
            </w:pPr>
          </w:p>
        </w:tc>
        <w:tc>
          <w:tcPr>
            <w:tcW w:w="957" w:type="dxa"/>
            <w:tcBorders>
              <w:top w:val="single" w:color="auto" w:sz="4" w:space="0"/>
              <w:left w:val="nil"/>
              <w:bottom w:val="single" w:color="auto" w:sz="4" w:space="0"/>
              <w:right w:val="single" w:color="auto" w:sz="4" w:space="0"/>
            </w:tcBorders>
            <w:vAlign w:val="center"/>
          </w:tcPr>
          <w:p w14:paraId="7AB1D721">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保健</w:t>
            </w:r>
          </w:p>
          <w:p w14:paraId="6CC1C66F">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急救</w:t>
            </w:r>
          </w:p>
        </w:tc>
        <w:tc>
          <w:tcPr>
            <w:tcW w:w="6711" w:type="dxa"/>
            <w:tcBorders>
              <w:top w:val="single" w:color="auto" w:sz="4" w:space="0"/>
              <w:left w:val="nil"/>
              <w:bottom w:val="single" w:color="auto" w:sz="4" w:space="0"/>
              <w:right w:val="single" w:color="auto" w:sz="4" w:space="0"/>
            </w:tcBorders>
            <w:vAlign w:val="center"/>
          </w:tcPr>
          <w:p w14:paraId="68E566D7">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有无保健医药箱；有无储备充足防疫物资；有无急救措施和急救器材；是否开展卫生防病宣传教育；</w:t>
            </w:r>
          </w:p>
        </w:tc>
      </w:tr>
      <w:tr w14:paraId="7B0204C3">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A98A79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w:t>
            </w:r>
          </w:p>
        </w:tc>
        <w:tc>
          <w:tcPr>
            <w:tcW w:w="636" w:type="dxa"/>
            <w:vMerge w:val="continue"/>
            <w:tcBorders>
              <w:left w:val="nil"/>
              <w:right w:val="single" w:color="auto" w:sz="4" w:space="0"/>
            </w:tcBorders>
            <w:vAlign w:val="center"/>
          </w:tcPr>
          <w:p w14:paraId="778BCCE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sz w:val="24"/>
                <w:highlight w:val="none"/>
              </w:rPr>
            </w:pPr>
          </w:p>
        </w:tc>
        <w:tc>
          <w:tcPr>
            <w:tcW w:w="957" w:type="dxa"/>
            <w:tcBorders>
              <w:top w:val="single" w:color="auto" w:sz="4" w:space="0"/>
              <w:left w:val="nil"/>
              <w:bottom w:val="single" w:color="auto" w:sz="4" w:space="0"/>
              <w:right w:val="single" w:color="auto" w:sz="4" w:space="0"/>
            </w:tcBorders>
            <w:vAlign w:val="center"/>
          </w:tcPr>
          <w:p w14:paraId="51A5A559">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社区</w:t>
            </w:r>
          </w:p>
          <w:p w14:paraId="6A52F930">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服务</w:t>
            </w:r>
          </w:p>
        </w:tc>
        <w:tc>
          <w:tcPr>
            <w:tcW w:w="6711" w:type="dxa"/>
            <w:tcBorders>
              <w:top w:val="single" w:color="auto" w:sz="4" w:space="0"/>
              <w:left w:val="nil"/>
              <w:bottom w:val="single" w:color="auto" w:sz="4" w:space="0"/>
              <w:right w:val="single" w:color="auto" w:sz="4" w:space="0"/>
            </w:tcBorders>
            <w:vAlign w:val="center"/>
          </w:tcPr>
          <w:p w14:paraId="4CD35419">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有无防尘粉和防噪音措施；夜间是否经许可施工；现场有无焚烧有毒、有害物质。</w:t>
            </w:r>
          </w:p>
        </w:tc>
      </w:tr>
      <w:tr w14:paraId="558CCD02">
        <w:tblPrEx>
          <w:tblCellMar>
            <w:top w:w="0" w:type="dxa"/>
            <w:left w:w="108" w:type="dxa"/>
            <w:bottom w:w="0" w:type="dxa"/>
            <w:right w:w="108" w:type="dxa"/>
          </w:tblCellMar>
        </w:tblPrEx>
        <w:trPr>
          <w:trHeight w:val="76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1DA9EB2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p>
        </w:tc>
        <w:tc>
          <w:tcPr>
            <w:tcW w:w="636" w:type="dxa"/>
            <w:vMerge w:val="restart"/>
            <w:tcBorders>
              <w:top w:val="nil"/>
              <w:left w:val="nil"/>
              <w:bottom w:val="single" w:color="auto" w:sz="4" w:space="0"/>
              <w:right w:val="single" w:color="auto" w:sz="4" w:space="0"/>
            </w:tcBorders>
            <w:vAlign w:val="center"/>
          </w:tcPr>
          <w:p w14:paraId="71094C8F">
            <w:pPr>
              <w:keepNext w:val="0"/>
              <w:keepLines w:val="0"/>
              <w:suppressLineNumbers w:val="0"/>
              <w:spacing w:before="0" w:beforeAutospacing="0" w:after="0" w:afterAutospacing="0" w:line="360" w:lineRule="auto"/>
              <w:ind w:left="113" w:right="113"/>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现场管理</w:t>
            </w:r>
          </w:p>
        </w:tc>
        <w:tc>
          <w:tcPr>
            <w:tcW w:w="957" w:type="dxa"/>
            <w:tcBorders>
              <w:top w:val="single" w:color="auto" w:sz="4" w:space="0"/>
              <w:left w:val="nil"/>
              <w:bottom w:val="single" w:color="auto" w:sz="4" w:space="0"/>
              <w:right w:val="single" w:color="auto" w:sz="4" w:space="0"/>
            </w:tcBorders>
            <w:vAlign w:val="center"/>
          </w:tcPr>
          <w:p w14:paraId="6B9A31E8">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现场安全施工</w:t>
            </w:r>
          </w:p>
        </w:tc>
        <w:tc>
          <w:tcPr>
            <w:tcW w:w="6711" w:type="dxa"/>
            <w:tcBorders>
              <w:top w:val="single" w:color="auto" w:sz="4" w:space="0"/>
              <w:left w:val="nil"/>
              <w:bottom w:val="single" w:color="auto" w:sz="4" w:space="0"/>
              <w:right w:val="single" w:color="auto" w:sz="4" w:space="0"/>
            </w:tcBorders>
            <w:vAlign w:val="center"/>
          </w:tcPr>
          <w:p w14:paraId="2BC98560">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安全生产现场检查内容以《建筑施工安全检查标准》（JGJ59-2011）附表为主，同时参照国家、行业强制性标准及本协议所规定的推荐性标准。</w:t>
            </w:r>
          </w:p>
        </w:tc>
      </w:tr>
      <w:tr w14:paraId="050BEEF1">
        <w:tblPrEx>
          <w:tblCellMar>
            <w:top w:w="0" w:type="dxa"/>
            <w:left w:w="108" w:type="dxa"/>
            <w:bottom w:w="0" w:type="dxa"/>
            <w:right w:w="108" w:type="dxa"/>
          </w:tblCellMar>
        </w:tblPrEx>
        <w:trPr>
          <w:trHeight w:val="467"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0B6866B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p>
        </w:tc>
        <w:tc>
          <w:tcPr>
            <w:tcW w:w="636" w:type="dxa"/>
            <w:vMerge w:val="continue"/>
            <w:tcBorders>
              <w:top w:val="nil"/>
              <w:left w:val="nil"/>
              <w:bottom w:val="single" w:color="auto" w:sz="4" w:space="0"/>
              <w:right w:val="single" w:color="auto" w:sz="4" w:space="0"/>
            </w:tcBorders>
            <w:vAlign w:val="center"/>
          </w:tcPr>
          <w:p w14:paraId="7D963D3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sz w:val="24"/>
                <w:highlight w:val="none"/>
              </w:rPr>
            </w:pPr>
          </w:p>
        </w:tc>
        <w:tc>
          <w:tcPr>
            <w:tcW w:w="957" w:type="dxa"/>
            <w:tcBorders>
              <w:top w:val="single" w:color="auto" w:sz="4" w:space="0"/>
              <w:left w:val="nil"/>
              <w:bottom w:val="single" w:color="auto" w:sz="4" w:space="0"/>
              <w:right w:val="single" w:color="auto" w:sz="4" w:space="0"/>
            </w:tcBorders>
            <w:vAlign w:val="center"/>
          </w:tcPr>
          <w:p w14:paraId="5CF562C1">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文明施工</w:t>
            </w:r>
          </w:p>
        </w:tc>
        <w:tc>
          <w:tcPr>
            <w:tcW w:w="6711" w:type="dxa"/>
            <w:tcBorders>
              <w:top w:val="single" w:color="auto" w:sz="4" w:space="0"/>
              <w:left w:val="nil"/>
              <w:bottom w:val="single" w:color="auto" w:sz="4" w:space="0"/>
              <w:right w:val="single" w:color="auto" w:sz="4" w:space="0"/>
            </w:tcBorders>
            <w:vAlign w:val="center"/>
          </w:tcPr>
          <w:p w14:paraId="408C7C92">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文明施工现场检查内容详见附件9：《文明施工检查标准》；</w:t>
            </w:r>
          </w:p>
        </w:tc>
      </w:tr>
      <w:tr w14:paraId="760EA1AB">
        <w:tblPrEx>
          <w:tblCellMar>
            <w:top w:w="0" w:type="dxa"/>
            <w:left w:w="108" w:type="dxa"/>
            <w:bottom w:w="0" w:type="dxa"/>
            <w:right w:w="108" w:type="dxa"/>
          </w:tblCellMar>
        </w:tblPrEx>
        <w:trPr>
          <w:trHeight w:val="61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07C43B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23</w:t>
            </w:r>
          </w:p>
        </w:tc>
        <w:tc>
          <w:tcPr>
            <w:tcW w:w="636" w:type="dxa"/>
            <w:vMerge w:val="continue"/>
            <w:tcBorders>
              <w:top w:val="nil"/>
              <w:left w:val="nil"/>
              <w:bottom w:val="single" w:color="auto" w:sz="4" w:space="0"/>
              <w:right w:val="single" w:color="auto" w:sz="4" w:space="0"/>
            </w:tcBorders>
            <w:vAlign w:val="center"/>
          </w:tcPr>
          <w:p w14:paraId="7A9FB6C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sz w:val="24"/>
                <w:highlight w:val="none"/>
              </w:rPr>
            </w:pPr>
          </w:p>
        </w:tc>
        <w:tc>
          <w:tcPr>
            <w:tcW w:w="957" w:type="dxa"/>
            <w:tcBorders>
              <w:top w:val="single" w:color="auto" w:sz="4" w:space="0"/>
              <w:left w:val="nil"/>
              <w:bottom w:val="single" w:color="auto" w:sz="4" w:space="0"/>
              <w:right w:val="single" w:color="auto" w:sz="4" w:space="0"/>
            </w:tcBorders>
            <w:vAlign w:val="center"/>
          </w:tcPr>
          <w:p w14:paraId="1436A6DD">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信息</w:t>
            </w:r>
          </w:p>
          <w:p w14:paraId="596C59E7">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管理</w:t>
            </w:r>
          </w:p>
        </w:tc>
        <w:tc>
          <w:tcPr>
            <w:tcW w:w="6711" w:type="dxa"/>
            <w:tcBorders>
              <w:top w:val="single" w:color="auto" w:sz="4" w:space="0"/>
              <w:left w:val="nil"/>
              <w:bottom w:val="single" w:color="auto" w:sz="4" w:space="0"/>
              <w:right w:val="single" w:color="auto" w:sz="4" w:space="0"/>
            </w:tcBorders>
            <w:vAlign w:val="center"/>
          </w:tcPr>
          <w:p w14:paraId="709AD952">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有无发生施工单位迟报、漏报事故、事件；有无发生瞒报事故、事件。</w:t>
            </w:r>
          </w:p>
        </w:tc>
      </w:tr>
    </w:tbl>
    <w:p w14:paraId="655C4190">
      <w:pPr>
        <w:spacing w:line="360" w:lineRule="auto"/>
        <w:rPr>
          <w:rFonts w:hint="eastAsia" w:ascii="宋体" w:hAnsi="宋体" w:eastAsia="宋体" w:cs="宋体"/>
          <w:color w:val="auto"/>
          <w:sz w:val="24"/>
          <w:highlight w:val="none"/>
        </w:rPr>
      </w:pPr>
    </w:p>
    <w:p w14:paraId="4E3791FC">
      <w:pPr>
        <w:widowControl/>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82BDBF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附件3-1：</w:t>
      </w:r>
    </w:p>
    <w:p w14:paraId="385B28CE">
      <w:pPr>
        <w:wordWrap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编号：    </w:t>
      </w:r>
    </w:p>
    <w:p w14:paraId="4C13CEA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安全文明整改通知书</w:t>
      </w:r>
    </w:p>
    <w:p w14:paraId="2656CAE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工程名称：</w:t>
      </w:r>
    </w:p>
    <w:p w14:paraId="029E7579">
      <w:pPr>
        <w:spacing w:line="360" w:lineRule="auto"/>
        <w:ind w:left="590" w:leftChars="1" w:hanging="588" w:hangingChars="245"/>
        <w:rPr>
          <w:rFonts w:hint="eastAsia" w:ascii="宋体" w:hAnsi="宋体" w:eastAsia="宋体" w:cs="宋体"/>
          <w:color w:val="auto"/>
          <w:sz w:val="24"/>
          <w:highlight w:val="none"/>
        </w:rPr>
      </w:pPr>
      <w:r>
        <w:rPr>
          <w:rFonts w:hint="eastAsia" w:ascii="宋体" w:hAnsi="宋体" w:eastAsia="宋体" w:cs="宋体"/>
          <w:color w:val="auto"/>
          <w:sz w:val="24"/>
          <w:highlight w:val="none"/>
        </w:rPr>
        <w:t>责任部门：</w:t>
      </w:r>
    </w:p>
    <w:p w14:paraId="3D03125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你单位负责的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项目，经公司检查组于   年  月  日检查，存在以下安全文明问题：</w:t>
      </w:r>
    </w:p>
    <w:p w14:paraId="5FF89C99">
      <w:pPr>
        <w:spacing w:line="360" w:lineRule="auto"/>
        <w:ind w:firstLine="480" w:firstLineChars="200"/>
        <w:rPr>
          <w:rFonts w:hint="eastAsia" w:ascii="宋体" w:hAnsi="宋体" w:eastAsia="宋体" w:cs="宋体"/>
          <w:color w:val="auto"/>
          <w:sz w:val="24"/>
          <w:highlight w:val="none"/>
        </w:rPr>
      </w:pPr>
    </w:p>
    <w:p w14:paraId="4F5ED51D">
      <w:pPr>
        <w:spacing w:line="360" w:lineRule="auto"/>
        <w:ind w:firstLine="480" w:firstLineChars="200"/>
        <w:rPr>
          <w:rFonts w:hint="eastAsia" w:ascii="宋体" w:hAnsi="宋体" w:eastAsia="宋体" w:cs="宋体"/>
          <w:color w:val="auto"/>
          <w:sz w:val="24"/>
          <w:highlight w:val="none"/>
        </w:rPr>
      </w:pPr>
    </w:p>
    <w:p w14:paraId="6A3D73AF">
      <w:pPr>
        <w:spacing w:line="360" w:lineRule="auto"/>
        <w:ind w:firstLine="480" w:firstLineChars="200"/>
        <w:rPr>
          <w:rFonts w:hint="eastAsia" w:ascii="宋体" w:hAnsi="宋体" w:eastAsia="宋体" w:cs="宋体"/>
          <w:color w:val="auto"/>
          <w:sz w:val="24"/>
          <w:highlight w:val="none"/>
          <w:u w:val="single"/>
        </w:rPr>
      </w:pPr>
    </w:p>
    <w:p w14:paraId="0ADA660B">
      <w:pPr>
        <w:spacing w:line="360" w:lineRule="auto"/>
        <w:ind w:firstLine="480" w:firstLineChars="200"/>
        <w:rPr>
          <w:rFonts w:hint="eastAsia" w:ascii="宋体" w:hAnsi="宋体" w:eastAsia="宋体" w:cs="宋体"/>
          <w:color w:val="auto"/>
          <w:sz w:val="24"/>
          <w:highlight w:val="none"/>
          <w:u w:val="single"/>
        </w:rPr>
      </w:pPr>
    </w:p>
    <w:p w14:paraId="552B12FA">
      <w:pPr>
        <w:spacing w:line="360" w:lineRule="auto"/>
        <w:ind w:firstLine="480" w:firstLineChars="200"/>
        <w:rPr>
          <w:rFonts w:hint="eastAsia" w:ascii="宋体" w:hAnsi="宋体" w:eastAsia="宋体" w:cs="宋体"/>
          <w:color w:val="auto"/>
          <w:sz w:val="24"/>
          <w:highlight w:val="none"/>
          <w:u w:val="single"/>
        </w:rPr>
      </w:pPr>
    </w:p>
    <w:p w14:paraId="02272DF3">
      <w:pPr>
        <w:spacing w:line="360" w:lineRule="auto"/>
        <w:ind w:firstLine="480" w:firstLineChars="200"/>
        <w:rPr>
          <w:rFonts w:hint="eastAsia" w:ascii="宋体" w:hAnsi="宋体" w:eastAsia="宋体" w:cs="宋体"/>
          <w:color w:val="auto"/>
          <w:sz w:val="24"/>
          <w:highlight w:val="none"/>
          <w:u w:val="single"/>
        </w:rPr>
      </w:pPr>
    </w:p>
    <w:p w14:paraId="635665C7">
      <w:pPr>
        <w:spacing w:line="360" w:lineRule="auto"/>
        <w:ind w:firstLine="480" w:firstLineChars="200"/>
        <w:rPr>
          <w:rFonts w:hint="eastAsia" w:ascii="宋体" w:hAnsi="宋体" w:eastAsia="宋体" w:cs="宋体"/>
          <w:color w:val="auto"/>
          <w:sz w:val="24"/>
          <w:highlight w:val="none"/>
        </w:rPr>
      </w:pPr>
    </w:p>
    <w:p w14:paraId="305AE96F">
      <w:pPr>
        <w:autoSpaceDE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上述条安全文明问题限于  年  月  日前整改完毕，并将整改结果书面报告</w:t>
      </w:r>
      <w:r>
        <w:rPr>
          <w:rFonts w:hint="eastAsia" w:ascii="宋体" w:hAnsi="宋体" w:eastAsia="宋体" w:cs="宋体"/>
          <w:color w:val="auto"/>
          <w:sz w:val="24"/>
          <w:highlight w:val="none"/>
          <w:lang w:eastAsia="zh-CN"/>
        </w:rPr>
        <w:t>广州市番禺区石碁镇桥山村股份合作经济社</w:t>
      </w:r>
      <w:r>
        <w:rPr>
          <w:rFonts w:hint="eastAsia" w:ascii="宋体" w:hAnsi="宋体" w:eastAsia="宋体" w:cs="宋体"/>
          <w:color w:val="auto"/>
          <w:sz w:val="24"/>
          <w:highlight w:val="none"/>
        </w:rPr>
        <w:t>（甲方）签发单位。</w:t>
      </w:r>
    </w:p>
    <w:p w14:paraId="35067C13">
      <w:pPr>
        <w:spacing w:line="360" w:lineRule="auto"/>
        <w:rPr>
          <w:rFonts w:hint="eastAsia" w:ascii="宋体" w:hAnsi="宋体" w:eastAsia="宋体" w:cs="宋体"/>
          <w:color w:val="auto"/>
          <w:sz w:val="24"/>
          <w:highlight w:val="none"/>
        </w:rPr>
      </w:pPr>
    </w:p>
    <w:p w14:paraId="0F37C7D5">
      <w:pPr>
        <w:spacing w:line="360" w:lineRule="auto"/>
        <w:rPr>
          <w:rFonts w:hint="eastAsia" w:ascii="宋体" w:hAnsi="宋体" w:eastAsia="宋体" w:cs="宋体"/>
          <w:color w:val="auto"/>
          <w:sz w:val="24"/>
          <w:highlight w:val="none"/>
        </w:rPr>
      </w:pPr>
    </w:p>
    <w:p w14:paraId="31B295B0">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检查人员：                            签发单位：</w:t>
      </w:r>
    </w:p>
    <w:p w14:paraId="52E3073F">
      <w:pPr>
        <w:spacing w:line="360" w:lineRule="auto"/>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月  日</w:t>
      </w:r>
    </w:p>
    <w:p w14:paraId="3129C5FC">
      <w:pPr>
        <w:spacing w:line="360" w:lineRule="auto"/>
        <w:rPr>
          <w:rFonts w:hint="eastAsia" w:ascii="宋体" w:hAnsi="宋体" w:eastAsia="宋体" w:cs="宋体"/>
          <w:color w:val="auto"/>
          <w:sz w:val="24"/>
          <w:highlight w:val="none"/>
          <w:u w:val="single"/>
        </w:rPr>
      </w:pPr>
    </w:p>
    <w:p w14:paraId="1FBE908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注：本通知一式三联：一联（甲方签发单位自存），二联（甲方责任业务部门），三联（责任单位）。本通知书由甲方责任业务部门（公司）督促整改，并书面回复签发部门。</w:t>
      </w:r>
    </w:p>
    <w:p w14:paraId="136A62DA">
      <w:pPr>
        <w:spacing w:line="360" w:lineRule="auto"/>
        <w:rPr>
          <w:rFonts w:hint="eastAsia" w:ascii="宋体" w:hAnsi="宋体" w:eastAsia="宋体" w:cs="宋体"/>
          <w:b/>
          <w:bCs/>
          <w:color w:val="auto"/>
          <w:sz w:val="24"/>
          <w:highlight w:val="none"/>
        </w:rPr>
      </w:pPr>
    </w:p>
    <w:p w14:paraId="36B671E1">
      <w:pPr>
        <w:spacing w:line="360" w:lineRule="auto"/>
        <w:rPr>
          <w:rFonts w:hint="eastAsia" w:ascii="宋体" w:hAnsi="宋体" w:eastAsia="宋体" w:cs="宋体"/>
          <w:color w:val="auto"/>
          <w:sz w:val="24"/>
          <w:highlight w:val="none"/>
        </w:rPr>
      </w:pPr>
    </w:p>
    <w:p w14:paraId="6CB13EE5">
      <w:pPr>
        <w:spacing w:line="360" w:lineRule="auto"/>
        <w:rPr>
          <w:rFonts w:hint="eastAsia" w:ascii="宋体" w:hAnsi="宋体" w:eastAsia="宋体" w:cs="宋体"/>
          <w:b/>
          <w:bCs/>
          <w:color w:val="auto"/>
          <w:sz w:val="24"/>
          <w:highlight w:val="none"/>
        </w:rPr>
      </w:pPr>
    </w:p>
    <w:p w14:paraId="7A8AA8C1">
      <w:pPr>
        <w:widowControl/>
        <w:spacing w:line="360" w:lineRule="auto"/>
        <w:jc w:val="left"/>
        <w:rPr>
          <w:rFonts w:hint="eastAsia" w:ascii="宋体" w:hAnsi="宋体" w:eastAsia="宋体" w:cs="宋体"/>
          <w:color w:val="auto"/>
          <w:sz w:val="24"/>
          <w:highlight w:val="none"/>
        </w:rPr>
      </w:pPr>
    </w:p>
    <w:p w14:paraId="21215273">
      <w:pPr>
        <w:widowControl/>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587EA73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附件3-2：</w:t>
      </w:r>
    </w:p>
    <w:p w14:paraId="544B1C04">
      <w:pPr>
        <w:widowControl/>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项目（场所）名称：</w:t>
      </w:r>
    </w:p>
    <w:p w14:paraId="1E690873">
      <w:pPr>
        <w:widowControl/>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由：（签发部门）</w:t>
      </w:r>
    </w:p>
    <w:p w14:paraId="59754D7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至：（责任部门/公司）</w:t>
      </w:r>
    </w:p>
    <w:p w14:paraId="5C35E4B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编号：</w:t>
      </w:r>
    </w:p>
    <w:p w14:paraId="3D41776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检查日期：   年  月  日</w:t>
      </w:r>
    </w:p>
    <w:p w14:paraId="76E27266">
      <w:pPr>
        <w:spacing w:line="360" w:lineRule="auto"/>
        <w:rPr>
          <w:rFonts w:hint="eastAsia" w:ascii="宋体" w:hAnsi="宋体" w:eastAsia="宋体" w:cs="宋体"/>
          <w:color w:val="auto"/>
          <w:sz w:val="24"/>
          <w:highlight w:val="none"/>
        </w:rPr>
      </w:pPr>
    </w:p>
    <w:p w14:paraId="01949E16">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安全检查记录</w:t>
      </w:r>
    </w:p>
    <w:tbl>
      <w:tblPr>
        <w:tblStyle w:val="4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19"/>
        <w:gridCol w:w="4473"/>
      </w:tblGrid>
      <w:tr w14:paraId="4D88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14:paraId="342C20D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119" w:type="dxa"/>
            <w:vAlign w:val="center"/>
          </w:tcPr>
          <w:p w14:paraId="4CE4D98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隐患描述</w:t>
            </w:r>
          </w:p>
        </w:tc>
        <w:tc>
          <w:tcPr>
            <w:tcW w:w="4473" w:type="dxa"/>
            <w:vAlign w:val="center"/>
          </w:tcPr>
          <w:p w14:paraId="3EE4BE7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照片</w:t>
            </w:r>
          </w:p>
        </w:tc>
      </w:tr>
      <w:tr w14:paraId="3A08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04" w:type="dxa"/>
            <w:vAlign w:val="center"/>
          </w:tcPr>
          <w:p w14:paraId="31ECF2C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119" w:type="dxa"/>
            <w:vAlign w:val="center"/>
          </w:tcPr>
          <w:p w14:paraId="09A5114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4473" w:type="dxa"/>
            <w:vAlign w:val="center"/>
          </w:tcPr>
          <w:p w14:paraId="71D4B15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r w14:paraId="7B77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04" w:type="dxa"/>
            <w:vAlign w:val="center"/>
          </w:tcPr>
          <w:p w14:paraId="3E98EBE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3119" w:type="dxa"/>
            <w:vAlign w:val="center"/>
          </w:tcPr>
          <w:p w14:paraId="34343EB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4473" w:type="dxa"/>
            <w:vAlign w:val="center"/>
          </w:tcPr>
          <w:p w14:paraId="3C64DBF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r w14:paraId="6ACA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04" w:type="dxa"/>
            <w:vAlign w:val="center"/>
          </w:tcPr>
          <w:p w14:paraId="4A94986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3119" w:type="dxa"/>
            <w:vAlign w:val="center"/>
          </w:tcPr>
          <w:p w14:paraId="7333321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4473" w:type="dxa"/>
            <w:vAlign w:val="center"/>
          </w:tcPr>
          <w:p w14:paraId="38BB711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r w14:paraId="16A5A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04" w:type="dxa"/>
            <w:vAlign w:val="center"/>
          </w:tcPr>
          <w:p w14:paraId="50BBA66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3119" w:type="dxa"/>
            <w:vAlign w:val="center"/>
          </w:tcPr>
          <w:p w14:paraId="123917B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4473" w:type="dxa"/>
            <w:vAlign w:val="center"/>
          </w:tcPr>
          <w:p w14:paraId="3D78780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bl>
    <w:p w14:paraId="2BF0086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现要求你单位在</w:t>
      </w:r>
      <w:r>
        <w:rPr>
          <w:rFonts w:hint="eastAsia" w:ascii="宋体" w:hAnsi="宋体" w:eastAsia="宋体" w:cs="宋体"/>
          <w:color w:val="auto"/>
          <w:sz w:val="24"/>
          <w:highlight w:val="none"/>
          <w:u w:val="single"/>
        </w:rPr>
        <w:t xml:space="preserve">    年  月  日</w:t>
      </w:r>
      <w:r>
        <w:rPr>
          <w:rFonts w:hint="eastAsia" w:ascii="宋体" w:hAnsi="宋体" w:eastAsia="宋体" w:cs="宋体"/>
          <w:color w:val="auto"/>
          <w:sz w:val="24"/>
          <w:highlight w:val="none"/>
        </w:rPr>
        <w:t>前完成上述隐患的整改，并将有关整改情况按《安全检查制度》要求回复至签发部门。</w:t>
      </w:r>
    </w:p>
    <w:p w14:paraId="069377A3">
      <w:pPr>
        <w:spacing w:before="240" w:beforeLines="10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检查人：</w:t>
      </w:r>
    </w:p>
    <w:p w14:paraId="19B99FA3">
      <w:pPr>
        <w:spacing w:before="240" w:beforeLines="100" w:line="360" w:lineRule="auto"/>
        <w:rPr>
          <w:rFonts w:hint="eastAsia" w:ascii="宋体" w:hAnsi="宋体" w:eastAsia="宋体" w:cs="宋体"/>
          <w:color w:val="auto"/>
          <w:sz w:val="24"/>
          <w:highlight w:val="none"/>
        </w:rPr>
      </w:pPr>
    </w:p>
    <w:p w14:paraId="1CAED640">
      <w:pPr>
        <w:widowControl/>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E94A54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附件4</w:t>
      </w:r>
    </w:p>
    <w:p w14:paraId="33DF8BEE">
      <w:pPr>
        <w:spacing w:line="360" w:lineRule="auto"/>
        <w:rPr>
          <w:rFonts w:hint="eastAsia" w:ascii="宋体" w:hAnsi="宋体" w:eastAsia="宋体" w:cs="宋体"/>
          <w:b/>
          <w:bCs/>
          <w:color w:val="auto"/>
          <w:sz w:val="24"/>
          <w:highlight w:val="none"/>
        </w:rPr>
      </w:pPr>
    </w:p>
    <w:p w14:paraId="07D1E2F3">
      <w:pPr>
        <w:wordWrap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编号：     </w:t>
      </w:r>
    </w:p>
    <w:p w14:paraId="0DA2FFC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安全停工令</w:t>
      </w:r>
    </w:p>
    <w:p w14:paraId="13E1300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工程名称：</w:t>
      </w:r>
    </w:p>
    <w:p w14:paraId="73418A81">
      <w:pPr>
        <w:spacing w:line="360" w:lineRule="auto"/>
        <w:ind w:left="590" w:leftChars="1" w:hanging="588" w:hangingChars="245"/>
        <w:rPr>
          <w:rFonts w:hint="eastAsia" w:ascii="宋体" w:hAnsi="宋体" w:eastAsia="宋体" w:cs="宋体"/>
          <w:color w:val="auto"/>
          <w:sz w:val="24"/>
          <w:highlight w:val="none"/>
        </w:rPr>
      </w:pPr>
      <w:r>
        <w:rPr>
          <w:rFonts w:hint="eastAsia" w:ascii="宋体" w:hAnsi="宋体" w:eastAsia="宋体" w:cs="宋体"/>
          <w:color w:val="auto"/>
          <w:sz w:val="24"/>
          <w:highlight w:val="none"/>
        </w:rPr>
        <w:t>责任部门：</w:t>
      </w:r>
    </w:p>
    <w:p w14:paraId="76533EF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你单位负责的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项目，经公司检查组于    年  月  日检查，存在以下安全问题：</w:t>
      </w:r>
    </w:p>
    <w:p w14:paraId="63C7E47E">
      <w:pPr>
        <w:spacing w:line="360" w:lineRule="auto"/>
        <w:ind w:firstLine="480" w:firstLineChars="200"/>
        <w:rPr>
          <w:rFonts w:hint="eastAsia" w:ascii="宋体" w:hAnsi="宋体" w:eastAsia="宋体" w:cs="宋体"/>
          <w:color w:val="auto"/>
          <w:sz w:val="24"/>
          <w:highlight w:val="none"/>
        </w:rPr>
      </w:pPr>
    </w:p>
    <w:p w14:paraId="6AE35F9A">
      <w:pPr>
        <w:spacing w:line="360" w:lineRule="auto"/>
        <w:ind w:firstLine="480" w:firstLineChars="200"/>
        <w:rPr>
          <w:rFonts w:hint="eastAsia" w:ascii="宋体" w:hAnsi="宋体" w:eastAsia="宋体" w:cs="宋体"/>
          <w:color w:val="auto"/>
          <w:sz w:val="24"/>
          <w:highlight w:val="none"/>
          <w:u w:val="single"/>
        </w:rPr>
      </w:pPr>
    </w:p>
    <w:p w14:paraId="340C9619">
      <w:pPr>
        <w:spacing w:line="360" w:lineRule="auto"/>
        <w:ind w:firstLine="480" w:firstLineChars="200"/>
        <w:rPr>
          <w:rFonts w:hint="eastAsia" w:ascii="宋体" w:hAnsi="宋体" w:eastAsia="宋体" w:cs="宋体"/>
          <w:color w:val="auto"/>
          <w:sz w:val="24"/>
          <w:highlight w:val="none"/>
          <w:u w:val="single"/>
        </w:rPr>
      </w:pPr>
    </w:p>
    <w:p w14:paraId="51FC0756">
      <w:pPr>
        <w:spacing w:line="360" w:lineRule="auto"/>
        <w:ind w:firstLine="480" w:firstLineChars="200"/>
        <w:rPr>
          <w:rFonts w:hint="eastAsia" w:ascii="宋体" w:hAnsi="宋体" w:eastAsia="宋体" w:cs="宋体"/>
          <w:color w:val="auto"/>
          <w:sz w:val="24"/>
          <w:highlight w:val="none"/>
          <w:u w:val="single"/>
        </w:rPr>
      </w:pPr>
    </w:p>
    <w:p w14:paraId="559C63B2">
      <w:pPr>
        <w:spacing w:line="360" w:lineRule="auto"/>
        <w:ind w:firstLine="480" w:firstLineChars="200"/>
        <w:rPr>
          <w:rFonts w:hint="eastAsia" w:ascii="宋体" w:hAnsi="宋体" w:eastAsia="宋体" w:cs="宋体"/>
          <w:color w:val="auto"/>
          <w:sz w:val="24"/>
          <w:highlight w:val="none"/>
          <w:u w:val="single"/>
        </w:rPr>
      </w:pPr>
    </w:p>
    <w:p w14:paraId="324ECD9E">
      <w:pPr>
        <w:spacing w:line="360" w:lineRule="auto"/>
        <w:ind w:firstLine="480" w:firstLineChars="200"/>
        <w:rPr>
          <w:rFonts w:hint="eastAsia" w:ascii="宋体" w:hAnsi="宋体" w:eastAsia="宋体" w:cs="宋体"/>
          <w:color w:val="auto"/>
          <w:sz w:val="24"/>
          <w:highlight w:val="none"/>
          <w:u w:val="single"/>
        </w:rPr>
      </w:pPr>
    </w:p>
    <w:p w14:paraId="3485D3CC">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上述条安全问题立即停工整改，整改完毕后将整改结果书面报告</w:t>
      </w:r>
      <w:r>
        <w:rPr>
          <w:rFonts w:hint="eastAsia" w:ascii="宋体" w:hAnsi="宋体" w:eastAsia="宋体" w:cs="宋体"/>
          <w:color w:val="auto"/>
          <w:sz w:val="24"/>
          <w:highlight w:val="none"/>
          <w:lang w:eastAsia="zh-CN"/>
        </w:rPr>
        <w:t>广州市番禺区石碁镇桥山村股份合作经济社</w:t>
      </w:r>
      <w:r>
        <w:rPr>
          <w:rFonts w:hint="eastAsia" w:ascii="宋体" w:hAnsi="宋体" w:eastAsia="宋体" w:cs="宋体"/>
          <w:color w:val="auto"/>
          <w:sz w:val="24"/>
          <w:highlight w:val="none"/>
        </w:rPr>
        <w:t>（甲方）签发部门申请复工复业。</w:t>
      </w:r>
    </w:p>
    <w:p w14:paraId="314FD0D4">
      <w:pPr>
        <w:spacing w:line="360" w:lineRule="auto"/>
        <w:rPr>
          <w:rFonts w:hint="eastAsia" w:ascii="宋体" w:hAnsi="宋体" w:eastAsia="宋体" w:cs="宋体"/>
          <w:color w:val="auto"/>
          <w:sz w:val="24"/>
          <w:highlight w:val="none"/>
        </w:rPr>
      </w:pPr>
    </w:p>
    <w:p w14:paraId="379F7A5C">
      <w:pPr>
        <w:spacing w:line="360" w:lineRule="auto"/>
        <w:rPr>
          <w:rFonts w:hint="eastAsia" w:ascii="宋体" w:hAnsi="宋体" w:eastAsia="宋体" w:cs="宋体"/>
          <w:color w:val="auto"/>
          <w:sz w:val="24"/>
          <w:highlight w:val="none"/>
        </w:rPr>
      </w:pPr>
    </w:p>
    <w:p w14:paraId="57488501">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检查人员：                                   签发人：</w:t>
      </w:r>
    </w:p>
    <w:p w14:paraId="22ABC60A">
      <w:pPr>
        <w:spacing w:line="360" w:lineRule="auto"/>
        <w:rPr>
          <w:rFonts w:hint="eastAsia" w:ascii="宋体" w:hAnsi="宋体" w:eastAsia="宋体" w:cs="宋体"/>
          <w:color w:val="auto"/>
          <w:sz w:val="24"/>
          <w:highlight w:val="none"/>
          <w:u w:val="single"/>
        </w:rPr>
      </w:pPr>
    </w:p>
    <w:p w14:paraId="243FF6C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责任部门：                                   责任部门负责人：</w:t>
      </w:r>
    </w:p>
    <w:p w14:paraId="2A2A0FE5">
      <w:pPr>
        <w:spacing w:line="360" w:lineRule="auto"/>
        <w:rPr>
          <w:rFonts w:hint="eastAsia" w:ascii="宋体" w:hAnsi="宋体" w:eastAsia="宋体" w:cs="宋体"/>
          <w:color w:val="auto"/>
          <w:sz w:val="24"/>
          <w:highlight w:val="none"/>
        </w:rPr>
      </w:pPr>
    </w:p>
    <w:p w14:paraId="36B3A49D">
      <w:pPr>
        <w:pStyle w:val="6"/>
        <w:spacing w:line="360" w:lineRule="auto"/>
        <w:rPr>
          <w:rFonts w:hint="eastAsia" w:ascii="宋体" w:hAnsi="宋体" w:eastAsia="宋体" w:cs="宋体"/>
          <w:color w:val="auto"/>
          <w:highlight w:val="none"/>
        </w:rPr>
      </w:pPr>
    </w:p>
    <w:p w14:paraId="4F25B1A7">
      <w:pPr>
        <w:pStyle w:val="6"/>
        <w:spacing w:line="360" w:lineRule="auto"/>
        <w:rPr>
          <w:rFonts w:hint="eastAsia" w:ascii="宋体" w:hAnsi="宋体" w:eastAsia="宋体" w:cs="宋体"/>
          <w:color w:val="auto"/>
          <w:highlight w:val="none"/>
        </w:rPr>
      </w:pPr>
    </w:p>
    <w:p w14:paraId="06D5A5CE">
      <w:pPr>
        <w:pStyle w:val="6"/>
        <w:spacing w:line="360" w:lineRule="auto"/>
        <w:rPr>
          <w:rFonts w:hint="eastAsia" w:ascii="宋体" w:hAnsi="宋体" w:eastAsia="宋体" w:cs="宋体"/>
          <w:color w:val="auto"/>
          <w:highlight w:val="none"/>
        </w:rPr>
      </w:pPr>
    </w:p>
    <w:p w14:paraId="3D4876AD">
      <w:pPr>
        <w:pStyle w:val="6"/>
        <w:spacing w:line="360" w:lineRule="auto"/>
        <w:rPr>
          <w:rFonts w:hint="eastAsia" w:ascii="宋体" w:hAnsi="宋体" w:eastAsia="宋体" w:cs="宋体"/>
          <w:color w:val="auto"/>
          <w:highlight w:val="none"/>
        </w:rPr>
      </w:pPr>
    </w:p>
    <w:p w14:paraId="3075C601">
      <w:pPr>
        <w:pStyle w:val="6"/>
        <w:spacing w:line="360" w:lineRule="auto"/>
        <w:rPr>
          <w:rFonts w:hint="eastAsia" w:ascii="宋体" w:hAnsi="宋体" w:eastAsia="宋体" w:cs="宋体"/>
          <w:color w:val="auto"/>
          <w:highlight w:val="none"/>
        </w:rPr>
      </w:pPr>
    </w:p>
    <w:p w14:paraId="714BCAC6">
      <w:pPr>
        <w:pStyle w:val="6"/>
        <w:spacing w:line="360" w:lineRule="auto"/>
        <w:rPr>
          <w:rFonts w:hint="eastAsia" w:ascii="宋体" w:hAnsi="宋体" w:eastAsia="宋体" w:cs="宋体"/>
          <w:color w:val="auto"/>
          <w:highlight w:val="none"/>
        </w:rPr>
      </w:pPr>
    </w:p>
    <w:p w14:paraId="43814448">
      <w:pPr>
        <w:pStyle w:val="6"/>
        <w:spacing w:line="360" w:lineRule="auto"/>
        <w:rPr>
          <w:rFonts w:hint="eastAsia" w:ascii="宋体" w:hAnsi="宋体" w:eastAsia="宋体" w:cs="宋体"/>
          <w:color w:val="auto"/>
          <w:highlight w:val="none"/>
        </w:rPr>
      </w:pPr>
    </w:p>
    <w:p w14:paraId="7167BEC5">
      <w:pPr>
        <w:pStyle w:val="6"/>
        <w:spacing w:line="360" w:lineRule="auto"/>
        <w:rPr>
          <w:rFonts w:hint="eastAsia" w:ascii="宋体" w:hAnsi="宋体" w:eastAsia="宋体" w:cs="宋体"/>
          <w:color w:val="auto"/>
          <w:highlight w:val="none"/>
        </w:rPr>
      </w:pPr>
    </w:p>
    <w:p w14:paraId="4DD7582F">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附件十三：</w:t>
      </w:r>
    </w:p>
    <w:p w14:paraId="09F9F9C1">
      <w:pPr>
        <w:spacing w:line="360" w:lineRule="auto"/>
        <w:jc w:val="center"/>
        <w:rPr>
          <w:rFonts w:hint="eastAsia" w:ascii="宋体" w:hAnsi="宋体" w:eastAsia="宋体" w:cs="宋体"/>
          <w:b/>
          <w:bCs/>
          <w:color w:val="auto"/>
          <w:kern w:val="0"/>
          <w:sz w:val="36"/>
          <w:szCs w:val="36"/>
          <w:highlight w:val="none"/>
          <w:lang w:eastAsia="zh-CN"/>
        </w:rPr>
      </w:pPr>
      <w:r>
        <w:rPr>
          <w:rFonts w:hint="eastAsia" w:ascii="宋体" w:hAnsi="宋体" w:eastAsia="宋体" w:cs="宋体"/>
          <w:b/>
          <w:bCs/>
          <w:color w:val="auto"/>
          <w:sz w:val="36"/>
          <w:szCs w:val="36"/>
          <w:highlight w:val="none"/>
          <w:lang w:eastAsia="zh-CN"/>
        </w:rPr>
        <w:t>广州市番禺区石碁镇桥山村股份合作经济社</w:t>
      </w:r>
    </w:p>
    <w:p w14:paraId="6F061696">
      <w:pPr>
        <w:spacing w:line="360" w:lineRule="auto"/>
        <w:jc w:val="center"/>
        <w:rPr>
          <w:rFonts w:hint="eastAsia" w:ascii="宋体" w:hAnsi="宋体" w:eastAsia="宋体" w:cs="宋体"/>
          <w:b/>
          <w:bCs/>
          <w:color w:val="auto"/>
          <w:kern w:val="0"/>
          <w:sz w:val="36"/>
          <w:szCs w:val="36"/>
          <w:highlight w:val="none"/>
        </w:rPr>
      </w:pPr>
      <w:r>
        <w:rPr>
          <w:rFonts w:hint="eastAsia" w:ascii="宋体" w:hAnsi="宋体" w:eastAsia="宋体" w:cs="宋体"/>
          <w:b/>
          <w:bCs/>
          <w:color w:val="auto"/>
          <w:sz w:val="36"/>
          <w:szCs w:val="36"/>
          <w:highlight w:val="none"/>
        </w:rPr>
        <w:t>安全文明措施费使用管理办法</w:t>
      </w:r>
    </w:p>
    <w:p w14:paraId="7AAEF97E">
      <w:pPr>
        <w:ind w:firstLine="420" w:firstLineChars="200"/>
        <w:rPr>
          <w:rFonts w:hint="eastAsia" w:ascii="宋体" w:hAnsi="宋体" w:eastAsia="宋体" w:cs="宋体"/>
          <w:color w:val="auto"/>
          <w:highlight w:val="none"/>
        </w:rPr>
      </w:pPr>
    </w:p>
    <w:p w14:paraId="2CE263B2">
      <w:pPr>
        <w:spacing w:line="360" w:lineRule="auto"/>
        <w:jc w:val="center"/>
        <w:rPr>
          <w:rFonts w:hint="eastAsia" w:ascii="宋体" w:hAnsi="宋体" w:eastAsia="宋体" w:cs="宋体"/>
          <w:b/>
          <w:color w:val="auto"/>
          <w:spacing w:val="12"/>
          <w:kern w:val="10"/>
          <w:sz w:val="32"/>
          <w:szCs w:val="32"/>
          <w:highlight w:val="none"/>
        </w:rPr>
      </w:pPr>
      <w:r>
        <w:rPr>
          <w:rFonts w:hint="eastAsia" w:ascii="宋体" w:hAnsi="宋体" w:eastAsia="宋体" w:cs="宋体"/>
          <w:b/>
          <w:color w:val="auto"/>
          <w:spacing w:val="12"/>
          <w:kern w:val="10"/>
          <w:sz w:val="32"/>
          <w:szCs w:val="32"/>
          <w:highlight w:val="none"/>
        </w:rPr>
        <w:t>第一章 总则</w:t>
      </w:r>
    </w:p>
    <w:p w14:paraId="1FB86C13">
      <w:pPr>
        <w:spacing w:line="360" w:lineRule="auto"/>
        <w:ind w:firstLine="530" w:firstLineChars="200"/>
        <w:rPr>
          <w:rFonts w:hint="eastAsia" w:ascii="宋体" w:hAnsi="宋体" w:eastAsia="宋体" w:cs="宋体"/>
          <w:color w:val="auto"/>
          <w:spacing w:val="12"/>
          <w:kern w:val="10"/>
          <w:sz w:val="24"/>
          <w:highlight w:val="none"/>
        </w:rPr>
      </w:pPr>
      <w:r>
        <w:rPr>
          <w:rFonts w:hint="eastAsia" w:ascii="宋体" w:hAnsi="宋体" w:eastAsia="宋体" w:cs="宋体"/>
          <w:b/>
          <w:color w:val="auto"/>
          <w:spacing w:val="12"/>
          <w:kern w:val="10"/>
          <w:sz w:val="24"/>
          <w:highlight w:val="none"/>
        </w:rPr>
        <w:t xml:space="preserve">第一条 </w:t>
      </w:r>
      <w:r>
        <w:rPr>
          <w:rFonts w:hint="eastAsia" w:ascii="宋体" w:hAnsi="宋体" w:eastAsia="宋体" w:cs="宋体"/>
          <w:color w:val="auto"/>
          <w:spacing w:val="12"/>
          <w:kern w:val="10"/>
          <w:sz w:val="24"/>
          <w:highlight w:val="none"/>
        </w:rPr>
        <w:t>为加强公司及属下各级企业开发、管理的建设项目安全文明措施费的使用管理，确保建设项目安全文明措施费足额投入，维护社会公共利益，维护建设项目人身和财产安全，根据《建筑法》《安全生产法》</w:t>
      </w:r>
      <w:r>
        <w:rPr>
          <w:rFonts w:hint="eastAsia" w:ascii="宋体" w:hAnsi="宋体" w:eastAsia="宋体" w:cs="宋体"/>
          <w:color w:val="auto"/>
          <w:sz w:val="24"/>
          <w:highlight w:val="none"/>
        </w:rPr>
        <w:t>《企业安全费用提取和使用管理办法》</w:t>
      </w:r>
      <w:r>
        <w:rPr>
          <w:rFonts w:hint="eastAsia" w:ascii="宋体" w:hAnsi="宋体" w:eastAsia="宋体" w:cs="宋体"/>
          <w:color w:val="auto"/>
          <w:spacing w:val="12"/>
          <w:kern w:val="10"/>
          <w:sz w:val="24"/>
          <w:highlight w:val="none"/>
        </w:rPr>
        <w:t>《建设工程质量管理条例》《建筑施工安全检查标准》《建设工程施工发包与承包计价管理办法》《建设工程造价管理规定》等法律法规、文件的规定，结合我司实际，制定本办法。</w:t>
      </w:r>
    </w:p>
    <w:p w14:paraId="1627A3A3">
      <w:pPr>
        <w:spacing w:line="360" w:lineRule="auto"/>
        <w:ind w:firstLine="530" w:firstLineChars="200"/>
        <w:rPr>
          <w:rFonts w:hint="eastAsia" w:ascii="宋体" w:hAnsi="宋体" w:eastAsia="宋体" w:cs="宋体"/>
          <w:color w:val="auto"/>
          <w:spacing w:val="12"/>
          <w:kern w:val="10"/>
          <w:sz w:val="24"/>
          <w:highlight w:val="none"/>
        </w:rPr>
      </w:pPr>
      <w:r>
        <w:rPr>
          <w:rFonts w:hint="eastAsia" w:ascii="宋体" w:hAnsi="宋体" w:eastAsia="宋体" w:cs="宋体"/>
          <w:b/>
          <w:color w:val="auto"/>
          <w:spacing w:val="12"/>
          <w:kern w:val="10"/>
          <w:sz w:val="24"/>
          <w:highlight w:val="none"/>
        </w:rPr>
        <w:t>第二条</w:t>
      </w:r>
      <w:r>
        <w:rPr>
          <w:rFonts w:hint="eastAsia" w:ascii="宋体" w:hAnsi="宋体" w:eastAsia="宋体" w:cs="宋体"/>
          <w:color w:val="auto"/>
          <w:spacing w:val="12"/>
          <w:kern w:val="10"/>
          <w:sz w:val="24"/>
          <w:highlight w:val="none"/>
        </w:rPr>
        <w:t xml:space="preserve"> 公司及属下各级企业作为建设单位与其余参建主体签订的施工承包合同、监理合同中约定的安全文明措施费的支付、使用、结算及管理适用本办法。</w:t>
      </w:r>
    </w:p>
    <w:p w14:paraId="4012C05D">
      <w:pPr>
        <w:spacing w:line="360" w:lineRule="auto"/>
        <w:ind w:firstLine="528" w:firstLineChars="200"/>
        <w:rPr>
          <w:rFonts w:hint="eastAsia" w:ascii="宋体" w:hAnsi="宋体" w:eastAsia="宋体" w:cs="宋体"/>
          <w:color w:val="auto"/>
          <w:spacing w:val="12"/>
          <w:kern w:val="10"/>
          <w:sz w:val="24"/>
          <w:highlight w:val="none"/>
        </w:rPr>
      </w:pPr>
      <w:r>
        <w:rPr>
          <w:rFonts w:hint="eastAsia" w:ascii="宋体" w:hAnsi="宋体" w:eastAsia="宋体" w:cs="宋体"/>
          <w:color w:val="auto"/>
          <w:spacing w:val="12"/>
          <w:kern w:val="10"/>
          <w:sz w:val="24"/>
          <w:highlight w:val="none"/>
        </w:rPr>
        <w:t>属下各级企业作为建设管理单位、全过程工程咨询单位时，在本办法范围内的安全文明措施费管理上行使建设单位职责。</w:t>
      </w:r>
    </w:p>
    <w:p w14:paraId="12283A17">
      <w:pPr>
        <w:spacing w:line="360" w:lineRule="auto"/>
        <w:ind w:firstLine="530" w:firstLineChars="200"/>
        <w:rPr>
          <w:rFonts w:hint="eastAsia" w:ascii="宋体" w:hAnsi="宋体" w:eastAsia="宋体" w:cs="宋体"/>
          <w:color w:val="auto"/>
          <w:spacing w:val="12"/>
          <w:kern w:val="10"/>
          <w:sz w:val="24"/>
          <w:highlight w:val="none"/>
        </w:rPr>
      </w:pPr>
      <w:r>
        <w:rPr>
          <w:rFonts w:hint="eastAsia" w:ascii="宋体" w:hAnsi="宋体" w:eastAsia="宋体" w:cs="宋体"/>
          <w:b/>
          <w:color w:val="auto"/>
          <w:spacing w:val="12"/>
          <w:kern w:val="10"/>
          <w:sz w:val="24"/>
          <w:highlight w:val="none"/>
        </w:rPr>
        <w:t xml:space="preserve">第三条 </w:t>
      </w:r>
      <w:r>
        <w:rPr>
          <w:rFonts w:hint="eastAsia" w:ascii="宋体" w:hAnsi="宋体" w:eastAsia="宋体" w:cs="宋体"/>
          <w:color w:val="auto"/>
          <w:spacing w:val="12"/>
          <w:kern w:val="10"/>
          <w:sz w:val="24"/>
          <w:highlight w:val="none"/>
        </w:rPr>
        <w:t>本办法所称安全文明措施费是指按照国家现行的建筑施工安全、施工现场环境与卫生标准和有关规定，购置和更新施工安全防护用具及设施、改善安全生产条件和作业环境所需要的费用。</w:t>
      </w:r>
    </w:p>
    <w:p w14:paraId="2EB503BA">
      <w:pPr>
        <w:spacing w:line="360" w:lineRule="auto"/>
        <w:jc w:val="center"/>
        <w:rPr>
          <w:rFonts w:hint="eastAsia" w:ascii="宋体" w:hAnsi="宋体" w:eastAsia="宋体" w:cs="宋体"/>
          <w:b/>
          <w:color w:val="auto"/>
          <w:spacing w:val="12"/>
          <w:kern w:val="10"/>
          <w:sz w:val="32"/>
          <w:szCs w:val="32"/>
          <w:highlight w:val="none"/>
        </w:rPr>
      </w:pPr>
      <w:r>
        <w:rPr>
          <w:rFonts w:hint="eastAsia" w:ascii="宋体" w:hAnsi="宋体" w:eastAsia="宋体" w:cs="宋体"/>
          <w:b/>
          <w:color w:val="auto"/>
          <w:spacing w:val="12"/>
          <w:kern w:val="10"/>
          <w:sz w:val="32"/>
          <w:szCs w:val="32"/>
          <w:highlight w:val="none"/>
        </w:rPr>
        <w:t>第二章 安全文明措施费的使用</w:t>
      </w:r>
    </w:p>
    <w:p w14:paraId="08ED7170">
      <w:pPr>
        <w:spacing w:line="360" w:lineRule="auto"/>
        <w:ind w:firstLine="530" w:firstLineChars="200"/>
        <w:rPr>
          <w:rFonts w:hint="eastAsia" w:ascii="宋体" w:hAnsi="宋体" w:eastAsia="宋体" w:cs="宋体"/>
          <w:color w:val="auto"/>
          <w:spacing w:val="12"/>
          <w:kern w:val="10"/>
          <w:sz w:val="24"/>
          <w:highlight w:val="none"/>
        </w:rPr>
      </w:pPr>
      <w:r>
        <w:rPr>
          <w:rFonts w:hint="eastAsia" w:ascii="宋体" w:hAnsi="宋体" w:eastAsia="宋体" w:cs="宋体"/>
          <w:b/>
          <w:color w:val="auto"/>
          <w:spacing w:val="12"/>
          <w:kern w:val="10"/>
          <w:sz w:val="24"/>
          <w:highlight w:val="none"/>
        </w:rPr>
        <w:t xml:space="preserve">第四条 </w:t>
      </w:r>
      <w:r>
        <w:rPr>
          <w:rFonts w:hint="eastAsia" w:ascii="宋体" w:hAnsi="宋体" w:eastAsia="宋体" w:cs="宋体"/>
          <w:color w:val="auto"/>
          <w:spacing w:val="12"/>
          <w:kern w:val="10"/>
          <w:sz w:val="24"/>
          <w:highlight w:val="none"/>
        </w:rPr>
        <w:t>安全文明措施费按照国家规定的计算办法确定，在计划额度内包干使用，超支部分由施工总承包单位自行负责。</w:t>
      </w:r>
    </w:p>
    <w:p w14:paraId="1486385E">
      <w:pPr>
        <w:spacing w:line="360" w:lineRule="auto"/>
        <w:ind w:firstLine="530" w:firstLineChars="200"/>
        <w:rPr>
          <w:rFonts w:hint="eastAsia" w:ascii="宋体" w:hAnsi="宋体" w:eastAsia="宋体" w:cs="宋体"/>
          <w:color w:val="auto"/>
          <w:spacing w:val="12"/>
          <w:kern w:val="10"/>
          <w:sz w:val="24"/>
          <w:highlight w:val="none"/>
        </w:rPr>
      </w:pPr>
      <w:r>
        <w:rPr>
          <w:rFonts w:hint="eastAsia" w:ascii="宋体" w:hAnsi="宋体" w:eastAsia="宋体" w:cs="宋体"/>
          <w:b/>
          <w:color w:val="auto"/>
          <w:spacing w:val="12"/>
          <w:kern w:val="10"/>
          <w:sz w:val="24"/>
          <w:highlight w:val="none"/>
        </w:rPr>
        <w:t xml:space="preserve">第五条 </w:t>
      </w:r>
      <w:r>
        <w:rPr>
          <w:rFonts w:hint="eastAsia" w:ascii="宋体" w:hAnsi="宋体" w:eastAsia="宋体" w:cs="宋体"/>
          <w:color w:val="auto"/>
          <w:spacing w:val="12"/>
          <w:kern w:val="10"/>
          <w:sz w:val="24"/>
          <w:highlight w:val="none"/>
        </w:rPr>
        <w:t>安全文明措施费需专款专用，必须在规定许可的范围内安排使用，不得挤占挪用。</w:t>
      </w:r>
    </w:p>
    <w:p w14:paraId="57DBEBA6">
      <w:pPr>
        <w:spacing w:line="360" w:lineRule="auto"/>
        <w:ind w:firstLine="530" w:firstLineChars="200"/>
        <w:rPr>
          <w:rFonts w:hint="eastAsia" w:ascii="宋体" w:hAnsi="宋体" w:eastAsia="宋体" w:cs="宋体"/>
          <w:color w:val="auto"/>
          <w:spacing w:val="12"/>
          <w:kern w:val="10"/>
          <w:sz w:val="24"/>
          <w:highlight w:val="none"/>
        </w:rPr>
      </w:pPr>
      <w:r>
        <w:rPr>
          <w:rFonts w:hint="eastAsia" w:ascii="宋体" w:hAnsi="宋体" w:eastAsia="宋体" w:cs="宋体"/>
          <w:b/>
          <w:color w:val="auto"/>
          <w:spacing w:val="12"/>
          <w:kern w:val="10"/>
          <w:sz w:val="24"/>
          <w:highlight w:val="none"/>
        </w:rPr>
        <w:t>第六条</w:t>
      </w:r>
      <w:r>
        <w:rPr>
          <w:rFonts w:hint="eastAsia" w:ascii="宋体" w:hAnsi="宋体" w:eastAsia="宋体" w:cs="宋体"/>
          <w:color w:val="auto"/>
          <w:spacing w:val="12"/>
          <w:kern w:val="10"/>
          <w:sz w:val="24"/>
          <w:highlight w:val="none"/>
        </w:rPr>
        <w:t xml:space="preserve"> 安全文明施工费应当按照《企业安全费用提取和使用管理办法》（财企〔2012〕16号）及工程属地造价规范的规定在合理范围内使用，使用范围见附表1。</w:t>
      </w:r>
    </w:p>
    <w:p w14:paraId="3544937F">
      <w:pPr>
        <w:spacing w:line="360" w:lineRule="auto"/>
        <w:ind w:firstLine="530" w:firstLineChars="200"/>
        <w:rPr>
          <w:rFonts w:hint="eastAsia" w:ascii="宋体" w:hAnsi="宋体" w:eastAsia="宋体" w:cs="宋体"/>
          <w:color w:val="auto"/>
          <w:spacing w:val="12"/>
          <w:kern w:val="10"/>
          <w:sz w:val="24"/>
          <w:highlight w:val="none"/>
        </w:rPr>
      </w:pPr>
      <w:r>
        <w:rPr>
          <w:rFonts w:hint="eastAsia" w:ascii="宋体" w:hAnsi="宋体" w:eastAsia="宋体" w:cs="宋体"/>
          <w:b/>
          <w:color w:val="auto"/>
          <w:spacing w:val="12"/>
          <w:kern w:val="10"/>
          <w:sz w:val="24"/>
          <w:highlight w:val="none"/>
        </w:rPr>
        <w:t xml:space="preserve">第七条 </w:t>
      </w:r>
      <w:r>
        <w:rPr>
          <w:rFonts w:hint="eastAsia" w:ascii="宋体" w:hAnsi="宋体" w:eastAsia="宋体" w:cs="宋体"/>
          <w:color w:val="auto"/>
          <w:spacing w:val="12"/>
          <w:kern w:val="10"/>
          <w:sz w:val="24"/>
          <w:highlight w:val="none"/>
        </w:rPr>
        <w:t>在签订施工总承包合同前，施工总承包中标单位需要详细调查施工项目所在场地环境条件，分析、研判施工期间存在的安全风险，并结合国家、广东省、广州市有关安全文明施工、环境保护、职业健康等文件要求，合理编制安全文明措施费使用总计划(附表2)、安全文明措施费使用计划明细表（附表3），按照格式要求报送监理单位、建设单位审核。</w:t>
      </w:r>
    </w:p>
    <w:p w14:paraId="1896D449">
      <w:pPr>
        <w:spacing w:line="360" w:lineRule="auto"/>
        <w:ind w:firstLine="530" w:firstLineChars="200"/>
        <w:rPr>
          <w:rFonts w:hint="eastAsia" w:ascii="宋体" w:hAnsi="宋体" w:eastAsia="宋体" w:cs="宋体"/>
          <w:color w:val="auto"/>
          <w:spacing w:val="12"/>
          <w:kern w:val="10"/>
          <w:sz w:val="24"/>
          <w:highlight w:val="none"/>
        </w:rPr>
      </w:pPr>
      <w:r>
        <w:rPr>
          <w:rFonts w:hint="eastAsia" w:ascii="宋体" w:hAnsi="宋体" w:eastAsia="宋体" w:cs="宋体"/>
          <w:b/>
          <w:color w:val="auto"/>
          <w:spacing w:val="12"/>
          <w:kern w:val="10"/>
          <w:sz w:val="24"/>
          <w:highlight w:val="none"/>
        </w:rPr>
        <w:t xml:space="preserve">第八条 </w:t>
      </w:r>
      <w:r>
        <w:rPr>
          <w:rFonts w:hint="eastAsia" w:ascii="宋体" w:hAnsi="宋体" w:eastAsia="宋体" w:cs="宋体"/>
          <w:color w:val="auto"/>
          <w:spacing w:val="12"/>
          <w:kern w:val="10"/>
          <w:sz w:val="24"/>
          <w:highlight w:val="none"/>
        </w:rPr>
        <w:t>施工总承包单位应在项目开工前,根据施工总承包合同中安全文明措施费项目清单修订安全文明措施费使用总计划(附表2)、安全文明措施费使用计划明细表（附表3），报监理单位及建设单位审批。施工总承包单位依据审批通过的总计划按照施工进度适时分解到季度安全文明措施费使用计划，每季度末最后一月20日前填报下季度项目季度安全文明措施费使用计划(附表4), 项目季度安全文明措施费使用计划均需上报监理单位、建设单位审批。</w:t>
      </w:r>
    </w:p>
    <w:p w14:paraId="0D994A9A">
      <w:pPr>
        <w:spacing w:line="360" w:lineRule="auto"/>
        <w:ind w:firstLine="530" w:firstLineChars="200"/>
        <w:rPr>
          <w:rFonts w:hint="eastAsia" w:ascii="宋体" w:hAnsi="宋体" w:eastAsia="宋体" w:cs="宋体"/>
          <w:color w:val="auto"/>
          <w:spacing w:val="12"/>
          <w:kern w:val="10"/>
          <w:sz w:val="24"/>
          <w:highlight w:val="none"/>
        </w:rPr>
      </w:pPr>
      <w:r>
        <w:rPr>
          <w:rFonts w:hint="eastAsia" w:ascii="宋体" w:hAnsi="宋体" w:eastAsia="宋体" w:cs="宋体"/>
          <w:b/>
          <w:color w:val="auto"/>
          <w:spacing w:val="12"/>
          <w:kern w:val="10"/>
          <w:sz w:val="24"/>
          <w:highlight w:val="none"/>
        </w:rPr>
        <w:t xml:space="preserve">第九条 </w:t>
      </w:r>
      <w:r>
        <w:rPr>
          <w:rFonts w:hint="eastAsia" w:ascii="宋体" w:hAnsi="宋体" w:eastAsia="宋体" w:cs="宋体"/>
          <w:color w:val="auto"/>
          <w:spacing w:val="12"/>
          <w:kern w:val="10"/>
          <w:sz w:val="24"/>
          <w:highlight w:val="none"/>
        </w:rPr>
        <w:t>安全文明措施费计划上报建设单位、监理单位审查审批，经批复后执行。不编制，不上报安全文明措施费使用计划或未经批复,不按批复的计划执行的，不予验收计量认定。如遇特殊情况，在征得建设单位同意后可先实施相关安全文明措施，后补报审批手续。</w:t>
      </w:r>
    </w:p>
    <w:p w14:paraId="12BF9731">
      <w:pPr>
        <w:spacing w:line="360" w:lineRule="auto"/>
        <w:ind w:firstLine="530" w:firstLineChars="200"/>
        <w:rPr>
          <w:rFonts w:hint="eastAsia" w:ascii="宋体" w:hAnsi="宋体" w:eastAsia="宋体" w:cs="宋体"/>
          <w:color w:val="auto"/>
          <w:spacing w:val="12"/>
          <w:kern w:val="10"/>
          <w:sz w:val="24"/>
          <w:highlight w:val="none"/>
        </w:rPr>
      </w:pPr>
      <w:r>
        <w:rPr>
          <w:rFonts w:hint="eastAsia" w:ascii="宋体" w:hAnsi="宋体" w:eastAsia="宋体" w:cs="宋体"/>
          <w:b/>
          <w:color w:val="auto"/>
          <w:spacing w:val="12"/>
          <w:kern w:val="10"/>
          <w:sz w:val="24"/>
          <w:highlight w:val="none"/>
        </w:rPr>
        <w:t>第十条</w:t>
      </w:r>
      <w:r>
        <w:rPr>
          <w:rFonts w:hint="eastAsia" w:ascii="宋体" w:hAnsi="宋体" w:eastAsia="宋体" w:cs="宋体"/>
          <w:color w:val="auto"/>
          <w:spacing w:val="12"/>
          <w:kern w:val="10"/>
          <w:sz w:val="24"/>
          <w:highlight w:val="none"/>
        </w:rPr>
        <w:t xml:space="preserve"> 施工现场发生的安全措施项目在实施完成后，施工单位应以“安全投入工程量现场确认单”（详见附表6）的形式予以签认，此确认单作为安全文明措施费结算的重要依据。</w:t>
      </w:r>
    </w:p>
    <w:p w14:paraId="78992FB7">
      <w:pPr>
        <w:spacing w:line="360" w:lineRule="auto"/>
        <w:ind w:firstLine="530" w:firstLineChars="200"/>
        <w:rPr>
          <w:rFonts w:hint="eastAsia" w:ascii="宋体" w:hAnsi="宋体" w:eastAsia="宋体" w:cs="宋体"/>
          <w:color w:val="auto"/>
          <w:spacing w:val="12"/>
          <w:kern w:val="10"/>
          <w:sz w:val="24"/>
          <w:highlight w:val="none"/>
        </w:rPr>
      </w:pPr>
      <w:r>
        <w:rPr>
          <w:rFonts w:hint="eastAsia" w:ascii="宋体" w:hAnsi="宋体" w:eastAsia="宋体" w:cs="宋体"/>
          <w:b/>
          <w:color w:val="auto"/>
          <w:spacing w:val="12"/>
          <w:kern w:val="10"/>
          <w:sz w:val="24"/>
          <w:highlight w:val="none"/>
        </w:rPr>
        <w:t>第十一条</w:t>
      </w:r>
      <w:r>
        <w:rPr>
          <w:rFonts w:hint="eastAsia" w:ascii="宋体" w:hAnsi="宋体" w:eastAsia="宋体" w:cs="宋体"/>
          <w:color w:val="auto"/>
          <w:spacing w:val="12"/>
          <w:kern w:val="10"/>
          <w:sz w:val="24"/>
          <w:highlight w:val="none"/>
        </w:rPr>
        <w:t xml:space="preserve"> 安全文明措施费使用情况应建立台帐，详细记录每笔费用投入方向，开展安全工作具体内容、数量、单价及相关签收手续等，以备地方有关职能部门、建设单位及监理单位检查。</w:t>
      </w:r>
    </w:p>
    <w:p w14:paraId="6207EB20">
      <w:pPr>
        <w:spacing w:line="360" w:lineRule="auto"/>
        <w:jc w:val="center"/>
        <w:rPr>
          <w:rFonts w:hint="eastAsia" w:ascii="宋体" w:hAnsi="宋体" w:eastAsia="宋体" w:cs="宋体"/>
          <w:b/>
          <w:color w:val="auto"/>
          <w:spacing w:val="12"/>
          <w:kern w:val="10"/>
          <w:sz w:val="32"/>
          <w:szCs w:val="32"/>
          <w:highlight w:val="none"/>
        </w:rPr>
      </w:pPr>
      <w:r>
        <w:rPr>
          <w:rFonts w:hint="eastAsia" w:ascii="宋体" w:hAnsi="宋体" w:eastAsia="宋体" w:cs="宋体"/>
          <w:b/>
          <w:color w:val="auto"/>
          <w:spacing w:val="12"/>
          <w:kern w:val="10"/>
          <w:sz w:val="32"/>
          <w:szCs w:val="32"/>
          <w:highlight w:val="none"/>
        </w:rPr>
        <w:t>第三章 安全文明措施费的支付</w:t>
      </w:r>
    </w:p>
    <w:p w14:paraId="3935D10B">
      <w:pPr>
        <w:spacing w:line="360" w:lineRule="auto"/>
        <w:ind w:firstLine="530" w:firstLineChars="200"/>
        <w:rPr>
          <w:rFonts w:hint="eastAsia" w:ascii="宋体" w:hAnsi="宋体" w:eastAsia="宋体" w:cs="宋体"/>
          <w:color w:val="auto"/>
          <w:spacing w:val="12"/>
          <w:kern w:val="10"/>
          <w:sz w:val="24"/>
          <w:highlight w:val="none"/>
        </w:rPr>
      </w:pPr>
      <w:r>
        <w:rPr>
          <w:rFonts w:hint="eastAsia" w:ascii="宋体" w:hAnsi="宋体" w:eastAsia="宋体" w:cs="宋体"/>
          <w:b/>
          <w:color w:val="auto"/>
          <w:spacing w:val="12"/>
          <w:kern w:val="10"/>
          <w:sz w:val="24"/>
          <w:highlight w:val="none"/>
        </w:rPr>
        <w:t xml:space="preserve">第十二条 </w:t>
      </w:r>
      <w:r>
        <w:rPr>
          <w:rFonts w:hint="eastAsia" w:ascii="宋体" w:hAnsi="宋体" w:eastAsia="宋体" w:cs="宋体"/>
          <w:color w:val="auto"/>
          <w:spacing w:val="12"/>
          <w:kern w:val="10"/>
          <w:sz w:val="24"/>
          <w:highlight w:val="none"/>
        </w:rPr>
        <w:t>安全文明措施费的支付实行“先付后审”，即施工单位应在下一期安全文明措施费支付前，将已支付安全文明措施费的使用依据足额提交建设单位审核，审核合格后方可支付下一期安全文明措施费。</w:t>
      </w:r>
    </w:p>
    <w:p w14:paraId="7CCB79E5">
      <w:pPr>
        <w:spacing w:line="360" w:lineRule="auto"/>
        <w:ind w:firstLine="528" w:firstLineChars="200"/>
        <w:rPr>
          <w:rFonts w:hint="eastAsia" w:ascii="宋体" w:hAnsi="宋体" w:eastAsia="宋体" w:cs="宋体"/>
          <w:color w:val="auto"/>
          <w:spacing w:val="12"/>
          <w:kern w:val="10"/>
          <w:sz w:val="24"/>
          <w:highlight w:val="none"/>
        </w:rPr>
      </w:pPr>
      <w:r>
        <w:rPr>
          <w:rFonts w:hint="eastAsia" w:ascii="宋体" w:hAnsi="宋体" w:eastAsia="宋体" w:cs="宋体"/>
          <w:color w:val="auto"/>
          <w:spacing w:val="12"/>
          <w:kern w:val="10"/>
          <w:sz w:val="24"/>
          <w:highlight w:val="none"/>
        </w:rPr>
        <w:t>安全文明措施费首次支付为预付款方式，其余按施工总承包合同专用条款约定支付。</w:t>
      </w:r>
    </w:p>
    <w:p w14:paraId="0C1BEFD7">
      <w:pPr>
        <w:spacing w:line="360" w:lineRule="auto"/>
        <w:ind w:firstLine="530" w:firstLineChars="200"/>
        <w:rPr>
          <w:rFonts w:hint="eastAsia" w:ascii="宋体" w:hAnsi="宋体" w:eastAsia="宋体" w:cs="宋体"/>
          <w:b/>
          <w:color w:val="auto"/>
          <w:spacing w:val="12"/>
          <w:kern w:val="10"/>
          <w:sz w:val="24"/>
          <w:highlight w:val="none"/>
        </w:rPr>
      </w:pPr>
      <w:r>
        <w:rPr>
          <w:rFonts w:hint="eastAsia" w:ascii="宋体" w:hAnsi="宋体" w:eastAsia="宋体" w:cs="宋体"/>
          <w:b/>
          <w:color w:val="auto"/>
          <w:spacing w:val="12"/>
          <w:kern w:val="10"/>
          <w:sz w:val="24"/>
          <w:highlight w:val="none"/>
        </w:rPr>
        <w:t>第十三条</w:t>
      </w:r>
      <w:r>
        <w:rPr>
          <w:rFonts w:hint="eastAsia" w:ascii="宋体" w:hAnsi="宋体" w:eastAsia="宋体" w:cs="宋体"/>
          <w:color w:val="auto"/>
          <w:spacing w:val="12"/>
          <w:kern w:val="10"/>
          <w:sz w:val="24"/>
          <w:highlight w:val="none"/>
        </w:rPr>
        <w:t xml:space="preserve"> 施工单位在每季度末将安全文明措施费使用审查表（附表7）及相关使用证明报监理单位，经监理单位严格审查项目、单价和工程量后，审查合格后方可作为使用依据予以计量。安全文明措施费审查内容包括但不限于：安全生文明措施费使用总计划、季度使用计划，安全文明措施费使用计划明细表，安全投入工程量现场确认单、项目安全费用投入统计台帐、发票凭证（备注注明项目名称）、安全教育培训、安全评估、安全检查等支出需附该活动的文字资料和图片资料、现场安全文明设施验收资料(包括图片资料)、专业分包合同、经监理工程师签证的工程量签证单和单价分析表等。</w:t>
      </w:r>
    </w:p>
    <w:p w14:paraId="1A38BA68">
      <w:pPr>
        <w:spacing w:line="360" w:lineRule="auto"/>
        <w:ind w:firstLine="530" w:firstLineChars="200"/>
        <w:rPr>
          <w:rFonts w:hint="eastAsia" w:ascii="宋体" w:hAnsi="宋体" w:eastAsia="宋体" w:cs="宋体"/>
          <w:color w:val="auto"/>
          <w:spacing w:val="12"/>
          <w:kern w:val="10"/>
          <w:sz w:val="24"/>
          <w:highlight w:val="none"/>
        </w:rPr>
      </w:pPr>
      <w:r>
        <w:rPr>
          <w:rFonts w:hint="eastAsia" w:ascii="宋体" w:hAnsi="宋体" w:eastAsia="宋体" w:cs="宋体"/>
          <w:b/>
          <w:color w:val="auto"/>
          <w:spacing w:val="12"/>
          <w:kern w:val="10"/>
          <w:sz w:val="24"/>
          <w:highlight w:val="none"/>
        </w:rPr>
        <w:t xml:space="preserve">第十四条 </w:t>
      </w:r>
      <w:r>
        <w:rPr>
          <w:rFonts w:hint="eastAsia" w:ascii="宋体" w:hAnsi="宋体" w:eastAsia="宋体" w:cs="宋体"/>
          <w:color w:val="auto"/>
          <w:spacing w:val="12"/>
          <w:kern w:val="10"/>
          <w:sz w:val="24"/>
          <w:highlight w:val="none"/>
        </w:rPr>
        <w:t>施工单位在申报安全文明措施费计量结算时要依据审批通过的计划提供用于安全生产投入的票据(收据、发票)、影像资料等证明材料，建设单位、监理单位需对票据的真实性进行审查，账物不符，不得支付安全文明措施费。监理单位要对施工单位的项目安全费用投入统计台帐（附表5）定期检查，做到账物相符，入库、出库、使用记录与统计台账一一对应，保证安全生产物资、设施真正用于安全生产，确保工程安全施工。</w:t>
      </w:r>
    </w:p>
    <w:p w14:paraId="6A993301">
      <w:pPr>
        <w:spacing w:line="360" w:lineRule="auto"/>
        <w:ind w:firstLine="530" w:firstLineChars="200"/>
        <w:rPr>
          <w:rFonts w:hint="eastAsia" w:ascii="宋体" w:hAnsi="宋体" w:eastAsia="宋体" w:cs="宋体"/>
          <w:color w:val="auto"/>
          <w:spacing w:val="12"/>
          <w:kern w:val="10"/>
          <w:sz w:val="24"/>
          <w:highlight w:val="none"/>
        </w:rPr>
      </w:pPr>
      <w:r>
        <w:rPr>
          <w:rFonts w:hint="eastAsia" w:ascii="宋体" w:hAnsi="宋体" w:eastAsia="宋体" w:cs="宋体"/>
          <w:b/>
          <w:color w:val="auto"/>
          <w:spacing w:val="12"/>
          <w:kern w:val="10"/>
          <w:sz w:val="24"/>
          <w:highlight w:val="none"/>
        </w:rPr>
        <w:t xml:space="preserve">第十五条 </w:t>
      </w:r>
      <w:r>
        <w:rPr>
          <w:rFonts w:hint="eastAsia" w:ascii="宋体" w:hAnsi="宋体" w:eastAsia="宋体" w:cs="宋体"/>
          <w:color w:val="auto"/>
          <w:spacing w:val="12"/>
          <w:kern w:val="10"/>
          <w:sz w:val="24"/>
          <w:highlight w:val="none"/>
        </w:rPr>
        <w:t>安全文明措施费应当优先用于安全监督管理部门检查提出的安全整改措施，或为确保各单位生产安全所采取措施及安全生产达标所需支出。</w:t>
      </w:r>
    </w:p>
    <w:p w14:paraId="03C8BDC4">
      <w:pPr>
        <w:spacing w:line="360" w:lineRule="auto"/>
        <w:ind w:firstLine="530" w:firstLineChars="200"/>
        <w:rPr>
          <w:rFonts w:hint="eastAsia" w:ascii="宋体" w:hAnsi="宋体" w:eastAsia="宋体" w:cs="宋体"/>
          <w:color w:val="auto"/>
          <w:spacing w:val="12"/>
          <w:kern w:val="10"/>
          <w:sz w:val="24"/>
          <w:highlight w:val="none"/>
        </w:rPr>
      </w:pPr>
      <w:r>
        <w:rPr>
          <w:rFonts w:hint="eastAsia" w:ascii="宋体" w:hAnsi="宋体" w:eastAsia="宋体" w:cs="宋体"/>
          <w:b/>
          <w:color w:val="auto"/>
          <w:spacing w:val="12"/>
          <w:kern w:val="10"/>
          <w:sz w:val="24"/>
          <w:highlight w:val="none"/>
        </w:rPr>
        <w:t>第十六条</w:t>
      </w:r>
      <w:r>
        <w:rPr>
          <w:rFonts w:hint="eastAsia" w:ascii="宋体" w:hAnsi="宋体" w:eastAsia="宋体" w:cs="宋体"/>
          <w:color w:val="auto"/>
          <w:spacing w:val="12"/>
          <w:kern w:val="10"/>
          <w:sz w:val="24"/>
          <w:highlight w:val="none"/>
        </w:rPr>
        <w:t xml:space="preserve"> 实行工程总承包的，总承包单位依法将工程分包给业主同意分包的其他单位的，总承包单位应当与分包单位在分包合同中明确由分包单位实施的安全措施及分包工程安全文明措施费。</w:t>
      </w:r>
    </w:p>
    <w:p w14:paraId="6A744D47">
      <w:pPr>
        <w:spacing w:line="360" w:lineRule="auto"/>
        <w:ind w:firstLine="528" w:firstLineChars="200"/>
        <w:rPr>
          <w:rFonts w:hint="eastAsia" w:ascii="宋体" w:hAnsi="宋体" w:eastAsia="宋体" w:cs="宋体"/>
          <w:color w:val="auto"/>
          <w:spacing w:val="12"/>
          <w:kern w:val="10"/>
          <w:sz w:val="24"/>
          <w:highlight w:val="none"/>
        </w:rPr>
      </w:pPr>
      <w:r>
        <w:rPr>
          <w:rFonts w:hint="eastAsia" w:ascii="宋体" w:hAnsi="宋体" w:eastAsia="宋体" w:cs="宋体"/>
          <w:color w:val="auto"/>
          <w:spacing w:val="12"/>
          <w:kern w:val="10"/>
          <w:sz w:val="24"/>
          <w:highlight w:val="none"/>
        </w:rPr>
        <w:t>若总承包单位未在分包合同中明确由分包单位实施的安全措施及分包工程安全文明措施费的，由该分包单位开具的一切票据将不作为总承包单位安全文明措施费的计量结算依据。</w:t>
      </w:r>
    </w:p>
    <w:p w14:paraId="34B21C34">
      <w:pPr>
        <w:spacing w:line="360" w:lineRule="auto"/>
        <w:jc w:val="center"/>
        <w:rPr>
          <w:rFonts w:hint="eastAsia" w:ascii="宋体" w:hAnsi="宋体" w:eastAsia="宋体" w:cs="宋体"/>
          <w:b/>
          <w:color w:val="auto"/>
          <w:spacing w:val="12"/>
          <w:kern w:val="10"/>
          <w:sz w:val="32"/>
          <w:szCs w:val="32"/>
          <w:highlight w:val="none"/>
        </w:rPr>
      </w:pPr>
      <w:r>
        <w:rPr>
          <w:rFonts w:hint="eastAsia" w:ascii="宋体" w:hAnsi="宋体" w:eastAsia="宋体" w:cs="宋体"/>
          <w:b/>
          <w:color w:val="auto"/>
          <w:spacing w:val="12"/>
          <w:kern w:val="10"/>
          <w:sz w:val="32"/>
          <w:szCs w:val="32"/>
          <w:highlight w:val="none"/>
        </w:rPr>
        <w:t>第四章 安全文明措施费的监督管理</w:t>
      </w:r>
    </w:p>
    <w:p w14:paraId="33EE2D17">
      <w:pPr>
        <w:spacing w:line="360" w:lineRule="auto"/>
        <w:ind w:firstLine="530" w:firstLineChars="200"/>
        <w:rPr>
          <w:rFonts w:hint="eastAsia" w:ascii="宋体" w:hAnsi="宋体" w:eastAsia="宋体" w:cs="宋体"/>
          <w:color w:val="auto"/>
          <w:spacing w:val="12"/>
          <w:kern w:val="10"/>
          <w:sz w:val="24"/>
          <w:highlight w:val="none"/>
        </w:rPr>
      </w:pPr>
      <w:r>
        <w:rPr>
          <w:rFonts w:hint="eastAsia" w:ascii="宋体" w:hAnsi="宋体" w:eastAsia="宋体" w:cs="宋体"/>
          <w:b/>
          <w:color w:val="auto"/>
          <w:spacing w:val="12"/>
          <w:kern w:val="10"/>
          <w:sz w:val="24"/>
          <w:highlight w:val="none"/>
        </w:rPr>
        <w:t xml:space="preserve">第十七条 </w:t>
      </w:r>
      <w:r>
        <w:rPr>
          <w:rFonts w:hint="eastAsia" w:ascii="宋体" w:hAnsi="宋体" w:eastAsia="宋体" w:cs="宋体"/>
          <w:color w:val="auto"/>
          <w:spacing w:val="12"/>
          <w:kern w:val="10"/>
          <w:sz w:val="24"/>
          <w:highlight w:val="none"/>
        </w:rPr>
        <w:t>建设单位、监理单位应依据现行的标准、规范定期对工程项目施工现场安全生产情况进行检查评价，对于评价结果不合格的，施工单位应无条件增加不合格项的安全整改投入，施工单位不整改或整改不到位，不予认可处理不合格项发生的费用。</w:t>
      </w:r>
    </w:p>
    <w:p w14:paraId="5C0DBEC4">
      <w:pPr>
        <w:spacing w:line="360" w:lineRule="auto"/>
        <w:ind w:firstLine="530" w:firstLineChars="200"/>
        <w:rPr>
          <w:rFonts w:hint="eastAsia" w:ascii="宋体" w:hAnsi="宋体" w:eastAsia="宋体" w:cs="宋体"/>
          <w:color w:val="auto"/>
          <w:spacing w:val="12"/>
          <w:kern w:val="10"/>
          <w:sz w:val="24"/>
          <w:highlight w:val="none"/>
        </w:rPr>
      </w:pPr>
      <w:r>
        <w:rPr>
          <w:rFonts w:hint="eastAsia" w:ascii="宋体" w:hAnsi="宋体" w:eastAsia="宋体" w:cs="宋体"/>
          <w:b/>
          <w:color w:val="auto"/>
          <w:spacing w:val="12"/>
          <w:kern w:val="10"/>
          <w:sz w:val="24"/>
          <w:highlight w:val="none"/>
        </w:rPr>
        <w:t xml:space="preserve">第十八条 </w:t>
      </w:r>
      <w:r>
        <w:rPr>
          <w:rFonts w:hint="eastAsia" w:ascii="宋体" w:hAnsi="宋体" w:eastAsia="宋体" w:cs="宋体"/>
          <w:color w:val="auto"/>
          <w:spacing w:val="12"/>
          <w:kern w:val="10"/>
          <w:sz w:val="24"/>
          <w:highlight w:val="none"/>
        </w:rPr>
        <w:t>安全文明措施费专款专用管理作为施工单位竣工结算的必要条件。在办理竣工结算前，施工单位必须将已支付的安全文明措施费使用依据足额提交建设单位审核合格，否则将视为挤占挪用安全文明措施费，情节严重的将不予办理竣工结算。</w:t>
      </w:r>
    </w:p>
    <w:p w14:paraId="0B239F88">
      <w:pPr>
        <w:spacing w:line="360" w:lineRule="auto"/>
        <w:ind w:firstLine="530" w:firstLineChars="200"/>
        <w:rPr>
          <w:rFonts w:hint="eastAsia" w:ascii="宋体" w:hAnsi="宋体" w:eastAsia="宋体" w:cs="宋体"/>
          <w:color w:val="auto"/>
          <w:spacing w:val="12"/>
          <w:kern w:val="10"/>
          <w:sz w:val="24"/>
          <w:highlight w:val="none"/>
        </w:rPr>
      </w:pPr>
      <w:r>
        <w:rPr>
          <w:rFonts w:hint="eastAsia" w:ascii="宋体" w:hAnsi="宋体" w:eastAsia="宋体" w:cs="宋体"/>
          <w:b/>
          <w:color w:val="auto"/>
          <w:spacing w:val="12"/>
          <w:kern w:val="10"/>
          <w:sz w:val="24"/>
          <w:highlight w:val="none"/>
        </w:rPr>
        <w:t>第十九条</w:t>
      </w:r>
      <w:r>
        <w:rPr>
          <w:rFonts w:hint="eastAsia" w:ascii="宋体" w:hAnsi="宋体" w:eastAsia="宋体" w:cs="宋体"/>
          <w:color w:val="auto"/>
          <w:spacing w:val="12"/>
          <w:kern w:val="10"/>
          <w:sz w:val="24"/>
          <w:highlight w:val="none"/>
        </w:rPr>
        <w:t xml:space="preserve"> 对于不用或滥用安全文明措施费，未建立安全文明措施费管理制度或管理混乱的施工单位，按照《服务供应商不规范行为管理办法》，发出“项目监管函”处理；对安全文明措施费管理问题整改不力或屡教不改的单位，按照《服务供应商不规范行为管理办法》，建设单位有权约谈该单位法定代表人。</w:t>
      </w:r>
    </w:p>
    <w:p w14:paraId="488FF308">
      <w:pPr>
        <w:spacing w:line="360" w:lineRule="auto"/>
        <w:ind w:firstLine="530" w:firstLineChars="200"/>
        <w:rPr>
          <w:rFonts w:hint="eastAsia" w:ascii="宋体" w:hAnsi="宋体" w:eastAsia="宋体" w:cs="宋体"/>
          <w:color w:val="auto"/>
          <w:spacing w:val="12"/>
          <w:kern w:val="10"/>
          <w:sz w:val="24"/>
          <w:highlight w:val="none"/>
        </w:rPr>
      </w:pPr>
      <w:r>
        <w:rPr>
          <w:rFonts w:hint="eastAsia" w:ascii="宋体" w:hAnsi="宋体" w:eastAsia="宋体" w:cs="宋体"/>
          <w:b/>
          <w:color w:val="auto"/>
          <w:spacing w:val="12"/>
          <w:kern w:val="10"/>
          <w:sz w:val="24"/>
          <w:highlight w:val="none"/>
        </w:rPr>
        <w:t>第二十条</w:t>
      </w:r>
      <w:r>
        <w:rPr>
          <w:rFonts w:hint="eastAsia" w:ascii="宋体" w:hAnsi="宋体" w:eastAsia="宋体" w:cs="宋体"/>
          <w:color w:val="auto"/>
          <w:spacing w:val="12"/>
          <w:kern w:val="10"/>
          <w:sz w:val="24"/>
          <w:highlight w:val="none"/>
        </w:rPr>
        <w:t xml:space="preserve"> 施工单位未将安全文明措施费正确投入到安全工作中，或安全文明措施费不足时，未按照本办法第五、六条之规定及时列支、投入，对施工单位挤占挪用“安全文明措施费”的部分，施工单位必须在建设单位规定的限期内补齐并落实不合格项的整改，否则建设单位有权对施工单位扣罚挤占挪用部分金额的违约金。若施工单位拒绝整改、或敷衍应付，建设单位有权安排其它单位对建设项目安全工作进行完善，由此引起的费用由相关责任单位承担。</w:t>
      </w:r>
    </w:p>
    <w:p w14:paraId="743B1992">
      <w:pPr>
        <w:spacing w:line="360" w:lineRule="auto"/>
        <w:ind w:firstLine="530" w:firstLineChars="200"/>
        <w:rPr>
          <w:rFonts w:hint="eastAsia" w:ascii="宋体" w:hAnsi="宋体" w:eastAsia="宋体" w:cs="宋体"/>
          <w:color w:val="auto"/>
          <w:spacing w:val="12"/>
          <w:kern w:val="10"/>
          <w:sz w:val="24"/>
          <w:highlight w:val="none"/>
        </w:rPr>
      </w:pPr>
      <w:r>
        <w:rPr>
          <w:rFonts w:hint="eastAsia" w:ascii="宋体" w:hAnsi="宋体" w:eastAsia="宋体" w:cs="宋体"/>
          <w:b/>
          <w:color w:val="auto"/>
          <w:spacing w:val="12"/>
          <w:kern w:val="10"/>
          <w:sz w:val="24"/>
          <w:highlight w:val="none"/>
        </w:rPr>
        <w:t xml:space="preserve">第二十一条 </w:t>
      </w:r>
      <w:r>
        <w:rPr>
          <w:rFonts w:hint="eastAsia" w:ascii="宋体" w:hAnsi="宋体" w:eastAsia="宋体" w:cs="宋体"/>
          <w:color w:val="auto"/>
          <w:spacing w:val="12"/>
          <w:kern w:val="10"/>
          <w:sz w:val="24"/>
          <w:highlight w:val="none"/>
        </w:rPr>
        <w:t>监理单位应当对施工单位安全文明措施费落实情况实施监理。监理单位发现施工单位在施工现场存在安全隐患、未落实安全文明措施费的，有权要求其改正，施工单位拒不改正的，监理单位应当及时向建设单位报告，必要时依法责令其暂停施工。</w:t>
      </w:r>
    </w:p>
    <w:p w14:paraId="323FF681">
      <w:pPr>
        <w:spacing w:line="360" w:lineRule="auto"/>
        <w:ind w:firstLine="528" w:firstLineChars="200"/>
        <w:rPr>
          <w:rFonts w:hint="eastAsia" w:ascii="宋体" w:hAnsi="宋体" w:eastAsia="宋体" w:cs="宋体"/>
          <w:color w:val="auto"/>
          <w:spacing w:val="12"/>
          <w:kern w:val="10"/>
          <w:sz w:val="24"/>
          <w:highlight w:val="none"/>
        </w:rPr>
      </w:pPr>
      <w:r>
        <w:rPr>
          <w:rFonts w:hint="eastAsia" w:ascii="宋体" w:hAnsi="宋体" w:eastAsia="宋体" w:cs="宋体"/>
          <w:color w:val="auto"/>
          <w:spacing w:val="12"/>
          <w:kern w:val="10"/>
          <w:sz w:val="24"/>
          <w:highlight w:val="none"/>
        </w:rPr>
        <w:t>建设单位按照《服务供应商不规范行为管理办法》对未履行安全文明措施费监理职责的监理单位作出处罚。</w:t>
      </w:r>
    </w:p>
    <w:p w14:paraId="20F86A80">
      <w:pPr>
        <w:spacing w:line="360" w:lineRule="auto"/>
        <w:ind w:firstLine="530" w:firstLineChars="200"/>
        <w:rPr>
          <w:rFonts w:hint="eastAsia" w:ascii="宋体" w:hAnsi="宋体" w:eastAsia="宋体" w:cs="宋体"/>
          <w:color w:val="auto"/>
          <w:spacing w:val="12"/>
          <w:kern w:val="10"/>
          <w:sz w:val="24"/>
          <w:highlight w:val="none"/>
        </w:rPr>
      </w:pPr>
      <w:r>
        <w:rPr>
          <w:rFonts w:hint="eastAsia" w:ascii="宋体" w:hAnsi="宋体" w:eastAsia="宋体" w:cs="宋体"/>
          <w:b/>
          <w:color w:val="auto"/>
          <w:spacing w:val="12"/>
          <w:kern w:val="10"/>
          <w:sz w:val="24"/>
          <w:highlight w:val="none"/>
        </w:rPr>
        <w:t xml:space="preserve">第二十二条 </w:t>
      </w:r>
      <w:r>
        <w:rPr>
          <w:rFonts w:hint="eastAsia" w:ascii="宋体" w:hAnsi="宋体" w:eastAsia="宋体" w:cs="宋体"/>
          <w:color w:val="auto"/>
          <w:spacing w:val="12"/>
          <w:kern w:val="10"/>
          <w:sz w:val="24"/>
          <w:highlight w:val="none"/>
        </w:rPr>
        <w:t>施工单位、监理单位均需执行本办法使用、管理安全文明措施费，按时提报使用计划，按计划开展工作。</w:t>
      </w:r>
    </w:p>
    <w:p w14:paraId="79C82EF8">
      <w:pPr>
        <w:spacing w:line="360" w:lineRule="auto"/>
        <w:jc w:val="center"/>
        <w:rPr>
          <w:rFonts w:hint="eastAsia" w:ascii="宋体" w:hAnsi="宋体" w:eastAsia="宋体" w:cs="宋体"/>
          <w:b/>
          <w:color w:val="auto"/>
          <w:spacing w:val="12"/>
          <w:kern w:val="10"/>
          <w:sz w:val="32"/>
          <w:szCs w:val="32"/>
          <w:highlight w:val="none"/>
        </w:rPr>
      </w:pPr>
      <w:r>
        <w:rPr>
          <w:rFonts w:hint="eastAsia" w:ascii="宋体" w:hAnsi="宋体" w:eastAsia="宋体" w:cs="宋体"/>
          <w:b/>
          <w:color w:val="auto"/>
          <w:spacing w:val="12"/>
          <w:kern w:val="10"/>
          <w:sz w:val="32"/>
          <w:szCs w:val="32"/>
          <w:highlight w:val="none"/>
        </w:rPr>
        <w:t>第五章 附则</w:t>
      </w:r>
    </w:p>
    <w:p w14:paraId="4BA7BB04">
      <w:pPr>
        <w:spacing w:line="360" w:lineRule="auto"/>
        <w:ind w:firstLine="530" w:firstLineChars="200"/>
        <w:jc w:val="left"/>
        <w:rPr>
          <w:rFonts w:hint="eastAsia" w:ascii="宋体" w:hAnsi="宋体" w:eastAsia="宋体" w:cs="宋体"/>
          <w:color w:val="auto"/>
          <w:spacing w:val="12"/>
          <w:kern w:val="10"/>
          <w:sz w:val="24"/>
          <w:highlight w:val="none"/>
        </w:rPr>
      </w:pPr>
      <w:r>
        <w:rPr>
          <w:rFonts w:hint="eastAsia" w:ascii="宋体" w:hAnsi="宋体" w:eastAsia="宋体" w:cs="宋体"/>
          <w:b/>
          <w:color w:val="auto"/>
          <w:spacing w:val="12"/>
          <w:kern w:val="10"/>
          <w:sz w:val="24"/>
          <w:highlight w:val="none"/>
        </w:rPr>
        <w:t xml:space="preserve">第二十三条 </w:t>
      </w:r>
      <w:r>
        <w:rPr>
          <w:rFonts w:hint="eastAsia" w:ascii="宋体" w:hAnsi="宋体" w:eastAsia="宋体" w:cs="宋体"/>
          <w:color w:val="auto"/>
          <w:spacing w:val="12"/>
          <w:kern w:val="10"/>
          <w:sz w:val="24"/>
          <w:highlight w:val="none"/>
        </w:rPr>
        <w:t>本办法由</w:t>
      </w:r>
      <w:r>
        <w:rPr>
          <w:rFonts w:hint="eastAsia" w:ascii="宋体" w:hAnsi="宋体" w:eastAsia="宋体" w:cs="宋体"/>
          <w:color w:val="auto"/>
          <w:spacing w:val="12"/>
          <w:kern w:val="10"/>
          <w:sz w:val="24"/>
          <w:highlight w:val="none"/>
          <w:lang w:eastAsia="zh-CN"/>
        </w:rPr>
        <w:t>广州市番禺区石碁镇桥山村股份合作经济社</w:t>
      </w:r>
      <w:r>
        <w:rPr>
          <w:rFonts w:hint="eastAsia" w:ascii="宋体" w:hAnsi="宋体" w:eastAsia="宋体" w:cs="宋体"/>
          <w:color w:val="auto"/>
          <w:spacing w:val="12"/>
          <w:kern w:val="10"/>
          <w:sz w:val="24"/>
          <w:highlight w:val="none"/>
        </w:rPr>
        <w:t>负责解释，自2020年9月8日起实施。</w:t>
      </w:r>
    </w:p>
    <w:p w14:paraId="052EA427">
      <w:pPr>
        <w:jc w:val="left"/>
        <w:rPr>
          <w:rFonts w:hint="eastAsia" w:ascii="宋体" w:hAnsi="宋体" w:eastAsia="宋体" w:cs="宋体"/>
          <w:b/>
          <w:bCs/>
          <w:color w:val="auto"/>
          <w:sz w:val="28"/>
          <w:szCs w:val="28"/>
          <w:highlight w:val="none"/>
        </w:rPr>
      </w:pPr>
    </w:p>
    <w:p w14:paraId="74056CDF">
      <w:pPr>
        <w:jc w:val="left"/>
        <w:rPr>
          <w:rFonts w:hint="eastAsia" w:ascii="宋体" w:hAnsi="宋体" w:eastAsia="宋体" w:cs="宋体"/>
          <w:b/>
          <w:bCs/>
          <w:color w:val="auto"/>
          <w:sz w:val="28"/>
          <w:szCs w:val="28"/>
          <w:highlight w:val="none"/>
        </w:rPr>
      </w:pPr>
    </w:p>
    <w:p w14:paraId="62F2A7AF">
      <w:pPr>
        <w:jc w:val="left"/>
        <w:rPr>
          <w:rFonts w:hint="eastAsia" w:ascii="宋体" w:hAnsi="宋体" w:eastAsia="宋体" w:cs="宋体"/>
          <w:b/>
          <w:bCs/>
          <w:color w:val="auto"/>
          <w:sz w:val="28"/>
          <w:szCs w:val="28"/>
          <w:highlight w:val="none"/>
        </w:rPr>
      </w:pPr>
    </w:p>
    <w:p w14:paraId="1E03AD6B">
      <w:pPr>
        <w:jc w:val="left"/>
        <w:rPr>
          <w:rFonts w:hint="eastAsia" w:ascii="宋体" w:hAnsi="宋体" w:eastAsia="宋体" w:cs="宋体"/>
          <w:b/>
          <w:bCs/>
          <w:color w:val="auto"/>
          <w:sz w:val="28"/>
          <w:szCs w:val="28"/>
          <w:highlight w:val="none"/>
        </w:rPr>
      </w:pPr>
    </w:p>
    <w:p w14:paraId="69F56893">
      <w:pPr>
        <w:jc w:val="left"/>
        <w:rPr>
          <w:rFonts w:hint="eastAsia" w:ascii="宋体" w:hAnsi="宋体" w:eastAsia="宋体" w:cs="宋体"/>
          <w:b/>
          <w:bCs/>
          <w:color w:val="auto"/>
          <w:sz w:val="28"/>
          <w:szCs w:val="28"/>
          <w:highlight w:val="none"/>
        </w:rPr>
      </w:pPr>
    </w:p>
    <w:p w14:paraId="16E4B112">
      <w:pPr>
        <w:jc w:val="left"/>
        <w:rPr>
          <w:rFonts w:hint="eastAsia" w:ascii="宋体" w:hAnsi="宋体" w:eastAsia="宋体" w:cs="宋体"/>
          <w:b/>
          <w:bCs/>
          <w:color w:val="auto"/>
          <w:sz w:val="28"/>
          <w:szCs w:val="28"/>
          <w:highlight w:val="none"/>
        </w:rPr>
      </w:pPr>
    </w:p>
    <w:p w14:paraId="08AA1581">
      <w:pPr>
        <w:jc w:val="left"/>
        <w:rPr>
          <w:rFonts w:hint="eastAsia" w:ascii="宋体" w:hAnsi="宋体" w:eastAsia="宋体" w:cs="宋体"/>
          <w:b/>
          <w:bCs/>
          <w:color w:val="auto"/>
          <w:sz w:val="28"/>
          <w:szCs w:val="28"/>
          <w:highlight w:val="none"/>
        </w:rPr>
      </w:pPr>
    </w:p>
    <w:p w14:paraId="027D09B2">
      <w:pPr>
        <w:jc w:val="left"/>
        <w:rPr>
          <w:rFonts w:hint="eastAsia" w:ascii="宋体" w:hAnsi="宋体" w:eastAsia="宋体" w:cs="宋体"/>
          <w:b/>
          <w:bCs/>
          <w:color w:val="auto"/>
          <w:sz w:val="28"/>
          <w:szCs w:val="28"/>
          <w:highlight w:val="none"/>
        </w:rPr>
      </w:pPr>
    </w:p>
    <w:p w14:paraId="685B6002">
      <w:pPr>
        <w:jc w:val="left"/>
        <w:rPr>
          <w:rFonts w:hint="eastAsia" w:ascii="宋体" w:hAnsi="宋体" w:eastAsia="宋体" w:cs="宋体"/>
          <w:b/>
          <w:bCs/>
          <w:color w:val="auto"/>
          <w:sz w:val="28"/>
          <w:szCs w:val="28"/>
          <w:highlight w:val="none"/>
        </w:rPr>
      </w:pPr>
    </w:p>
    <w:p w14:paraId="72960C71">
      <w:pPr>
        <w:jc w:val="left"/>
        <w:rPr>
          <w:rFonts w:hint="eastAsia" w:ascii="宋体" w:hAnsi="宋体" w:eastAsia="宋体" w:cs="宋体"/>
          <w:b/>
          <w:bCs/>
          <w:color w:val="auto"/>
          <w:sz w:val="28"/>
          <w:szCs w:val="28"/>
          <w:highlight w:val="none"/>
        </w:rPr>
      </w:pPr>
    </w:p>
    <w:p w14:paraId="185C74F5">
      <w:pPr>
        <w:jc w:val="left"/>
        <w:rPr>
          <w:rFonts w:hint="eastAsia" w:ascii="宋体" w:hAnsi="宋体" w:eastAsia="宋体" w:cs="宋体"/>
          <w:b/>
          <w:bCs/>
          <w:color w:val="auto"/>
          <w:sz w:val="28"/>
          <w:szCs w:val="28"/>
          <w:highlight w:val="none"/>
        </w:rPr>
      </w:pPr>
    </w:p>
    <w:p w14:paraId="64E0AF7B">
      <w:pPr>
        <w:jc w:val="left"/>
        <w:rPr>
          <w:rFonts w:hint="eastAsia" w:ascii="宋体" w:hAnsi="宋体" w:eastAsia="宋体" w:cs="宋体"/>
          <w:b/>
          <w:bCs/>
          <w:color w:val="auto"/>
          <w:sz w:val="28"/>
          <w:szCs w:val="28"/>
          <w:highlight w:val="none"/>
        </w:rPr>
      </w:pPr>
    </w:p>
    <w:p w14:paraId="64B3A9E3">
      <w:pPr>
        <w:pStyle w:val="6"/>
        <w:rPr>
          <w:rFonts w:hint="eastAsia" w:ascii="宋体" w:hAnsi="宋体" w:eastAsia="宋体" w:cs="宋体"/>
          <w:color w:val="auto"/>
          <w:highlight w:val="none"/>
        </w:rPr>
      </w:pPr>
    </w:p>
    <w:p w14:paraId="6FE675A4">
      <w:pPr>
        <w:pStyle w:val="6"/>
        <w:rPr>
          <w:rFonts w:hint="eastAsia" w:ascii="宋体" w:hAnsi="宋体" w:eastAsia="宋体" w:cs="宋体"/>
          <w:color w:val="auto"/>
          <w:highlight w:val="none"/>
        </w:rPr>
      </w:pPr>
    </w:p>
    <w:p w14:paraId="2B773FC5">
      <w:pPr>
        <w:pStyle w:val="6"/>
        <w:rPr>
          <w:rFonts w:hint="eastAsia" w:ascii="宋体" w:hAnsi="宋体" w:eastAsia="宋体" w:cs="宋体"/>
          <w:color w:val="auto"/>
          <w:highlight w:val="none"/>
        </w:rPr>
      </w:pPr>
    </w:p>
    <w:p w14:paraId="3024BD9D">
      <w:pPr>
        <w:spacing w:line="360" w:lineRule="auto"/>
        <w:rPr>
          <w:rFonts w:hint="eastAsia" w:ascii="宋体" w:hAnsi="宋体" w:eastAsia="宋体" w:cs="宋体"/>
          <w:color w:val="auto"/>
          <w:spacing w:val="12"/>
          <w:kern w:val="10"/>
          <w:sz w:val="32"/>
          <w:szCs w:val="32"/>
          <w:highlight w:val="none"/>
        </w:rPr>
      </w:pPr>
      <w:r>
        <w:rPr>
          <w:rFonts w:hint="eastAsia" w:ascii="宋体" w:hAnsi="宋体" w:eastAsia="宋体" w:cs="宋体"/>
          <w:color w:val="auto"/>
          <w:spacing w:val="12"/>
          <w:kern w:val="10"/>
          <w:sz w:val="32"/>
          <w:szCs w:val="32"/>
          <w:highlight w:val="none"/>
        </w:rPr>
        <w:t>附表1：</w:t>
      </w:r>
    </w:p>
    <w:p w14:paraId="5009113E">
      <w:pPr>
        <w:spacing w:line="360" w:lineRule="auto"/>
        <w:rPr>
          <w:rFonts w:hint="eastAsia" w:ascii="宋体" w:hAnsi="宋体" w:eastAsia="宋体" w:cs="宋体"/>
          <w:b/>
          <w:color w:val="auto"/>
          <w:spacing w:val="12"/>
          <w:kern w:val="10"/>
          <w:sz w:val="32"/>
          <w:szCs w:val="32"/>
          <w:highlight w:val="none"/>
        </w:rPr>
      </w:pPr>
      <w:r>
        <w:rPr>
          <w:rFonts w:hint="eastAsia" w:ascii="宋体" w:hAnsi="宋体" w:eastAsia="宋体" w:cs="宋体"/>
          <w:b/>
          <w:color w:val="auto"/>
          <w:spacing w:val="12"/>
          <w:kern w:val="10"/>
          <w:sz w:val="32"/>
          <w:szCs w:val="32"/>
          <w:highlight w:val="none"/>
        </w:rPr>
        <w:t>安全文明施工费用使用范围：</w:t>
      </w:r>
    </w:p>
    <w:p w14:paraId="25042E90">
      <w:pPr>
        <w:spacing w:line="360" w:lineRule="auto"/>
        <w:ind w:firstLine="528" w:firstLineChars="200"/>
        <w:rPr>
          <w:rFonts w:hint="eastAsia" w:ascii="宋体" w:hAnsi="宋体" w:eastAsia="宋体" w:cs="宋体"/>
          <w:color w:val="auto"/>
          <w:spacing w:val="12"/>
          <w:kern w:val="10"/>
          <w:sz w:val="24"/>
          <w:highlight w:val="none"/>
        </w:rPr>
      </w:pPr>
      <w:r>
        <w:rPr>
          <w:rFonts w:hint="eastAsia" w:ascii="宋体" w:hAnsi="宋体" w:eastAsia="宋体" w:cs="宋体"/>
          <w:color w:val="auto"/>
          <w:spacing w:val="12"/>
          <w:kern w:val="10"/>
          <w:sz w:val="24"/>
          <w:highlight w:val="none"/>
        </w:rPr>
        <w:t>（一）完善、改造和维护安全防护设施设备支出（不含“三同时”要求初期投入的安全设施），包括施工现场临时用电系统、洞口、临边、机械设备、高处作业防护、交叉作业防护、防火、防爆、防尘、防毒、防雷、防台风、防地质灾害、地下工程有害气体监测、通风、临时安全防护等设施设备支出；</w:t>
      </w:r>
    </w:p>
    <w:p w14:paraId="0EF4C608">
      <w:pPr>
        <w:spacing w:line="360" w:lineRule="auto"/>
        <w:ind w:firstLine="528" w:firstLineChars="200"/>
        <w:rPr>
          <w:rFonts w:hint="eastAsia" w:ascii="宋体" w:hAnsi="宋体" w:eastAsia="宋体" w:cs="宋体"/>
          <w:color w:val="auto"/>
          <w:spacing w:val="12"/>
          <w:kern w:val="10"/>
          <w:sz w:val="24"/>
          <w:highlight w:val="none"/>
        </w:rPr>
      </w:pPr>
      <w:r>
        <w:rPr>
          <w:rFonts w:hint="eastAsia" w:ascii="宋体" w:hAnsi="宋体" w:eastAsia="宋体" w:cs="宋体"/>
          <w:color w:val="auto"/>
          <w:spacing w:val="12"/>
          <w:kern w:val="10"/>
          <w:sz w:val="24"/>
          <w:highlight w:val="none"/>
        </w:rPr>
        <w:t>（二）配备、维护、保养应急救援器材、设备支出和应急救援队伍建设与应急演练支出；</w:t>
      </w:r>
    </w:p>
    <w:p w14:paraId="602C4519">
      <w:pPr>
        <w:spacing w:line="360" w:lineRule="auto"/>
        <w:ind w:firstLine="528" w:firstLineChars="200"/>
        <w:rPr>
          <w:rFonts w:hint="eastAsia" w:ascii="宋体" w:hAnsi="宋体" w:eastAsia="宋体" w:cs="宋体"/>
          <w:color w:val="auto"/>
          <w:spacing w:val="12"/>
          <w:kern w:val="10"/>
          <w:sz w:val="24"/>
          <w:highlight w:val="none"/>
        </w:rPr>
      </w:pPr>
      <w:r>
        <w:rPr>
          <w:rFonts w:hint="eastAsia" w:ascii="宋体" w:hAnsi="宋体" w:eastAsia="宋体" w:cs="宋体"/>
          <w:color w:val="auto"/>
          <w:spacing w:val="12"/>
          <w:kern w:val="10"/>
          <w:sz w:val="24"/>
          <w:highlight w:val="none"/>
        </w:rPr>
        <w:t>（三）开展重大危险源和事故隐患评估、监测监控和整改支出；</w:t>
      </w:r>
    </w:p>
    <w:p w14:paraId="4B45EDC7">
      <w:pPr>
        <w:spacing w:line="360" w:lineRule="auto"/>
        <w:ind w:firstLine="528" w:firstLineChars="200"/>
        <w:rPr>
          <w:rFonts w:hint="eastAsia" w:ascii="宋体" w:hAnsi="宋体" w:eastAsia="宋体" w:cs="宋体"/>
          <w:color w:val="auto"/>
          <w:spacing w:val="12"/>
          <w:kern w:val="10"/>
          <w:sz w:val="24"/>
          <w:highlight w:val="none"/>
        </w:rPr>
      </w:pPr>
      <w:r>
        <w:rPr>
          <w:rFonts w:hint="eastAsia" w:ascii="宋体" w:hAnsi="宋体" w:eastAsia="宋体" w:cs="宋体"/>
          <w:color w:val="auto"/>
          <w:spacing w:val="12"/>
          <w:kern w:val="10"/>
          <w:sz w:val="24"/>
          <w:highlight w:val="none"/>
        </w:rPr>
        <w:t>（四）安全生产检查、评价（不包括新建、改建、扩建项目安全评价）、咨询和标准化建设支出；</w:t>
      </w:r>
    </w:p>
    <w:p w14:paraId="49206221">
      <w:pPr>
        <w:spacing w:line="360" w:lineRule="auto"/>
        <w:ind w:firstLine="528" w:firstLineChars="200"/>
        <w:rPr>
          <w:rFonts w:hint="eastAsia" w:ascii="宋体" w:hAnsi="宋体" w:eastAsia="宋体" w:cs="宋体"/>
          <w:color w:val="auto"/>
          <w:spacing w:val="12"/>
          <w:kern w:val="10"/>
          <w:sz w:val="24"/>
          <w:highlight w:val="none"/>
        </w:rPr>
      </w:pPr>
      <w:r>
        <w:rPr>
          <w:rFonts w:hint="eastAsia" w:ascii="宋体" w:hAnsi="宋体" w:eastAsia="宋体" w:cs="宋体"/>
          <w:color w:val="auto"/>
          <w:spacing w:val="12"/>
          <w:kern w:val="10"/>
          <w:sz w:val="24"/>
          <w:highlight w:val="none"/>
        </w:rPr>
        <w:t>（五）配备和更新现场作业人员安全防护用品支出；</w:t>
      </w:r>
    </w:p>
    <w:p w14:paraId="4C7500BB">
      <w:pPr>
        <w:spacing w:line="360" w:lineRule="auto"/>
        <w:ind w:firstLine="528" w:firstLineChars="200"/>
        <w:rPr>
          <w:rFonts w:hint="eastAsia" w:ascii="宋体" w:hAnsi="宋体" w:eastAsia="宋体" w:cs="宋体"/>
          <w:color w:val="auto"/>
          <w:spacing w:val="12"/>
          <w:kern w:val="10"/>
          <w:sz w:val="24"/>
          <w:highlight w:val="none"/>
        </w:rPr>
      </w:pPr>
      <w:r>
        <w:rPr>
          <w:rFonts w:hint="eastAsia" w:ascii="宋体" w:hAnsi="宋体" w:eastAsia="宋体" w:cs="宋体"/>
          <w:color w:val="auto"/>
          <w:spacing w:val="12"/>
          <w:kern w:val="10"/>
          <w:sz w:val="24"/>
          <w:highlight w:val="none"/>
        </w:rPr>
        <w:t>（六）安全生产宣传、教育、培训支出；</w:t>
      </w:r>
    </w:p>
    <w:p w14:paraId="2175B2C9">
      <w:pPr>
        <w:spacing w:line="360" w:lineRule="auto"/>
        <w:ind w:firstLine="528" w:firstLineChars="200"/>
        <w:rPr>
          <w:rFonts w:hint="eastAsia" w:ascii="宋体" w:hAnsi="宋体" w:eastAsia="宋体" w:cs="宋体"/>
          <w:color w:val="auto"/>
          <w:spacing w:val="12"/>
          <w:kern w:val="10"/>
          <w:sz w:val="24"/>
          <w:highlight w:val="none"/>
        </w:rPr>
      </w:pPr>
      <w:r>
        <w:rPr>
          <w:rFonts w:hint="eastAsia" w:ascii="宋体" w:hAnsi="宋体" w:eastAsia="宋体" w:cs="宋体"/>
          <w:color w:val="auto"/>
          <w:spacing w:val="12"/>
          <w:kern w:val="10"/>
          <w:sz w:val="24"/>
          <w:highlight w:val="none"/>
        </w:rPr>
        <w:t>（七）安全生产适用的新技术、新标准、新工艺、新装备的推广应用支出；</w:t>
      </w:r>
    </w:p>
    <w:p w14:paraId="79C978B4">
      <w:pPr>
        <w:spacing w:line="360" w:lineRule="auto"/>
        <w:ind w:firstLine="528" w:firstLineChars="200"/>
        <w:rPr>
          <w:rFonts w:hint="eastAsia" w:ascii="宋体" w:hAnsi="宋体" w:eastAsia="宋体" w:cs="宋体"/>
          <w:color w:val="auto"/>
          <w:spacing w:val="12"/>
          <w:kern w:val="10"/>
          <w:sz w:val="24"/>
          <w:highlight w:val="none"/>
        </w:rPr>
      </w:pPr>
      <w:r>
        <w:rPr>
          <w:rFonts w:hint="eastAsia" w:ascii="宋体" w:hAnsi="宋体" w:eastAsia="宋体" w:cs="宋体"/>
          <w:color w:val="auto"/>
          <w:spacing w:val="12"/>
          <w:kern w:val="10"/>
          <w:sz w:val="24"/>
          <w:highlight w:val="none"/>
        </w:rPr>
        <w:t>（八）安全设施及特种设备检测检验支出；</w:t>
      </w:r>
    </w:p>
    <w:p w14:paraId="67A88736">
      <w:pPr>
        <w:spacing w:line="360" w:lineRule="auto"/>
        <w:ind w:firstLine="528" w:firstLineChars="200"/>
        <w:rPr>
          <w:rFonts w:hint="eastAsia" w:ascii="宋体" w:hAnsi="宋体" w:eastAsia="宋体" w:cs="宋体"/>
          <w:color w:val="auto"/>
          <w:spacing w:val="12"/>
          <w:kern w:val="10"/>
          <w:sz w:val="24"/>
          <w:highlight w:val="none"/>
        </w:rPr>
      </w:pPr>
      <w:r>
        <w:rPr>
          <w:rFonts w:hint="eastAsia" w:ascii="宋体" w:hAnsi="宋体" w:eastAsia="宋体" w:cs="宋体"/>
          <w:color w:val="auto"/>
          <w:spacing w:val="12"/>
          <w:kern w:val="10"/>
          <w:sz w:val="24"/>
          <w:highlight w:val="none"/>
        </w:rPr>
        <w:t>（九）安全生产责任保险支出；</w:t>
      </w:r>
    </w:p>
    <w:p w14:paraId="3267B0B9">
      <w:pPr>
        <w:spacing w:line="360" w:lineRule="auto"/>
        <w:ind w:firstLine="528" w:firstLineChars="200"/>
        <w:rPr>
          <w:rFonts w:hint="eastAsia" w:ascii="宋体" w:hAnsi="宋体" w:eastAsia="宋体" w:cs="宋体"/>
          <w:color w:val="auto"/>
          <w:spacing w:val="12"/>
          <w:kern w:val="10"/>
          <w:sz w:val="24"/>
          <w:highlight w:val="none"/>
        </w:rPr>
      </w:pPr>
      <w:r>
        <w:rPr>
          <w:rFonts w:hint="eastAsia" w:ascii="宋体" w:hAnsi="宋体" w:eastAsia="宋体" w:cs="宋体"/>
          <w:color w:val="auto"/>
          <w:spacing w:val="12"/>
          <w:kern w:val="10"/>
          <w:sz w:val="24"/>
          <w:highlight w:val="none"/>
        </w:rPr>
        <w:t>（十）法律法规及相关标准规定按安全文明施工费计取的其他项目；</w:t>
      </w:r>
    </w:p>
    <w:p w14:paraId="6AB959E9">
      <w:pPr>
        <w:spacing w:line="360" w:lineRule="auto"/>
        <w:ind w:firstLine="528" w:firstLineChars="200"/>
        <w:rPr>
          <w:rFonts w:hint="eastAsia" w:ascii="宋体" w:hAnsi="宋体" w:eastAsia="宋体" w:cs="宋体"/>
          <w:color w:val="auto"/>
          <w:spacing w:val="12"/>
          <w:kern w:val="10"/>
          <w:sz w:val="24"/>
          <w:highlight w:val="none"/>
        </w:rPr>
      </w:pPr>
      <w:r>
        <w:rPr>
          <w:rFonts w:hint="eastAsia" w:ascii="宋体" w:hAnsi="宋体" w:eastAsia="宋体" w:cs="宋体"/>
          <w:color w:val="auto"/>
          <w:spacing w:val="12"/>
          <w:kern w:val="10"/>
          <w:sz w:val="24"/>
          <w:highlight w:val="none"/>
        </w:rPr>
        <w:t>（十一）其他与绿色施工、文明施工、环境保护及安全生产直接相关的支出（含支付给分包单位的安全生产费用）。</w:t>
      </w:r>
    </w:p>
    <w:p w14:paraId="0A0987E7">
      <w:pPr>
        <w:spacing w:line="360" w:lineRule="auto"/>
        <w:rPr>
          <w:rFonts w:hint="eastAsia" w:ascii="宋体" w:hAnsi="宋体" w:eastAsia="宋体" w:cs="宋体"/>
          <w:color w:val="auto"/>
          <w:spacing w:val="12"/>
          <w:kern w:val="10"/>
          <w:sz w:val="24"/>
          <w:highlight w:val="none"/>
        </w:rPr>
      </w:pPr>
    </w:p>
    <w:p w14:paraId="61AE3C09">
      <w:pPr>
        <w:widowControl/>
        <w:jc w:val="left"/>
        <w:rPr>
          <w:rFonts w:hint="eastAsia" w:ascii="宋体" w:hAnsi="宋体" w:eastAsia="宋体" w:cs="宋体"/>
          <w:color w:val="auto"/>
          <w:spacing w:val="12"/>
          <w:kern w:val="10"/>
          <w:sz w:val="32"/>
          <w:szCs w:val="32"/>
          <w:highlight w:val="none"/>
        </w:rPr>
      </w:pPr>
    </w:p>
    <w:p w14:paraId="7ADCB2F0">
      <w:pPr>
        <w:rPr>
          <w:rFonts w:hint="eastAsia" w:ascii="宋体" w:hAnsi="宋体" w:eastAsia="宋体" w:cs="宋体"/>
          <w:color w:val="auto"/>
          <w:highlight w:val="none"/>
        </w:rPr>
        <w:sectPr>
          <w:headerReference r:id="rId7" w:type="default"/>
          <w:pgSz w:w="11906" w:h="16838"/>
          <w:pgMar w:top="1440" w:right="1418" w:bottom="1440" w:left="1418" w:header="851" w:footer="539" w:gutter="0"/>
          <w:pgNumType w:fmt="numberInDash"/>
          <w:cols w:space="720" w:num="1"/>
          <w:docGrid w:linePitch="312" w:charSpace="0"/>
        </w:sectPr>
      </w:pPr>
    </w:p>
    <w:p w14:paraId="7F5B458A">
      <w:pPr>
        <w:spacing w:line="460" w:lineRule="exact"/>
        <w:rPr>
          <w:rFonts w:hint="eastAsia" w:ascii="宋体" w:hAnsi="宋体" w:eastAsia="宋体" w:cs="宋体"/>
          <w:color w:val="auto"/>
          <w:spacing w:val="12"/>
          <w:kern w:val="10"/>
          <w:sz w:val="32"/>
          <w:szCs w:val="32"/>
          <w:highlight w:val="none"/>
        </w:rPr>
      </w:pPr>
      <w:r>
        <w:rPr>
          <w:rFonts w:hint="eastAsia" w:ascii="宋体" w:hAnsi="宋体" w:eastAsia="宋体" w:cs="宋体"/>
          <w:color w:val="auto"/>
          <w:spacing w:val="12"/>
          <w:kern w:val="10"/>
          <w:sz w:val="32"/>
          <w:szCs w:val="32"/>
          <w:highlight w:val="none"/>
        </w:rPr>
        <w:t>附表2</w:t>
      </w:r>
    </w:p>
    <w:p w14:paraId="3E3437D4">
      <w:pPr>
        <w:spacing w:line="460" w:lineRule="exact"/>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项目安全费用投入总计划</w:t>
      </w:r>
    </w:p>
    <w:p w14:paraId="16BF101C">
      <w:pPr>
        <w:spacing w:line="460" w:lineRule="exact"/>
        <w:rPr>
          <w:rFonts w:hint="eastAsia" w:ascii="宋体" w:hAnsi="宋体" w:eastAsia="宋体" w:cs="宋体"/>
          <w:color w:val="auto"/>
          <w:kern w:val="0"/>
          <w:highlight w:val="none"/>
        </w:rPr>
      </w:pPr>
      <w:r>
        <w:rPr>
          <w:rFonts w:hint="eastAsia" w:ascii="宋体" w:hAnsi="宋体" w:eastAsia="宋体" w:cs="宋体"/>
          <w:color w:val="auto"/>
          <w:kern w:val="0"/>
          <w:highlight w:val="none"/>
        </w:rPr>
        <w:t>项目名称：</w:t>
      </w:r>
    </w:p>
    <w:tbl>
      <w:tblPr>
        <w:tblStyle w:val="45"/>
        <w:tblW w:w="8926" w:type="dxa"/>
        <w:jc w:val="center"/>
        <w:tblLayout w:type="fixed"/>
        <w:tblCellMar>
          <w:top w:w="0" w:type="dxa"/>
          <w:left w:w="108" w:type="dxa"/>
          <w:bottom w:w="0" w:type="dxa"/>
          <w:right w:w="108" w:type="dxa"/>
        </w:tblCellMar>
      </w:tblPr>
      <w:tblGrid>
        <w:gridCol w:w="846"/>
        <w:gridCol w:w="2129"/>
        <w:gridCol w:w="2975"/>
        <w:gridCol w:w="708"/>
        <w:gridCol w:w="2268"/>
      </w:tblGrid>
      <w:tr w14:paraId="40D64551">
        <w:tblPrEx>
          <w:tblCellMar>
            <w:top w:w="0" w:type="dxa"/>
            <w:left w:w="108" w:type="dxa"/>
            <w:bottom w:w="0" w:type="dxa"/>
            <w:right w:w="108" w:type="dxa"/>
          </w:tblCellMar>
        </w:tblPrEx>
        <w:trPr>
          <w:trHeight w:val="46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7ACC860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序号</w:t>
            </w:r>
          </w:p>
        </w:tc>
        <w:tc>
          <w:tcPr>
            <w:tcW w:w="5812" w:type="dxa"/>
            <w:gridSpan w:val="3"/>
            <w:tcBorders>
              <w:top w:val="single" w:color="auto" w:sz="4" w:space="0"/>
              <w:left w:val="nil"/>
              <w:bottom w:val="single" w:color="auto" w:sz="4" w:space="0"/>
              <w:right w:val="single" w:color="auto" w:sz="4" w:space="0"/>
            </w:tcBorders>
            <w:vAlign w:val="center"/>
          </w:tcPr>
          <w:p w14:paraId="7F3AA40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安  全  用  款  范  围</w:t>
            </w:r>
          </w:p>
        </w:tc>
        <w:tc>
          <w:tcPr>
            <w:tcW w:w="2268" w:type="dxa"/>
            <w:tcBorders>
              <w:top w:val="single" w:color="auto" w:sz="4" w:space="0"/>
              <w:left w:val="nil"/>
              <w:bottom w:val="single" w:color="auto" w:sz="4" w:space="0"/>
              <w:right w:val="single" w:color="auto" w:sz="4" w:space="0"/>
            </w:tcBorders>
            <w:vAlign w:val="center"/>
          </w:tcPr>
          <w:p w14:paraId="3894A7A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金  额（元）</w:t>
            </w:r>
          </w:p>
        </w:tc>
      </w:tr>
      <w:tr w14:paraId="1D54D568">
        <w:tblPrEx>
          <w:tblCellMar>
            <w:top w:w="0" w:type="dxa"/>
            <w:left w:w="108" w:type="dxa"/>
            <w:bottom w:w="0" w:type="dxa"/>
            <w:right w:w="108" w:type="dxa"/>
          </w:tblCellMar>
        </w:tblPrEx>
        <w:trPr>
          <w:trHeight w:val="640" w:hRule="atLeast"/>
          <w:jc w:val="center"/>
        </w:trPr>
        <w:tc>
          <w:tcPr>
            <w:tcW w:w="846" w:type="dxa"/>
            <w:tcBorders>
              <w:top w:val="nil"/>
              <w:left w:val="single" w:color="auto" w:sz="4" w:space="0"/>
              <w:bottom w:val="single" w:color="auto" w:sz="4" w:space="0"/>
              <w:right w:val="single" w:color="auto" w:sz="4" w:space="0"/>
            </w:tcBorders>
            <w:vAlign w:val="center"/>
          </w:tcPr>
          <w:p w14:paraId="065A08A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1</w:t>
            </w:r>
          </w:p>
        </w:tc>
        <w:tc>
          <w:tcPr>
            <w:tcW w:w="5812" w:type="dxa"/>
            <w:gridSpan w:val="3"/>
            <w:tcBorders>
              <w:top w:val="nil"/>
              <w:left w:val="nil"/>
              <w:bottom w:val="single" w:color="auto" w:sz="4" w:space="0"/>
              <w:right w:val="single" w:color="auto" w:sz="4" w:space="0"/>
            </w:tcBorders>
            <w:vAlign w:val="center"/>
          </w:tcPr>
          <w:p w14:paraId="23AC7F36">
            <w:pPr>
              <w:keepNext w:val="0"/>
              <w:keepLines w:val="0"/>
              <w:widowControl/>
              <w:suppressLineNumbers w:val="0"/>
              <w:spacing w:before="0" w:beforeAutospacing="0" w:after="0" w:afterAutospacing="0"/>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完善、改造和维护安全防护设施设备支出</w:t>
            </w:r>
          </w:p>
        </w:tc>
        <w:tc>
          <w:tcPr>
            <w:tcW w:w="2268" w:type="dxa"/>
            <w:tcBorders>
              <w:top w:val="single" w:color="auto" w:sz="4" w:space="0"/>
              <w:left w:val="nil"/>
              <w:bottom w:val="single" w:color="auto" w:sz="4" w:space="0"/>
              <w:right w:val="single" w:color="auto" w:sz="4" w:space="0"/>
            </w:tcBorders>
            <w:vAlign w:val="center"/>
          </w:tcPr>
          <w:p w14:paraId="4141784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044DFDEB">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14:paraId="5FD7B59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w:t>
            </w:r>
          </w:p>
        </w:tc>
        <w:tc>
          <w:tcPr>
            <w:tcW w:w="5812" w:type="dxa"/>
            <w:gridSpan w:val="3"/>
            <w:tcBorders>
              <w:top w:val="nil"/>
              <w:left w:val="nil"/>
              <w:bottom w:val="single" w:color="auto" w:sz="4" w:space="0"/>
              <w:right w:val="single" w:color="auto" w:sz="4" w:space="0"/>
            </w:tcBorders>
            <w:vAlign w:val="center"/>
          </w:tcPr>
          <w:p w14:paraId="3B73657D">
            <w:pPr>
              <w:keepNext w:val="0"/>
              <w:keepLines w:val="0"/>
              <w:widowControl/>
              <w:suppressLineNumbers w:val="0"/>
              <w:spacing w:before="0" w:beforeAutospacing="0" w:after="0" w:afterAutospacing="0"/>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配备、维护、保养应急救援器材、设备支出和应急救援队伍建设与应急演练支出</w:t>
            </w:r>
          </w:p>
        </w:tc>
        <w:tc>
          <w:tcPr>
            <w:tcW w:w="2268" w:type="dxa"/>
            <w:tcBorders>
              <w:top w:val="single" w:color="auto" w:sz="4" w:space="0"/>
              <w:left w:val="nil"/>
              <w:bottom w:val="single" w:color="auto" w:sz="4" w:space="0"/>
              <w:right w:val="single" w:color="auto" w:sz="4" w:space="0"/>
            </w:tcBorders>
            <w:vAlign w:val="center"/>
          </w:tcPr>
          <w:p w14:paraId="3D757D8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3182FF8D">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14:paraId="79C850E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3</w:t>
            </w:r>
          </w:p>
        </w:tc>
        <w:tc>
          <w:tcPr>
            <w:tcW w:w="5812" w:type="dxa"/>
            <w:gridSpan w:val="3"/>
            <w:tcBorders>
              <w:top w:val="nil"/>
              <w:left w:val="nil"/>
              <w:bottom w:val="single" w:color="auto" w:sz="4" w:space="0"/>
              <w:right w:val="single" w:color="auto" w:sz="4" w:space="0"/>
            </w:tcBorders>
            <w:vAlign w:val="center"/>
          </w:tcPr>
          <w:p w14:paraId="6912B383">
            <w:pPr>
              <w:keepNext w:val="0"/>
              <w:keepLines w:val="0"/>
              <w:widowControl/>
              <w:suppressLineNumbers w:val="0"/>
              <w:spacing w:before="0" w:beforeAutospacing="0" w:after="0" w:afterAutospacing="0"/>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开展重大危险源和事故隐患评估、监测监控和整改支出</w:t>
            </w:r>
          </w:p>
        </w:tc>
        <w:tc>
          <w:tcPr>
            <w:tcW w:w="2268" w:type="dxa"/>
            <w:tcBorders>
              <w:top w:val="single" w:color="auto" w:sz="4" w:space="0"/>
              <w:left w:val="nil"/>
              <w:bottom w:val="single" w:color="auto" w:sz="4" w:space="0"/>
              <w:right w:val="single" w:color="auto" w:sz="4" w:space="0"/>
            </w:tcBorders>
            <w:vAlign w:val="center"/>
          </w:tcPr>
          <w:p w14:paraId="5F29865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5B522AF3">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14:paraId="7A96EB1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4</w:t>
            </w:r>
          </w:p>
        </w:tc>
        <w:tc>
          <w:tcPr>
            <w:tcW w:w="5812" w:type="dxa"/>
            <w:gridSpan w:val="3"/>
            <w:tcBorders>
              <w:top w:val="nil"/>
              <w:left w:val="nil"/>
              <w:bottom w:val="single" w:color="auto" w:sz="4" w:space="0"/>
              <w:right w:val="single" w:color="auto" w:sz="4" w:space="0"/>
            </w:tcBorders>
            <w:vAlign w:val="center"/>
          </w:tcPr>
          <w:p w14:paraId="285D48B4">
            <w:pPr>
              <w:keepNext w:val="0"/>
              <w:keepLines w:val="0"/>
              <w:widowControl/>
              <w:suppressLineNumbers w:val="0"/>
              <w:spacing w:before="0" w:beforeAutospacing="0" w:after="0" w:afterAutospacing="0"/>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安全生产检查、评价（不包括新建、改建、扩建项目安全评价）、咨询和标准化建设支出</w:t>
            </w:r>
          </w:p>
        </w:tc>
        <w:tc>
          <w:tcPr>
            <w:tcW w:w="2268" w:type="dxa"/>
            <w:tcBorders>
              <w:top w:val="single" w:color="auto" w:sz="4" w:space="0"/>
              <w:left w:val="nil"/>
              <w:bottom w:val="single" w:color="auto" w:sz="4" w:space="0"/>
              <w:right w:val="single" w:color="auto" w:sz="4" w:space="0"/>
            </w:tcBorders>
            <w:vAlign w:val="center"/>
          </w:tcPr>
          <w:p w14:paraId="74118F2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2CB09C35">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14:paraId="05B0AB9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5</w:t>
            </w:r>
          </w:p>
        </w:tc>
        <w:tc>
          <w:tcPr>
            <w:tcW w:w="5812" w:type="dxa"/>
            <w:gridSpan w:val="3"/>
            <w:tcBorders>
              <w:top w:val="nil"/>
              <w:left w:val="nil"/>
              <w:bottom w:val="single" w:color="auto" w:sz="4" w:space="0"/>
              <w:right w:val="single" w:color="auto" w:sz="4" w:space="0"/>
            </w:tcBorders>
            <w:vAlign w:val="center"/>
          </w:tcPr>
          <w:p w14:paraId="72DD4870">
            <w:pPr>
              <w:keepNext w:val="0"/>
              <w:keepLines w:val="0"/>
              <w:widowControl/>
              <w:suppressLineNumbers w:val="0"/>
              <w:spacing w:before="0" w:beforeAutospacing="0" w:after="0" w:afterAutospacing="0"/>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配备和更新现场作业人员安全防护用品支出</w:t>
            </w:r>
          </w:p>
        </w:tc>
        <w:tc>
          <w:tcPr>
            <w:tcW w:w="2268" w:type="dxa"/>
            <w:tcBorders>
              <w:top w:val="single" w:color="auto" w:sz="4" w:space="0"/>
              <w:left w:val="nil"/>
              <w:bottom w:val="single" w:color="auto" w:sz="4" w:space="0"/>
              <w:right w:val="single" w:color="auto" w:sz="4" w:space="0"/>
            </w:tcBorders>
            <w:vAlign w:val="center"/>
          </w:tcPr>
          <w:p w14:paraId="3B01B98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0C0A863B">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14:paraId="5F02853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6</w:t>
            </w:r>
          </w:p>
        </w:tc>
        <w:tc>
          <w:tcPr>
            <w:tcW w:w="5812" w:type="dxa"/>
            <w:gridSpan w:val="3"/>
            <w:tcBorders>
              <w:top w:val="nil"/>
              <w:left w:val="nil"/>
              <w:bottom w:val="single" w:color="auto" w:sz="4" w:space="0"/>
              <w:right w:val="single" w:color="auto" w:sz="4" w:space="0"/>
            </w:tcBorders>
            <w:vAlign w:val="center"/>
          </w:tcPr>
          <w:p w14:paraId="233194B3">
            <w:pPr>
              <w:keepNext w:val="0"/>
              <w:keepLines w:val="0"/>
              <w:widowControl/>
              <w:suppressLineNumbers w:val="0"/>
              <w:spacing w:before="0" w:beforeAutospacing="0" w:after="0" w:afterAutospacing="0"/>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安全生产宣传、教育、培训支出</w:t>
            </w:r>
          </w:p>
        </w:tc>
        <w:tc>
          <w:tcPr>
            <w:tcW w:w="2268" w:type="dxa"/>
            <w:tcBorders>
              <w:top w:val="single" w:color="auto" w:sz="4" w:space="0"/>
              <w:left w:val="nil"/>
              <w:bottom w:val="single" w:color="auto" w:sz="4" w:space="0"/>
              <w:right w:val="single" w:color="auto" w:sz="4" w:space="0"/>
            </w:tcBorders>
            <w:vAlign w:val="center"/>
          </w:tcPr>
          <w:p w14:paraId="746A66A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20884B7A">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14:paraId="706AE8F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7</w:t>
            </w:r>
          </w:p>
        </w:tc>
        <w:tc>
          <w:tcPr>
            <w:tcW w:w="5812" w:type="dxa"/>
            <w:gridSpan w:val="3"/>
            <w:tcBorders>
              <w:top w:val="nil"/>
              <w:left w:val="nil"/>
              <w:bottom w:val="single" w:color="auto" w:sz="4" w:space="0"/>
              <w:right w:val="single" w:color="auto" w:sz="4" w:space="0"/>
            </w:tcBorders>
            <w:vAlign w:val="center"/>
          </w:tcPr>
          <w:p w14:paraId="3451C91D">
            <w:pPr>
              <w:keepNext w:val="0"/>
              <w:keepLines w:val="0"/>
              <w:widowControl/>
              <w:suppressLineNumbers w:val="0"/>
              <w:spacing w:before="0" w:beforeAutospacing="0" w:after="0" w:afterAutospacing="0"/>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安全生产适用的新技术、新标准、新工艺、新装备的推广应用支出</w:t>
            </w:r>
          </w:p>
        </w:tc>
        <w:tc>
          <w:tcPr>
            <w:tcW w:w="2268" w:type="dxa"/>
            <w:tcBorders>
              <w:top w:val="single" w:color="auto" w:sz="4" w:space="0"/>
              <w:left w:val="nil"/>
              <w:bottom w:val="single" w:color="auto" w:sz="4" w:space="0"/>
              <w:right w:val="single" w:color="auto" w:sz="4" w:space="0"/>
            </w:tcBorders>
            <w:vAlign w:val="center"/>
          </w:tcPr>
          <w:p w14:paraId="17ABAE8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2925BB3C">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14:paraId="3EBE3D0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8</w:t>
            </w:r>
          </w:p>
        </w:tc>
        <w:tc>
          <w:tcPr>
            <w:tcW w:w="5812" w:type="dxa"/>
            <w:gridSpan w:val="3"/>
            <w:tcBorders>
              <w:top w:val="nil"/>
              <w:left w:val="nil"/>
              <w:bottom w:val="single" w:color="auto" w:sz="4" w:space="0"/>
              <w:right w:val="single" w:color="auto" w:sz="4" w:space="0"/>
            </w:tcBorders>
            <w:vAlign w:val="center"/>
          </w:tcPr>
          <w:p w14:paraId="46A8ED8B">
            <w:pPr>
              <w:keepNext w:val="0"/>
              <w:keepLines w:val="0"/>
              <w:widowControl/>
              <w:suppressLineNumbers w:val="0"/>
              <w:spacing w:before="0" w:beforeAutospacing="0" w:after="0" w:afterAutospacing="0"/>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安全设施及特种设备检测检验支出</w:t>
            </w:r>
          </w:p>
        </w:tc>
        <w:tc>
          <w:tcPr>
            <w:tcW w:w="2268" w:type="dxa"/>
            <w:tcBorders>
              <w:top w:val="single" w:color="auto" w:sz="4" w:space="0"/>
              <w:left w:val="nil"/>
              <w:bottom w:val="single" w:color="auto" w:sz="4" w:space="0"/>
              <w:right w:val="single" w:color="auto" w:sz="4" w:space="0"/>
            </w:tcBorders>
            <w:vAlign w:val="center"/>
          </w:tcPr>
          <w:p w14:paraId="2BCA1B8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3202DBBE">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14:paraId="5DF72DF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9</w:t>
            </w:r>
          </w:p>
        </w:tc>
        <w:tc>
          <w:tcPr>
            <w:tcW w:w="5812" w:type="dxa"/>
            <w:gridSpan w:val="3"/>
            <w:tcBorders>
              <w:top w:val="nil"/>
              <w:left w:val="nil"/>
              <w:bottom w:val="single" w:color="auto" w:sz="4" w:space="0"/>
              <w:right w:val="single" w:color="auto" w:sz="4" w:space="0"/>
            </w:tcBorders>
            <w:vAlign w:val="center"/>
          </w:tcPr>
          <w:p w14:paraId="148E9891">
            <w:pPr>
              <w:keepNext w:val="0"/>
              <w:keepLines w:val="0"/>
              <w:widowControl/>
              <w:suppressLineNumbers w:val="0"/>
              <w:spacing w:before="0" w:beforeAutospacing="0" w:after="0" w:afterAutospacing="0"/>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安全生产责任保险支出</w:t>
            </w:r>
          </w:p>
        </w:tc>
        <w:tc>
          <w:tcPr>
            <w:tcW w:w="2268" w:type="dxa"/>
            <w:tcBorders>
              <w:top w:val="single" w:color="auto" w:sz="4" w:space="0"/>
              <w:left w:val="nil"/>
              <w:bottom w:val="single" w:color="auto" w:sz="4" w:space="0"/>
              <w:right w:val="single" w:color="auto" w:sz="4" w:space="0"/>
            </w:tcBorders>
            <w:vAlign w:val="center"/>
          </w:tcPr>
          <w:p w14:paraId="50C3AEF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72AAC7D2">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14:paraId="7528F3F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10</w:t>
            </w:r>
          </w:p>
        </w:tc>
        <w:tc>
          <w:tcPr>
            <w:tcW w:w="5812" w:type="dxa"/>
            <w:gridSpan w:val="3"/>
            <w:tcBorders>
              <w:top w:val="nil"/>
              <w:left w:val="nil"/>
              <w:bottom w:val="single" w:color="auto" w:sz="4" w:space="0"/>
              <w:right w:val="single" w:color="auto" w:sz="4" w:space="0"/>
            </w:tcBorders>
            <w:vAlign w:val="center"/>
          </w:tcPr>
          <w:p w14:paraId="4598FDBF">
            <w:pPr>
              <w:keepNext w:val="0"/>
              <w:keepLines w:val="0"/>
              <w:widowControl/>
              <w:suppressLineNumbers w:val="0"/>
              <w:spacing w:before="0" w:beforeAutospacing="0" w:after="0" w:afterAutospacing="0"/>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法律法规及相关标准规定按安全文明施工费计取的其他项目</w:t>
            </w:r>
          </w:p>
        </w:tc>
        <w:tc>
          <w:tcPr>
            <w:tcW w:w="2268" w:type="dxa"/>
            <w:tcBorders>
              <w:top w:val="single" w:color="auto" w:sz="4" w:space="0"/>
              <w:left w:val="nil"/>
              <w:bottom w:val="single" w:color="auto" w:sz="4" w:space="0"/>
              <w:right w:val="single" w:color="auto" w:sz="4" w:space="0"/>
            </w:tcBorders>
            <w:vAlign w:val="center"/>
          </w:tcPr>
          <w:p w14:paraId="0518799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4C1ECFF9">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14:paraId="0F48C08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11</w:t>
            </w:r>
          </w:p>
        </w:tc>
        <w:tc>
          <w:tcPr>
            <w:tcW w:w="5812" w:type="dxa"/>
            <w:gridSpan w:val="3"/>
            <w:tcBorders>
              <w:top w:val="nil"/>
              <w:left w:val="nil"/>
              <w:bottom w:val="single" w:color="auto" w:sz="4" w:space="0"/>
              <w:right w:val="single" w:color="auto" w:sz="4" w:space="0"/>
            </w:tcBorders>
            <w:vAlign w:val="center"/>
          </w:tcPr>
          <w:p w14:paraId="7FE755AE">
            <w:pPr>
              <w:keepNext w:val="0"/>
              <w:keepLines w:val="0"/>
              <w:widowControl/>
              <w:suppressLineNumbers w:val="0"/>
              <w:spacing w:before="0" w:beforeAutospacing="0" w:after="0" w:afterAutospacing="0"/>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其他与绿色施工、文明施工、环境保护及安全生产直接相关的支出（含支付给分包单位的安全生产费用）</w:t>
            </w:r>
          </w:p>
        </w:tc>
        <w:tc>
          <w:tcPr>
            <w:tcW w:w="2268" w:type="dxa"/>
            <w:tcBorders>
              <w:top w:val="single" w:color="auto" w:sz="4" w:space="0"/>
              <w:left w:val="nil"/>
              <w:bottom w:val="single" w:color="auto" w:sz="4" w:space="0"/>
              <w:right w:val="single" w:color="auto" w:sz="4" w:space="0"/>
            </w:tcBorders>
            <w:vAlign w:val="center"/>
          </w:tcPr>
          <w:p w14:paraId="35F8AD1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48605E47">
        <w:tblPrEx>
          <w:tblCellMar>
            <w:top w:w="0" w:type="dxa"/>
            <w:left w:w="108" w:type="dxa"/>
            <w:bottom w:w="0" w:type="dxa"/>
            <w:right w:w="108" w:type="dxa"/>
          </w:tblCellMar>
        </w:tblPrEx>
        <w:trPr>
          <w:trHeight w:val="640" w:hRule="atLeast"/>
          <w:jc w:val="center"/>
        </w:trPr>
        <w:tc>
          <w:tcPr>
            <w:tcW w:w="6658" w:type="dxa"/>
            <w:gridSpan w:val="4"/>
            <w:tcBorders>
              <w:top w:val="single" w:color="auto" w:sz="4" w:space="0"/>
              <w:left w:val="single" w:color="auto" w:sz="4" w:space="0"/>
              <w:bottom w:val="single" w:color="auto" w:sz="4" w:space="0"/>
              <w:right w:val="single" w:color="auto" w:sz="4" w:space="0"/>
            </w:tcBorders>
            <w:vAlign w:val="center"/>
          </w:tcPr>
          <w:p w14:paraId="6401EBB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合    计：</w:t>
            </w:r>
          </w:p>
        </w:tc>
        <w:tc>
          <w:tcPr>
            <w:tcW w:w="2268" w:type="dxa"/>
            <w:tcBorders>
              <w:top w:val="single" w:color="auto" w:sz="4" w:space="0"/>
              <w:left w:val="nil"/>
              <w:bottom w:val="single" w:color="auto" w:sz="4" w:space="0"/>
              <w:right w:val="single" w:color="auto" w:sz="4" w:space="0"/>
            </w:tcBorders>
            <w:vAlign w:val="center"/>
          </w:tcPr>
          <w:p w14:paraId="7106B4A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1C112CE7">
        <w:tblPrEx>
          <w:tblCellMar>
            <w:top w:w="0" w:type="dxa"/>
            <w:left w:w="108" w:type="dxa"/>
            <w:bottom w:w="0" w:type="dxa"/>
            <w:right w:w="108" w:type="dxa"/>
          </w:tblCellMar>
        </w:tblPrEx>
        <w:trPr>
          <w:trHeight w:val="640" w:hRule="atLeast"/>
          <w:jc w:val="center"/>
        </w:trPr>
        <w:tc>
          <w:tcPr>
            <w:tcW w:w="2975" w:type="dxa"/>
            <w:gridSpan w:val="2"/>
            <w:tcBorders>
              <w:top w:val="single" w:color="auto" w:sz="4" w:space="0"/>
              <w:left w:val="single" w:color="auto" w:sz="4" w:space="0"/>
              <w:bottom w:val="single" w:color="auto" w:sz="4" w:space="0"/>
              <w:right w:val="single" w:color="auto" w:sz="4" w:space="0"/>
            </w:tcBorders>
          </w:tcPr>
          <w:p w14:paraId="0AFA7D6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rPr>
              <w:t>施工单位：</w:t>
            </w:r>
          </w:p>
          <w:p w14:paraId="2E77498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14:paraId="0BA70DE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rPr>
              <w:t>签字：</w:t>
            </w:r>
          </w:p>
          <w:p w14:paraId="5B8423D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14:paraId="6090272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highlight w:val="none"/>
              </w:rPr>
              <w:t xml:space="preserve">           年  月  日</w:t>
            </w:r>
          </w:p>
        </w:tc>
        <w:tc>
          <w:tcPr>
            <w:tcW w:w="2975" w:type="dxa"/>
            <w:tcBorders>
              <w:top w:val="single" w:color="auto" w:sz="4" w:space="0"/>
              <w:left w:val="single" w:color="auto" w:sz="4" w:space="0"/>
              <w:bottom w:val="single" w:color="auto" w:sz="4" w:space="0"/>
              <w:right w:val="single" w:color="auto" w:sz="4" w:space="0"/>
            </w:tcBorders>
          </w:tcPr>
          <w:p w14:paraId="64EBB9E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rPr>
              <w:t>监理单位：</w:t>
            </w:r>
          </w:p>
          <w:p w14:paraId="1F10F00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14:paraId="01F7F04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rPr>
              <w:t>签字：</w:t>
            </w:r>
          </w:p>
          <w:p w14:paraId="0D918B4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14:paraId="71A0D64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highlight w:val="none"/>
              </w:rPr>
              <w:t xml:space="preserve">         年  月  日</w:t>
            </w:r>
          </w:p>
        </w:tc>
        <w:tc>
          <w:tcPr>
            <w:tcW w:w="2976" w:type="dxa"/>
            <w:gridSpan w:val="2"/>
            <w:tcBorders>
              <w:top w:val="single" w:color="auto" w:sz="4" w:space="0"/>
              <w:left w:val="single" w:color="auto" w:sz="4" w:space="0"/>
              <w:bottom w:val="single" w:color="auto" w:sz="4" w:space="0"/>
              <w:right w:val="single" w:color="auto" w:sz="4" w:space="0"/>
            </w:tcBorders>
          </w:tcPr>
          <w:p w14:paraId="3244060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rPr>
              <w:t>建设单位：</w:t>
            </w:r>
          </w:p>
          <w:p w14:paraId="158784E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14:paraId="7FD9AD6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rPr>
              <w:t>签字：</w:t>
            </w:r>
          </w:p>
          <w:p w14:paraId="760DDEA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14:paraId="1160249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highlight w:val="none"/>
              </w:rPr>
              <w:t xml:space="preserve">           年  月  日</w:t>
            </w:r>
          </w:p>
        </w:tc>
      </w:tr>
    </w:tbl>
    <w:p w14:paraId="046E7097">
      <w:pPr>
        <w:widowControl/>
        <w:jc w:val="left"/>
        <w:rPr>
          <w:rFonts w:hint="eastAsia" w:ascii="宋体" w:hAnsi="宋体" w:eastAsia="宋体" w:cs="宋体"/>
          <w:color w:val="auto"/>
          <w:spacing w:val="12"/>
          <w:kern w:val="10"/>
          <w:sz w:val="32"/>
          <w:szCs w:val="32"/>
          <w:highlight w:val="none"/>
        </w:rPr>
      </w:pPr>
    </w:p>
    <w:p w14:paraId="74EB9FAC">
      <w:pPr>
        <w:rPr>
          <w:rFonts w:hint="eastAsia" w:ascii="宋体" w:hAnsi="宋体" w:eastAsia="宋体" w:cs="宋体"/>
          <w:color w:val="auto"/>
          <w:highlight w:val="none"/>
        </w:rPr>
        <w:sectPr>
          <w:pgSz w:w="11906" w:h="16838"/>
          <w:pgMar w:top="1440" w:right="1418" w:bottom="1440" w:left="1418" w:header="851" w:footer="539" w:gutter="0"/>
          <w:pgNumType w:fmt="numberInDash"/>
          <w:cols w:space="720" w:num="1"/>
          <w:docGrid w:type="lines" w:linePitch="312" w:charSpace="0"/>
        </w:sectPr>
      </w:pPr>
    </w:p>
    <w:p w14:paraId="26DA39D6">
      <w:pPr>
        <w:widowControl/>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附</w:t>
      </w:r>
      <w:r>
        <w:rPr>
          <w:rFonts w:hint="eastAsia" w:ascii="宋体" w:hAnsi="宋体" w:eastAsia="宋体" w:cs="宋体"/>
          <w:color w:val="auto"/>
          <w:spacing w:val="12"/>
          <w:kern w:val="10"/>
          <w:sz w:val="32"/>
          <w:szCs w:val="32"/>
          <w:highlight w:val="none"/>
        </w:rPr>
        <w:t>表</w:t>
      </w:r>
      <w:r>
        <w:rPr>
          <w:rFonts w:hint="eastAsia" w:ascii="宋体" w:hAnsi="宋体" w:eastAsia="宋体" w:cs="宋体"/>
          <w:color w:val="auto"/>
          <w:kern w:val="0"/>
          <w:sz w:val="32"/>
          <w:szCs w:val="32"/>
          <w:highlight w:val="none"/>
        </w:rPr>
        <w:t>3</w:t>
      </w:r>
    </w:p>
    <w:p w14:paraId="6F096957">
      <w:pPr>
        <w:widowControl/>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安全文明措施费使用计划明细表</w:t>
      </w:r>
    </w:p>
    <w:p w14:paraId="3EF9F8DA">
      <w:pPr>
        <w:widowControl/>
        <w:jc w:val="left"/>
        <w:rPr>
          <w:rFonts w:hint="eastAsia" w:ascii="宋体" w:hAnsi="宋体" w:eastAsia="宋体" w:cs="宋体"/>
          <w:color w:val="auto"/>
          <w:spacing w:val="12"/>
          <w:kern w:val="10"/>
          <w:highlight w:val="none"/>
        </w:rPr>
      </w:pPr>
      <w:r>
        <w:rPr>
          <w:rFonts w:hint="eastAsia" w:ascii="宋体" w:hAnsi="宋体" w:eastAsia="宋体" w:cs="宋体"/>
          <w:color w:val="auto"/>
          <w:kern w:val="0"/>
          <w:highlight w:val="none"/>
        </w:rPr>
        <w:t>项目名称：</w:t>
      </w:r>
    </w:p>
    <w:tbl>
      <w:tblPr>
        <w:tblStyle w:val="45"/>
        <w:tblW w:w="13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419"/>
        <w:gridCol w:w="1199"/>
        <w:gridCol w:w="159"/>
        <w:gridCol w:w="1742"/>
        <w:gridCol w:w="1559"/>
        <w:gridCol w:w="851"/>
        <w:gridCol w:w="475"/>
        <w:gridCol w:w="1084"/>
        <w:gridCol w:w="1559"/>
        <w:gridCol w:w="1985"/>
      </w:tblGrid>
      <w:tr w14:paraId="570CC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blHeader/>
          <w:jc w:val="center"/>
        </w:trPr>
        <w:tc>
          <w:tcPr>
            <w:tcW w:w="850" w:type="dxa"/>
            <w:vAlign w:val="center"/>
          </w:tcPr>
          <w:p w14:paraId="20D894F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序号</w:t>
            </w:r>
          </w:p>
        </w:tc>
        <w:tc>
          <w:tcPr>
            <w:tcW w:w="5519" w:type="dxa"/>
            <w:gridSpan w:val="4"/>
            <w:vAlign w:val="center"/>
          </w:tcPr>
          <w:p w14:paraId="5881EFC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项目（以下仅为填写范例）</w:t>
            </w:r>
          </w:p>
        </w:tc>
        <w:tc>
          <w:tcPr>
            <w:tcW w:w="1559" w:type="dxa"/>
            <w:vAlign w:val="center"/>
          </w:tcPr>
          <w:p w14:paraId="292DE3B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单价</w:t>
            </w:r>
          </w:p>
        </w:tc>
        <w:tc>
          <w:tcPr>
            <w:tcW w:w="851" w:type="dxa"/>
            <w:vAlign w:val="center"/>
          </w:tcPr>
          <w:p w14:paraId="4D085B1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数量</w:t>
            </w:r>
          </w:p>
        </w:tc>
        <w:tc>
          <w:tcPr>
            <w:tcW w:w="1559" w:type="dxa"/>
            <w:gridSpan w:val="2"/>
            <w:vAlign w:val="center"/>
          </w:tcPr>
          <w:p w14:paraId="0F711B2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总费用</w:t>
            </w:r>
          </w:p>
        </w:tc>
        <w:tc>
          <w:tcPr>
            <w:tcW w:w="1559" w:type="dxa"/>
            <w:vAlign w:val="center"/>
          </w:tcPr>
          <w:p w14:paraId="2E0BBF9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计划使用时间（阶段）</w:t>
            </w:r>
          </w:p>
        </w:tc>
        <w:tc>
          <w:tcPr>
            <w:tcW w:w="1985" w:type="dxa"/>
            <w:vAlign w:val="center"/>
          </w:tcPr>
          <w:p w14:paraId="745F9B0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备注</w:t>
            </w:r>
          </w:p>
        </w:tc>
      </w:tr>
      <w:tr w14:paraId="4B9D9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restart"/>
            <w:vAlign w:val="center"/>
          </w:tcPr>
          <w:p w14:paraId="26676C3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1</w:t>
            </w:r>
          </w:p>
        </w:tc>
        <w:tc>
          <w:tcPr>
            <w:tcW w:w="2419" w:type="dxa"/>
            <w:vMerge w:val="restart"/>
            <w:vAlign w:val="center"/>
          </w:tcPr>
          <w:p w14:paraId="5F92B49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一、完善、改造和维护安全防护设施设备支出</w:t>
            </w:r>
          </w:p>
        </w:tc>
        <w:tc>
          <w:tcPr>
            <w:tcW w:w="1199" w:type="dxa"/>
            <w:vMerge w:val="restart"/>
            <w:vAlign w:val="center"/>
          </w:tcPr>
          <w:p w14:paraId="0FE1473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安全网</w:t>
            </w:r>
          </w:p>
        </w:tc>
        <w:tc>
          <w:tcPr>
            <w:tcW w:w="1901" w:type="dxa"/>
            <w:gridSpan w:val="2"/>
            <w:vAlign w:val="center"/>
          </w:tcPr>
          <w:p w14:paraId="23EA3D5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材料费</w:t>
            </w:r>
          </w:p>
        </w:tc>
        <w:tc>
          <w:tcPr>
            <w:tcW w:w="1559" w:type="dxa"/>
            <w:vAlign w:val="center"/>
          </w:tcPr>
          <w:p w14:paraId="41B721F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51" w:type="dxa"/>
            <w:vAlign w:val="center"/>
          </w:tcPr>
          <w:p w14:paraId="2FDB2A0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gridSpan w:val="2"/>
            <w:vAlign w:val="center"/>
          </w:tcPr>
          <w:p w14:paraId="48E43A7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vAlign w:val="center"/>
          </w:tcPr>
          <w:p w14:paraId="7CB99AA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985" w:type="dxa"/>
            <w:vAlign w:val="center"/>
          </w:tcPr>
          <w:p w14:paraId="13C7D14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6F53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14:paraId="361C340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2419" w:type="dxa"/>
            <w:vMerge w:val="continue"/>
            <w:vAlign w:val="center"/>
          </w:tcPr>
          <w:p w14:paraId="11122F3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199" w:type="dxa"/>
            <w:vMerge w:val="continue"/>
            <w:vAlign w:val="center"/>
          </w:tcPr>
          <w:p w14:paraId="083EA85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901" w:type="dxa"/>
            <w:gridSpan w:val="2"/>
            <w:vAlign w:val="center"/>
          </w:tcPr>
          <w:p w14:paraId="505886B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人工费</w:t>
            </w:r>
          </w:p>
        </w:tc>
        <w:tc>
          <w:tcPr>
            <w:tcW w:w="1559" w:type="dxa"/>
            <w:vAlign w:val="center"/>
          </w:tcPr>
          <w:p w14:paraId="53E68D5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51" w:type="dxa"/>
            <w:vAlign w:val="center"/>
          </w:tcPr>
          <w:p w14:paraId="52FFF51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gridSpan w:val="2"/>
            <w:vAlign w:val="center"/>
          </w:tcPr>
          <w:p w14:paraId="704943D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vAlign w:val="center"/>
          </w:tcPr>
          <w:p w14:paraId="2505BA3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985" w:type="dxa"/>
            <w:vAlign w:val="center"/>
          </w:tcPr>
          <w:p w14:paraId="4D82378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4BF9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restart"/>
            <w:vAlign w:val="center"/>
          </w:tcPr>
          <w:p w14:paraId="1C9B225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w:t>
            </w:r>
          </w:p>
        </w:tc>
        <w:tc>
          <w:tcPr>
            <w:tcW w:w="2419" w:type="dxa"/>
            <w:vMerge w:val="continue"/>
            <w:vAlign w:val="center"/>
          </w:tcPr>
          <w:p w14:paraId="59D4F29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199" w:type="dxa"/>
            <w:vMerge w:val="restart"/>
            <w:vAlign w:val="center"/>
          </w:tcPr>
          <w:p w14:paraId="35A2DDA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临电设施</w:t>
            </w:r>
          </w:p>
        </w:tc>
        <w:tc>
          <w:tcPr>
            <w:tcW w:w="1901" w:type="dxa"/>
            <w:gridSpan w:val="2"/>
            <w:vAlign w:val="center"/>
          </w:tcPr>
          <w:p w14:paraId="3166843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电线材料费</w:t>
            </w:r>
          </w:p>
        </w:tc>
        <w:tc>
          <w:tcPr>
            <w:tcW w:w="1559" w:type="dxa"/>
            <w:vAlign w:val="center"/>
          </w:tcPr>
          <w:p w14:paraId="2F914CC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51" w:type="dxa"/>
            <w:vAlign w:val="center"/>
          </w:tcPr>
          <w:p w14:paraId="4E080C1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gridSpan w:val="2"/>
            <w:vAlign w:val="center"/>
          </w:tcPr>
          <w:p w14:paraId="6B56726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vAlign w:val="center"/>
          </w:tcPr>
          <w:p w14:paraId="28B8D54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985" w:type="dxa"/>
            <w:vAlign w:val="center"/>
          </w:tcPr>
          <w:p w14:paraId="42F0ED5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7541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14:paraId="50D0980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2419" w:type="dxa"/>
            <w:vMerge w:val="continue"/>
            <w:vAlign w:val="center"/>
          </w:tcPr>
          <w:p w14:paraId="7605B8A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199" w:type="dxa"/>
            <w:vMerge w:val="continue"/>
            <w:vAlign w:val="center"/>
          </w:tcPr>
          <w:p w14:paraId="1512690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901" w:type="dxa"/>
            <w:gridSpan w:val="2"/>
            <w:vAlign w:val="center"/>
          </w:tcPr>
          <w:p w14:paraId="5F702B0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总配电箱材料费</w:t>
            </w:r>
          </w:p>
        </w:tc>
        <w:tc>
          <w:tcPr>
            <w:tcW w:w="1559" w:type="dxa"/>
            <w:vAlign w:val="center"/>
          </w:tcPr>
          <w:p w14:paraId="276B0F5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51" w:type="dxa"/>
            <w:vAlign w:val="center"/>
          </w:tcPr>
          <w:p w14:paraId="0315BC3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gridSpan w:val="2"/>
            <w:vAlign w:val="center"/>
          </w:tcPr>
          <w:p w14:paraId="3B6CB89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vAlign w:val="center"/>
          </w:tcPr>
          <w:p w14:paraId="527C6AE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985" w:type="dxa"/>
            <w:vAlign w:val="center"/>
          </w:tcPr>
          <w:p w14:paraId="77EF94F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含箱内电器</w:t>
            </w:r>
          </w:p>
        </w:tc>
      </w:tr>
      <w:tr w14:paraId="0123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14:paraId="71D9B25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2419" w:type="dxa"/>
            <w:vMerge w:val="continue"/>
            <w:vAlign w:val="center"/>
          </w:tcPr>
          <w:p w14:paraId="52533DB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199" w:type="dxa"/>
            <w:vMerge w:val="continue"/>
            <w:vAlign w:val="center"/>
          </w:tcPr>
          <w:p w14:paraId="497EE45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901" w:type="dxa"/>
            <w:gridSpan w:val="2"/>
            <w:vAlign w:val="center"/>
          </w:tcPr>
          <w:p w14:paraId="2FDA2A5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分配电箱材料费</w:t>
            </w:r>
          </w:p>
        </w:tc>
        <w:tc>
          <w:tcPr>
            <w:tcW w:w="1559" w:type="dxa"/>
            <w:vAlign w:val="center"/>
          </w:tcPr>
          <w:p w14:paraId="44963E5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51" w:type="dxa"/>
            <w:vAlign w:val="center"/>
          </w:tcPr>
          <w:p w14:paraId="47309C5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gridSpan w:val="2"/>
            <w:vAlign w:val="center"/>
          </w:tcPr>
          <w:p w14:paraId="5D86838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vAlign w:val="center"/>
          </w:tcPr>
          <w:p w14:paraId="2951E4C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985" w:type="dxa"/>
            <w:vAlign w:val="center"/>
          </w:tcPr>
          <w:p w14:paraId="0E1DF2C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含箱内电器</w:t>
            </w:r>
          </w:p>
        </w:tc>
      </w:tr>
      <w:tr w14:paraId="5165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14:paraId="1483A30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2419" w:type="dxa"/>
            <w:vMerge w:val="continue"/>
            <w:vAlign w:val="center"/>
          </w:tcPr>
          <w:p w14:paraId="78FDD58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199" w:type="dxa"/>
            <w:vMerge w:val="continue"/>
            <w:vAlign w:val="center"/>
          </w:tcPr>
          <w:p w14:paraId="319289D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901" w:type="dxa"/>
            <w:gridSpan w:val="2"/>
            <w:vAlign w:val="center"/>
          </w:tcPr>
          <w:p w14:paraId="5120686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开关箱）材料费</w:t>
            </w:r>
          </w:p>
        </w:tc>
        <w:tc>
          <w:tcPr>
            <w:tcW w:w="1559" w:type="dxa"/>
            <w:vAlign w:val="center"/>
          </w:tcPr>
          <w:p w14:paraId="44230BE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51" w:type="dxa"/>
            <w:vAlign w:val="center"/>
          </w:tcPr>
          <w:p w14:paraId="150BB3B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gridSpan w:val="2"/>
            <w:vAlign w:val="center"/>
          </w:tcPr>
          <w:p w14:paraId="11D122E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vAlign w:val="center"/>
          </w:tcPr>
          <w:p w14:paraId="5450B42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985" w:type="dxa"/>
            <w:vAlign w:val="center"/>
          </w:tcPr>
          <w:p w14:paraId="578A7B9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含箱内电器</w:t>
            </w:r>
          </w:p>
        </w:tc>
      </w:tr>
      <w:tr w14:paraId="5180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14:paraId="7CDCF45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2419" w:type="dxa"/>
            <w:vMerge w:val="continue"/>
            <w:vAlign w:val="center"/>
          </w:tcPr>
          <w:p w14:paraId="05F4D54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199" w:type="dxa"/>
            <w:vMerge w:val="continue"/>
            <w:vAlign w:val="center"/>
          </w:tcPr>
          <w:p w14:paraId="6086B84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901" w:type="dxa"/>
            <w:gridSpan w:val="2"/>
            <w:vAlign w:val="center"/>
          </w:tcPr>
          <w:p w14:paraId="5773C61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电杆材料费</w:t>
            </w:r>
          </w:p>
        </w:tc>
        <w:tc>
          <w:tcPr>
            <w:tcW w:w="1559" w:type="dxa"/>
            <w:vAlign w:val="center"/>
          </w:tcPr>
          <w:p w14:paraId="220D298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51" w:type="dxa"/>
            <w:vAlign w:val="center"/>
          </w:tcPr>
          <w:p w14:paraId="03B6FB0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gridSpan w:val="2"/>
            <w:vAlign w:val="center"/>
          </w:tcPr>
          <w:p w14:paraId="126BC16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vAlign w:val="center"/>
          </w:tcPr>
          <w:p w14:paraId="26FAC66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985" w:type="dxa"/>
            <w:vAlign w:val="center"/>
          </w:tcPr>
          <w:p w14:paraId="10CCB94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53DA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14:paraId="1621DA4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2419" w:type="dxa"/>
            <w:vMerge w:val="continue"/>
            <w:vAlign w:val="center"/>
          </w:tcPr>
          <w:p w14:paraId="51308D0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199" w:type="dxa"/>
            <w:vMerge w:val="continue"/>
            <w:vAlign w:val="center"/>
          </w:tcPr>
          <w:p w14:paraId="77E3EA6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901" w:type="dxa"/>
            <w:gridSpan w:val="2"/>
            <w:vAlign w:val="center"/>
          </w:tcPr>
          <w:p w14:paraId="29E82F6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街码材料费</w:t>
            </w:r>
          </w:p>
        </w:tc>
        <w:tc>
          <w:tcPr>
            <w:tcW w:w="1559" w:type="dxa"/>
            <w:vAlign w:val="center"/>
          </w:tcPr>
          <w:p w14:paraId="37F82C4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51" w:type="dxa"/>
            <w:vAlign w:val="center"/>
          </w:tcPr>
          <w:p w14:paraId="3E4040E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gridSpan w:val="2"/>
            <w:vAlign w:val="center"/>
          </w:tcPr>
          <w:p w14:paraId="772C2F3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vAlign w:val="center"/>
          </w:tcPr>
          <w:p w14:paraId="4F3A2D8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985" w:type="dxa"/>
            <w:vAlign w:val="center"/>
          </w:tcPr>
          <w:p w14:paraId="7F3217D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34A4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14:paraId="7D4DC98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2419" w:type="dxa"/>
            <w:vMerge w:val="continue"/>
            <w:vAlign w:val="center"/>
          </w:tcPr>
          <w:p w14:paraId="1372AC1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199" w:type="dxa"/>
            <w:vMerge w:val="continue"/>
            <w:vAlign w:val="center"/>
          </w:tcPr>
          <w:p w14:paraId="2B04B6B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901" w:type="dxa"/>
            <w:gridSpan w:val="2"/>
            <w:vAlign w:val="center"/>
          </w:tcPr>
          <w:p w14:paraId="59D0217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配件材料费</w:t>
            </w:r>
          </w:p>
        </w:tc>
        <w:tc>
          <w:tcPr>
            <w:tcW w:w="1559" w:type="dxa"/>
            <w:vAlign w:val="center"/>
          </w:tcPr>
          <w:p w14:paraId="17B8B07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51" w:type="dxa"/>
            <w:vAlign w:val="center"/>
          </w:tcPr>
          <w:p w14:paraId="623DDA5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gridSpan w:val="2"/>
            <w:vAlign w:val="center"/>
          </w:tcPr>
          <w:p w14:paraId="0F41B14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vAlign w:val="center"/>
          </w:tcPr>
          <w:p w14:paraId="79DA68F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985" w:type="dxa"/>
            <w:vAlign w:val="center"/>
          </w:tcPr>
          <w:p w14:paraId="3777498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50B7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14:paraId="6E1E425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2419" w:type="dxa"/>
            <w:vMerge w:val="continue"/>
            <w:vAlign w:val="center"/>
          </w:tcPr>
          <w:p w14:paraId="1F9FDD7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199" w:type="dxa"/>
            <w:vMerge w:val="continue"/>
            <w:vAlign w:val="center"/>
          </w:tcPr>
          <w:p w14:paraId="3A75B47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901" w:type="dxa"/>
            <w:gridSpan w:val="2"/>
            <w:vAlign w:val="center"/>
          </w:tcPr>
          <w:p w14:paraId="2AB47FB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人工费</w:t>
            </w:r>
          </w:p>
        </w:tc>
        <w:tc>
          <w:tcPr>
            <w:tcW w:w="1559" w:type="dxa"/>
            <w:vAlign w:val="center"/>
          </w:tcPr>
          <w:p w14:paraId="6E489A2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51" w:type="dxa"/>
            <w:vAlign w:val="center"/>
          </w:tcPr>
          <w:p w14:paraId="6AAF64C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gridSpan w:val="2"/>
            <w:vAlign w:val="center"/>
          </w:tcPr>
          <w:p w14:paraId="0B90FAD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vAlign w:val="center"/>
          </w:tcPr>
          <w:p w14:paraId="3EDE6F9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985" w:type="dxa"/>
            <w:vAlign w:val="center"/>
          </w:tcPr>
          <w:p w14:paraId="04E13E2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4452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restart"/>
            <w:vAlign w:val="center"/>
          </w:tcPr>
          <w:p w14:paraId="7663986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3</w:t>
            </w:r>
          </w:p>
        </w:tc>
        <w:tc>
          <w:tcPr>
            <w:tcW w:w="2419" w:type="dxa"/>
            <w:vMerge w:val="restart"/>
            <w:vAlign w:val="center"/>
          </w:tcPr>
          <w:p w14:paraId="11E7885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二、配备、维护、保养应急救援器材、设备支出和应急救援队伍建设与应急演练支出</w:t>
            </w:r>
          </w:p>
        </w:tc>
        <w:tc>
          <w:tcPr>
            <w:tcW w:w="1199" w:type="dxa"/>
            <w:vMerge w:val="restart"/>
            <w:vAlign w:val="center"/>
          </w:tcPr>
          <w:p w14:paraId="205C914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消防设施</w:t>
            </w:r>
          </w:p>
        </w:tc>
        <w:tc>
          <w:tcPr>
            <w:tcW w:w="1901" w:type="dxa"/>
            <w:gridSpan w:val="2"/>
            <w:vAlign w:val="center"/>
          </w:tcPr>
          <w:p w14:paraId="6585410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消防箱材料费</w:t>
            </w:r>
          </w:p>
        </w:tc>
        <w:tc>
          <w:tcPr>
            <w:tcW w:w="1559" w:type="dxa"/>
            <w:vAlign w:val="center"/>
          </w:tcPr>
          <w:p w14:paraId="6B27C9C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51" w:type="dxa"/>
            <w:vAlign w:val="center"/>
          </w:tcPr>
          <w:p w14:paraId="4C21CEE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gridSpan w:val="2"/>
            <w:vAlign w:val="center"/>
          </w:tcPr>
          <w:p w14:paraId="3842F65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vAlign w:val="center"/>
          </w:tcPr>
          <w:p w14:paraId="4ED055A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985" w:type="dxa"/>
            <w:vAlign w:val="center"/>
          </w:tcPr>
          <w:p w14:paraId="4706496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7EE6E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14:paraId="752A4CE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2419" w:type="dxa"/>
            <w:vMerge w:val="continue"/>
            <w:vAlign w:val="center"/>
          </w:tcPr>
          <w:p w14:paraId="206B28E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199" w:type="dxa"/>
            <w:vMerge w:val="continue"/>
            <w:vAlign w:val="center"/>
          </w:tcPr>
          <w:p w14:paraId="5633DBF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901" w:type="dxa"/>
            <w:gridSpan w:val="2"/>
            <w:vAlign w:val="center"/>
          </w:tcPr>
          <w:p w14:paraId="66C1600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消防龙头材料费</w:t>
            </w:r>
          </w:p>
        </w:tc>
        <w:tc>
          <w:tcPr>
            <w:tcW w:w="1559" w:type="dxa"/>
            <w:vAlign w:val="center"/>
          </w:tcPr>
          <w:p w14:paraId="252FD16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51" w:type="dxa"/>
            <w:vAlign w:val="center"/>
          </w:tcPr>
          <w:p w14:paraId="15A589F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gridSpan w:val="2"/>
            <w:vAlign w:val="center"/>
          </w:tcPr>
          <w:p w14:paraId="69DB589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vAlign w:val="center"/>
          </w:tcPr>
          <w:p w14:paraId="21E4CBD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985" w:type="dxa"/>
            <w:vAlign w:val="center"/>
          </w:tcPr>
          <w:p w14:paraId="6E3DBE1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7231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14:paraId="3D94B47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2419" w:type="dxa"/>
            <w:vMerge w:val="continue"/>
            <w:vAlign w:val="center"/>
          </w:tcPr>
          <w:p w14:paraId="0740588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199" w:type="dxa"/>
            <w:vMerge w:val="continue"/>
            <w:vAlign w:val="center"/>
          </w:tcPr>
          <w:p w14:paraId="4868051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901" w:type="dxa"/>
            <w:gridSpan w:val="2"/>
            <w:vAlign w:val="center"/>
          </w:tcPr>
          <w:p w14:paraId="4CC1B86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消防水枪材料费</w:t>
            </w:r>
          </w:p>
        </w:tc>
        <w:tc>
          <w:tcPr>
            <w:tcW w:w="1559" w:type="dxa"/>
            <w:vAlign w:val="center"/>
          </w:tcPr>
          <w:p w14:paraId="56A9BB9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51" w:type="dxa"/>
            <w:vAlign w:val="center"/>
          </w:tcPr>
          <w:p w14:paraId="24C5BCB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gridSpan w:val="2"/>
            <w:vAlign w:val="center"/>
          </w:tcPr>
          <w:p w14:paraId="32A1B20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vAlign w:val="center"/>
          </w:tcPr>
          <w:p w14:paraId="1B12669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985" w:type="dxa"/>
            <w:vAlign w:val="center"/>
          </w:tcPr>
          <w:p w14:paraId="4086E2B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5B29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14:paraId="6F7EFB1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2419" w:type="dxa"/>
            <w:vMerge w:val="continue"/>
            <w:vAlign w:val="center"/>
          </w:tcPr>
          <w:p w14:paraId="6B319BC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199" w:type="dxa"/>
            <w:vMerge w:val="continue"/>
            <w:vAlign w:val="center"/>
          </w:tcPr>
          <w:p w14:paraId="70291E2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901" w:type="dxa"/>
            <w:gridSpan w:val="2"/>
            <w:vAlign w:val="center"/>
          </w:tcPr>
          <w:p w14:paraId="6C28AAC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消防带材料费</w:t>
            </w:r>
          </w:p>
        </w:tc>
        <w:tc>
          <w:tcPr>
            <w:tcW w:w="1559" w:type="dxa"/>
            <w:vAlign w:val="center"/>
          </w:tcPr>
          <w:p w14:paraId="69E6607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51" w:type="dxa"/>
            <w:vAlign w:val="center"/>
          </w:tcPr>
          <w:p w14:paraId="63DC540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gridSpan w:val="2"/>
            <w:vAlign w:val="center"/>
          </w:tcPr>
          <w:p w14:paraId="45EA859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vAlign w:val="center"/>
          </w:tcPr>
          <w:p w14:paraId="7624835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985" w:type="dxa"/>
            <w:vAlign w:val="center"/>
          </w:tcPr>
          <w:p w14:paraId="24F8BDE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2F43E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14:paraId="2FA3434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2419" w:type="dxa"/>
            <w:vMerge w:val="continue"/>
            <w:vAlign w:val="center"/>
          </w:tcPr>
          <w:p w14:paraId="157052C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199" w:type="dxa"/>
            <w:vMerge w:val="continue"/>
            <w:vAlign w:val="center"/>
          </w:tcPr>
          <w:p w14:paraId="74D2E2C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901" w:type="dxa"/>
            <w:gridSpan w:val="2"/>
            <w:vAlign w:val="center"/>
          </w:tcPr>
          <w:p w14:paraId="1068062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消防管材料费</w:t>
            </w:r>
          </w:p>
        </w:tc>
        <w:tc>
          <w:tcPr>
            <w:tcW w:w="1559" w:type="dxa"/>
            <w:vAlign w:val="center"/>
          </w:tcPr>
          <w:p w14:paraId="2B379AC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51" w:type="dxa"/>
            <w:vAlign w:val="center"/>
          </w:tcPr>
          <w:p w14:paraId="63C0795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gridSpan w:val="2"/>
            <w:vAlign w:val="center"/>
          </w:tcPr>
          <w:p w14:paraId="289431D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vAlign w:val="center"/>
          </w:tcPr>
          <w:p w14:paraId="669DE11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985" w:type="dxa"/>
            <w:vAlign w:val="center"/>
          </w:tcPr>
          <w:p w14:paraId="41EC109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2A9D8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14:paraId="2E63E9D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2419" w:type="dxa"/>
            <w:vMerge w:val="continue"/>
            <w:vAlign w:val="center"/>
          </w:tcPr>
          <w:p w14:paraId="4F2DC00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199" w:type="dxa"/>
            <w:vMerge w:val="continue"/>
            <w:vAlign w:val="center"/>
          </w:tcPr>
          <w:p w14:paraId="67F1C30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901" w:type="dxa"/>
            <w:gridSpan w:val="2"/>
            <w:vAlign w:val="center"/>
          </w:tcPr>
          <w:p w14:paraId="244F8E3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消防水泵材料费</w:t>
            </w:r>
          </w:p>
        </w:tc>
        <w:tc>
          <w:tcPr>
            <w:tcW w:w="1559" w:type="dxa"/>
            <w:vAlign w:val="center"/>
          </w:tcPr>
          <w:p w14:paraId="743302F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51" w:type="dxa"/>
            <w:vAlign w:val="center"/>
          </w:tcPr>
          <w:p w14:paraId="5DA37B4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gridSpan w:val="2"/>
            <w:vAlign w:val="center"/>
          </w:tcPr>
          <w:p w14:paraId="13A6A6E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vAlign w:val="center"/>
          </w:tcPr>
          <w:p w14:paraId="427D72D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985" w:type="dxa"/>
            <w:vAlign w:val="center"/>
          </w:tcPr>
          <w:p w14:paraId="555EABF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3CB5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14:paraId="37D6D93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2419" w:type="dxa"/>
            <w:vMerge w:val="continue"/>
            <w:vAlign w:val="center"/>
          </w:tcPr>
          <w:p w14:paraId="6F93BC6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199" w:type="dxa"/>
            <w:vMerge w:val="continue"/>
            <w:vAlign w:val="center"/>
          </w:tcPr>
          <w:p w14:paraId="7C96164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901" w:type="dxa"/>
            <w:gridSpan w:val="2"/>
            <w:vAlign w:val="center"/>
          </w:tcPr>
          <w:p w14:paraId="602691F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灭火器材料费</w:t>
            </w:r>
          </w:p>
        </w:tc>
        <w:tc>
          <w:tcPr>
            <w:tcW w:w="1559" w:type="dxa"/>
            <w:vAlign w:val="center"/>
          </w:tcPr>
          <w:p w14:paraId="7DCFAFC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51" w:type="dxa"/>
            <w:vAlign w:val="center"/>
          </w:tcPr>
          <w:p w14:paraId="7CE47CF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gridSpan w:val="2"/>
            <w:vAlign w:val="center"/>
          </w:tcPr>
          <w:p w14:paraId="17DD953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vAlign w:val="center"/>
          </w:tcPr>
          <w:p w14:paraId="4B29D5D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985" w:type="dxa"/>
            <w:vAlign w:val="center"/>
          </w:tcPr>
          <w:p w14:paraId="4E20E9A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1851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14:paraId="6B86713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2419" w:type="dxa"/>
            <w:vMerge w:val="continue"/>
            <w:vAlign w:val="center"/>
          </w:tcPr>
          <w:p w14:paraId="5B90D5A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199" w:type="dxa"/>
            <w:vMerge w:val="continue"/>
            <w:vAlign w:val="center"/>
          </w:tcPr>
          <w:p w14:paraId="780639E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901" w:type="dxa"/>
            <w:gridSpan w:val="2"/>
            <w:vAlign w:val="center"/>
          </w:tcPr>
          <w:p w14:paraId="6D43688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人工费</w:t>
            </w:r>
          </w:p>
        </w:tc>
        <w:tc>
          <w:tcPr>
            <w:tcW w:w="1559" w:type="dxa"/>
            <w:vAlign w:val="center"/>
          </w:tcPr>
          <w:p w14:paraId="4ED6E06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51" w:type="dxa"/>
            <w:vAlign w:val="center"/>
          </w:tcPr>
          <w:p w14:paraId="7E4D310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gridSpan w:val="2"/>
            <w:vAlign w:val="center"/>
          </w:tcPr>
          <w:p w14:paraId="20BB80F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vAlign w:val="center"/>
          </w:tcPr>
          <w:p w14:paraId="44F2B54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985" w:type="dxa"/>
            <w:vAlign w:val="center"/>
          </w:tcPr>
          <w:p w14:paraId="58D7F14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7897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0" w:type="dxa"/>
            <w:vMerge w:val="restart"/>
            <w:vAlign w:val="center"/>
          </w:tcPr>
          <w:p w14:paraId="6524B42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4</w:t>
            </w:r>
          </w:p>
        </w:tc>
        <w:tc>
          <w:tcPr>
            <w:tcW w:w="2419" w:type="dxa"/>
            <w:vMerge w:val="restart"/>
            <w:vAlign w:val="center"/>
          </w:tcPr>
          <w:p w14:paraId="12A92DC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八、安全设施及特种设备检测检验支出</w:t>
            </w:r>
          </w:p>
        </w:tc>
        <w:tc>
          <w:tcPr>
            <w:tcW w:w="1199" w:type="dxa"/>
            <w:vMerge w:val="restart"/>
            <w:vAlign w:val="center"/>
          </w:tcPr>
          <w:p w14:paraId="1215772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特种设备检测</w:t>
            </w:r>
          </w:p>
        </w:tc>
        <w:tc>
          <w:tcPr>
            <w:tcW w:w="1901" w:type="dxa"/>
            <w:gridSpan w:val="2"/>
            <w:vAlign w:val="center"/>
          </w:tcPr>
          <w:p w14:paraId="4DF4148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施工升降机检测费</w:t>
            </w:r>
          </w:p>
        </w:tc>
        <w:tc>
          <w:tcPr>
            <w:tcW w:w="1559" w:type="dxa"/>
            <w:vAlign w:val="center"/>
          </w:tcPr>
          <w:p w14:paraId="25D8868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51" w:type="dxa"/>
            <w:vAlign w:val="center"/>
          </w:tcPr>
          <w:p w14:paraId="6221E6D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gridSpan w:val="2"/>
            <w:vAlign w:val="center"/>
          </w:tcPr>
          <w:p w14:paraId="5BEFB34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vAlign w:val="center"/>
          </w:tcPr>
          <w:p w14:paraId="368FCF7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985" w:type="dxa"/>
            <w:vAlign w:val="center"/>
          </w:tcPr>
          <w:p w14:paraId="205E1FD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31146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0" w:type="dxa"/>
            <w:vMerge w:val="continue"/>
            <w:vAlign w:val="center"/>
          </w:tcPr>
          <w:p w14:paraId="106351B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2419" w:type="dxa"/>
            <w:vMerge w:val="continue"/>
            <w:vAlign w:val="center"/>
          </w:tcPr>
          <w:p w14:paraId="5A835E5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199" w:type="dxa"/>
            <w:vMerge w:val="continue"/>
            <w:vAlign w:val="center"/>
          </w:tcPr>
          <w:p w14:paraId="3F27BBA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901" w:type="dxa"/>
            <w:gridSpan w:val="2"/>
            <w:vAlign w:val="center"/>
          </w:tcPr>
          <w:p w14:paraId="39516C2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物料提升机检测费</w:t>
            </w:r>
          </w:p>
        </w:tc>
        <w:tc>
          <w:tcPr>
            <w:tcW w:w="1559" w:type="dxa"/>
            <w:vAlign w:val="center"/>
          </w:tcPr>
          <w:p w14:paraId="3750FC5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51" w:type="dxa"/>
            <w:vAlign w:val="center"/>
          </w:tcPr>
          <w:p w14:paraId="3148418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gridSpan w:val="2"/>
            <w:vAlign w:val="center"/>
          </w:tcPr>
          <w:p w14:paraId="6963D2F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vAlign w:val="center"/>
          </w:tcPr>
          <w:p w14:paraId="596FB07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985" w:type="dxa"/>
            <w:vAlign w:val="center"/>
          </w:tcPr>
          <w:p w14:paraId="3C8C91A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2B9EC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0" w:type="dxa"/>
            <w:vMerge w:val="continue"/>
            <w:vAlign w:val="center"/>
          </w:tcPr>
          <w:p w14:paraId="37785F0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2419" w:type="dxa"/>
            <w:vMerge w:val="continue"/>
            <w:vAlign w:val="center"/>
          </w:tcPr>
          <w:p w14:paraId="282FE7C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199" w:type="dxa"/>
            <w:vMerge w:val="continue"/>
            <w:vAlign w:val="center"/>
          </w:tcPr>
          <w:p w14:paraId="4999BD5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901" w:type="dxa"/>
            <w:gridSpan w:val="2"/>
            <w:vAlign w:val="center"/>
          </w:tcPr>
          <w:p w14:paraId="4CFAA84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塔式起重机检测费</w:t>
            </w:r>
          </w:p>
        </w:tc>
        <w:tc>
          <w:tcPr>
            <w:tcW w:w="1559" w:type="dxa"/>
            <w:vAlign w:val="center"/>
          </w:tcPr>
          <w:p w14:paraId="7F87AF9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51" w:type="dxa"/>
            <w:vAlign w:val="center"/>
          </w:tcPr>
          <w:p w14:paraId="64BAC52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gridSpan w:val="2"/>
            <w:vAlign w:val="center"/>
          </w:tcPr>
          <w:p w14:paraId="2FE1A2C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vAlign w:val="center"/>
          </w:tcPr>
          <w:p w14:paraId="3725459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985" w:type="dxa"/>
            <w:vAlign w:val="center"/>
          </w:tcPr>
          <w:p w14:paraId="126CAEB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13F2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0" w:type="dxa"/>
            <w:vMerge w:val="continue"/>
            <w:vAlign w:val="center"/>
          </w:tcPr>
          <w:p w14:paraId="69FEE30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2419" w:type="dxa"/>
            <w:vMerge w:val="continue"/>
            <w:vAlign w:val="center"/>
          </w:tcPr>
          <w:p w14:paraId="4F23552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199" w:type="dxa"/>
            <w:vMerge w:val="continue"/>
            <w:vAlign w:val="center"/>
          </w:tcPr>
          <w:p w14:paraId="707A37E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901" w:type="dxa"/>
            <w:gridSpan w:val="2"/>
            <w:vAlign w:val="center"/>
          </w:tcPr>
          <w:p w14:paraId="3FD9210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安全设施材料费</w:t>
            </w:r>
          </w:p>
        </w:tc>
        <w:tc>
          <w:tcPr>
            <w:tcW w:w="1559" w:type="dxa"/>
            <w:vAlign w:val="center"/>
          </w:tcPr>
          <w:p w14:paraId="091E868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51" w:type="dxa"/>
            <w:vAlign w:val="center"/>
          </w:tcPr>
          <w:p w14:paraId="245FB83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gridSpan w:val="2"/>
            <w:vAlign w:val="center"/>
          </w:tcPr>
          <w:p w14:paraId="3F040C2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vAlign w:val="center"/>
          </w:tcPr>
          <w:p w14:paraId="7E3BBAF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985" w:type="dxa"/>
            <w:vAlign w:val="center"/>
          </w:tcPr>
          <w:p w14:paraId="72E5BE9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6886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850" w:type="dxa"/>
            <w:vAlign w:val="center"/>
          </w:tcPr>
          <w:p w14:paraId="5F4A5FD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5</w:t>
            </w:r>
          </w:p>
        </w:tc>
        <w:tc>
          <w:tcPr>
            <w:tcW w:w="2419" w:type="dxa"/>
            <w:vMerge w:val="continue"/>
            <w:vAlign w:val="center"/>
          </w:tcPr>
          <w:p w14:paraId="586A31F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199" w:type="dxa"/>
            <w:vAlign w:val="center"/>
          </w:tcPr>
          <w:p w14:paraId="36EE39E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安全设施检测</w:t>
            </w:r>
          </w:p>
        </w:tc>
        <w:tc>
          <w:tcPr>
            <w:tcW w:w="1901" w:type="dxa"/>
            <w:gridSpan w:val="2"/>
            <w:vAlign w:val="center"/>
          </w:tcPr>
          <w:p w14:paraId="5664F27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安全网检测费</w:t>
            </w:r>
          </w:p>
        </w:tc>
        <w:tc>
          <w:tcPr>
            <w:tcW w:w="1559" w:type="dxa"/>
            <w:vAlign w:val="center"/>
          </w:tcPr>
          <w:p w14:paraId="1FF5167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51" w:type="dxa"/>
            <w:vAlign w:val="center"/>
          </w:tcPr>
          <w:p w14:paraId="43A7D4C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gridSpan w:val="2"/>
            <w:vAlign w:val="center"/>
          </w:tcPr>
          <w:p w14:paraId="0B592CC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59" w:type="dxa"/>
            <w:vAlign w:val="center"/>
          </w:tcPr>
          <w:p w14:paraId="1CC7487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985" w:type="dxa"/>
            <w:vAlign w:val="center"/>
          </w:tcPr>
          <w:p w14:paraId="0B34D85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≤500张取2张，500～2000张取4张，＞2000张取6张；每组抽2张</w:t>
            </w:r>
          </w:p>
        </w:tc>
      </w:tr>
      <w:tr w14:paraId="6F9BC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4627" w:type="dxa"/>
            <w:gridSpan w:val="4"/>
          </w:tcPr>
          <w:p w14:paraId="5C6547D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rPr>
              <w:t>施工单位：</w:t>
            </w:r>
          </w:p>
          <w:p w14:paraId="54B1F7C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14:paraId="0F59F00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rPr>
              <w:t>签字：</w:t>
            </w:r>
          </w:p>
          <w:p w14:paraId="2C19BC7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14:paraId="558B436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highlight w:val="none"/>
              </w:rPr>
              <w:t xml:space="preserve">                            年  月  日</w:t>
            </w:r>
          </w:p>
        </w:tc>
        <w:tc>
          <w:tcPr>
            <w:tcW w:w="4627" w:type="dxa"/>
            <w:gridSpan w:val="4"/>
          </w:tcPr>
          <w:p w14:paraId="66F3842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rPr>
              <w:t>监理单位：</w:t>
            </w:r>
          </w:p>
          <w:p w14:paraId="67F2ADB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14:paraId="0F8A703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rPr>
              <w:t>签字：</w:t>
            </w:r>
          </w:p>
          <w:p w14:paraId="3A7AEC5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14:paraId="4676CFA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highlight w:val="none"/>
              </w:rPr>
              <w:t xml:space="preserve">                           年  月  日</w:t>
            </w:r>
          </w:p>
        </w:tc>
        <w:tc>
          <w:tcPr>
            <w:tcW w:w="4628" w:type="dxa"/>
            <w:gridSpan w:val="3"/>
          </w:tcPr>
          <w:p w14:paraId="7BBC620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rPr>
              <w:t>建设单位：</w:t>
            </w:r>
          </w:p>
          <w:p w14:paraId="37BBDFC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14:paraId="41A1117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rPr>
              <w:t>签字：</w:t>
            </w:r>
          </w:p>
          <w:p w14:paraId="2E435BD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14:paraId="6F984A6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highlight w:val="none"/>
              </w:rPr>
              <w:t xml:space="preserve">                          年  月  日</w:t>
            </w:r>
          </w:p>
        </w:tc>
      </w:tr>
    </w:tbl>
    <w:p w14:paraId="6E9A3C9B">
      <w:pPr>
        <w:widowControl/>
        <w:jc w:val="left"/>
        <w:rPr>
          <w:rFonts w:hint="eastAsia" w:ascii="宋体" w:hAnsi="宋体" w:eastAsia="宋体" w:cs="宋体"/>
          <w:color w:val="auto"/>
          <w:spacing w:val="12"/>
          <w:kern w:val="10"/>
          <w:sz w:val="32"/>
          <w:szCs w:val="32"/>
          <w:highlight w:val="none"/>
        </w:rPr>
      </w:pPr>
    </w:p>
    <w:p w14:paraId="40B49449">
      <w:pPr>
        <w:rPr>
          <w:rFonts w:hint="eastAsia" w:ascii="宋体" w:hAnsi="宋体" w:eastAsia="宋体" w:cs="宋体"/>
          <w:color w:val="auto"/>
          <w:highlight w:val="none"/>
        </w:rPr>
        <w:sectPr>
          <w:pgSz w:w="16838" w:h="11906" w:orient="landscape"/>
          <w:pgMar w:top="1418" w:right="1440" w:bottom="1418" w:left="1440" w:header="851" w:footer="539" w:gutter="0"/>
          <w:pgNumType w:fmt="numberInDash"/>
          <w:cols w:space="720" w:num="1"/>
          <w:docGrid w:type="lines" w:linePitch="312" w:charSpace="0"/>
        </w:sectPr>
      </w:pPr>
    </w:p>
    <w:p w14:paraId="2703FD7A">
      <w:pPr>
        <w:spacing w:line="460" w:lineRule="exact"/>
        <w:rPr>
          <w:rFonts w:hint="eastAsia" w:ascii="宋体" w:hAnsi="宋体" w:eastAsia="宋体" w:cs="宋体"/>
          <w:color w:val="auto"/>
          <w:spacing w:val="12"/>
          <w:kern w:val="10"/>
          <w:sz w:val="32"/>
          <w:szCs w:val="32"/>
          <w:highlight w:val="none"/>
        </w:rPr>
      </w:pPr>
      <w:r>
        <w:rPr>
          <w:rFonts w:hint="eastAsia" w:ascii="宋体" w:hAnsi="宋体" w:eastAsia="宋体" w:cs="宋体"/>
          <w:color w:val="auto"/>
          <w:spacing w:val="12"/>
          <w:kern w:val="10"/>
          <w:sz w:val="32"/>
          <w:szCs w:val="32"/>
          <w:highlight w:val="none"/>
        </w:rPr>
        <w:t>附表4</w:t>
      </w:r>
    </w:p>
    <w:p w14:paraId="2E5DDBAD">
      <w:pPr>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项目季度安全文明措施费使用计划表</w:t>
      </w:r>
    </w:p>
    <w:p w14:paraId="3F4AF5B4">
      <w:pPr>
        <w:spacing w:line="460" w:lineRule="exact"/>
        <w:rPr>
          <w:rFonts w:hint="eastAsia" w:ascii="宋体" w:hAnsi="宋体" w:eastAsia="宋体" w:cs="宋体"/>
          <w:color w:val="auto"/>
          <w:kern w:val="0"/>
          <w:highlight w:val="none"/>
        </w:rPr>
      </w:pPr>
      <w:r>
        <w:rPr>
          <w:rFonts w:hint="eastAsia" w:ascii="宋体" w:hAnsi="宋体" w:eastAsia="宋体" w:cs="宋体"/>
          <w:color w:val="auto"/>
          <w:kern w:val="0"/>
          <w:highlight w:val="none"/>
        </w:rPr>
        <w:t>项目名称：                                                            20xx年第x季度</w:t>
      </w:r>
    </w:p>
    <w:tbl>
      <w:tblPr>
        <w:tblStyle w:val="45"/>
        <w:tblW w:w="9240" w:type="dxa"/>
        <w:jc w:val="center"/>
        <w:tblLayout w:type="fixed"/>
        <w:tblCellMar>
          <w:top w:w="0" w:type="dxa"/>
          <w:left w:w="108" w:type="dxa"/>
          <w:bottom w:w="0" w:type="dxa"/>
          <w:right w:w="108" w:type="dxa"/>
        </w:tblCellMar>
      </w:tblPr>
      <w:tblGrid>
        <w:gridCol w:w="4683"/>
        <w:gridCol w:w="1691"/>
        <w:gridCol w:w="851"/>
        <w:gridCol w:w="850"/>
        <w:gridCol w:w="1165"/>
      </w:tblGrid>
      <w:tr w14:paraId="11BF0EE7">
        <w:tblPrEx>
          <w:tblCellMar>
            <w:top w:w="0" w:type="dxa"/>
            <w:left w:w="108" w:type="dxa"/>
            <w:bottom w:w="0" w:type="dxa"/>
            <w:right w:w="108" w:type="dxa"/>
          </w:tblCellMar>
        </w:tblPrEx>
        <w:trPr>
          <w:trHeight w:val="441" w:hRule="atLeast"/>
          <w:tblHeader/>
          <w:jc w:val="center"/>
        </w:trPr>
        <w:tc>
          <w:tcPr>
            <w:tcW w:w="6374" w:type="dxa"/>
            <w:gridSpan w:val="2"/>
            <w:tcBorders>
              <w:top w:val="single" w:color="auto" w:sz="4" w:space="0"/>
              <w:left w:val="single" w:color="auto" w:sz="4" w:space="0"/>
              <w:bottom w:val="single" w:color="auto" w:sz="4" w:space="0"/>
              <w:right w:val="single" w:color="auto" w:sz="4" w:space="0"/>
            </w:tcBorders>
            <w:vAlign w:val="center"/>
          </w:tcPr>
          <w:p w14:paraId="220FC73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项目</w:t>
            </w:r>
          </w:p>
        </w:tc>
        <w:tc>
          <w:tcPr>
            <w:tcW w:w="851" w:type="dxa"/>
            <w:tcBorders>
              <w:top w:val="single" w:color="auto" w:sz="4" w:space="0"/>
              <w:left w:val="nil"/>
              <w:bottom w:val="single" w:color="auto" w:sz="4" w:space="0"/>
              <w:right w:val="single" w:color="auto" w:sz="4" w:space="0"/>
            </w:tcBorders>
            <w:vAlign w:val="center"/>
          </w:tcPr>
          <w:p w14:paraId="0EBE5911">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总计划           用款</w:t>
            </w:r>
          </w:p>
        </w:tc>
        <w:tc>
          <w:tcPr>
            <w:tcW w:w="850" w:type="dxa"/>
            <w:tcBorders>
              <w:top w:val="single" w:color="auto" w:sz="4" w:space="0"/>
              <w:left w:val="nil"/>
              <w:bottom w:val="single" w:color="auto" w:sz="4" w:space="0"/>
              <w:right w:val="single" w:color="auto" w:sz="4" w:space="0"/>
            </w:tcBorders>
            <w:vAlign w:val="center"/>
          </w:tcPr>
          <w:p w14:paraId="7F39D114">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已申请           用款</w:t>
            </w:r>
          </w:p>
        </w:tc>
        <w:tc>
          <w:tcPr>
            <w:tcW w:w="1165" w:type="dxa"/>
            <w:tcBorders>
              <w:top w:val="single" w:color="auto" w:sz="4" w:space="0"/>
              <w:left w:val="nil"/>
              <w:bottom w:val="single" w:color="auto" w:sz="4" w:space="0"/>
              <w:right w:val="single" w:color="auto" w:sz="4" w:space="0"/>
            </w:tcBorders>
            <w:vAlign w:val="center"/>
          </w:tcPr>
          <w:p w14:paraId="0618AF84">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本次申请           用款</w:t>
            </w:r>
          </w:p>
        </w:tc>
      </w:tr>
      <w:tr w14:paraId="7BE2DEF7">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0AE9A7A7">
            <w:pPr>
              <w:keepNext w:val="0"/>
              <w:keepLines w:val="0"/>
              <w:widowControl/>
              <w:suppressLineNumbers w:val="0"/>
              <w:spacing w:before="0" w:beforeAutospacing="0" w:after="0" w:afterAutospacing="0"/>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一、完善、改造和维护安全防护设施设备支出</w:t>
            </w:r>
          </w:p>
        </w:tc>
        <w:tc>
          <w:tcPr>
            <w:tcW w:w="851" w:type="dxa"/>
            <w:tcBorders>
              <w:top w:val="nil"/>
              <w:left w:val="nil"/>
              <w:bottom w:val="single" w:color="auto" w:sz="4" w:space="0"/>
              <w:right w:val="single" w:color="auto" w:sz="4" w:space="0"/>
            </w:tcBorders>
            <w:vAlign w:val="bottom"/>
          </w:tcPr>
          <w:p w14:paraId="030C404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2B41B33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5A398FB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18"/>
                <w:szCs w:val="18"/>
                <w:highlight w:val="none"/>
              </w:rPr>
            </w:pPr>
          </w:p>
        </w:tc>
      </w:tr>
      <w:tr w14:paraId="17941C15">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2DEB69BE">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（一）基坑临边防护和坑壁内支撑、基坑支护的变形监测以及危房鉴定加固费用</w:t>
            </w:r>
          </w:p>
        </w:tc>
        <w:tc>
          <w:tcPr>
            <w:tcW w:w="851" w:type="dxa"/>
            <w:tcBorders>
              <w:top w:val="nil"/>
              <w:left w:val="nil"/>
              <w:bottom w:val="single" w:color="auto" w:sz="4" w:space="0"/>
              <w:right w:val="single" w:color="auto" w:sz="4" w:space="0"/>
            </w:tcBorders>
            <w:vAlign w:val="bottom"/>
          </w:tcPr>
          <w:p w14:paraId="3B561AEA">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03902349">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63B2E7E3">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r>
      <w:tr w14:paraId="14B94AAB">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2CD02DF5">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1、临边防护（钢管）</w:t>
            </w:r>
          </w:p>
        </w:tc>
        <w:tc>
          <w:tcPr>
            <w:tcW w:w="851" w:type="dxa"/>
            <w:tcBorders>
              <w:top w:val="nil"/>
              <w:left w:val="nil"/>
              <w:bottom w:val="single" w:color="auto" w:sz="4" w:space="0"/>
              <w:right w:val="single" w:color="auto" w:sz="4" w:space="0"/>
            </w:tcBorders>
            <w:vAlign w:val="bottom"/>
          </w:tcPr>
          <w:p w14:paraId="63A288B5">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6C2A9BC4">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263F9592">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r>
      <w:tr w14:paraId="5654CF77">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6FCAA0B3">
            <w:pPr>
              <w:keepNext w:val="0"/>
              <w:keepLines w:val="0"/>
              <w:widowControl/>
              <w:suppressLineNumbers w:val="0"/>
              <w:spacing w:before="0" w:beforeAutospacing="0" w:after="0" w:afterAutospacing="0" w:line="240" w:lineRule="exact"/>
              <w:ind w:left="0" w:right="0" w:firstLine="315" w:firstLineChars="150"/>
              <w:rPr>
                <w:rFonts w:hint="eastAsia" w:ascii="宋体" w:hAnsi="宋体" w:eastAsia="宋体" w:cs="宋体"/>
                <w:color w:val="auto"/>
                <w:kern w:val="0"/>
                <w:highlight w:val="none"/>
              </w:rPr>
            </w:pPr>
            <w:r>
              <w:rPr>
                <w:rFonts w:hint="eastAsia" w:ascii="宋体" w:hAnsi="宋体" w:eastAsia="宋体" w:cs="宋体"/>
                <w:color w:val="auto"/>
                <w:kern w:val="0"/>
                <w:highlight w:val="none"/>
              </w:rPr>
              <w:t>临边防护（人工费）</w:t>
            </w:r>
          </w:p>
        </w:tc>
        <w:tc>
          <w:tcPr>
            <w:tcW w:w="851" w:type="dxa"/>
            <w:tcBorders>
              <w:top w:val="nil"/>
              <w:left w:val="nil"/>
              <w:bottom w:val="single" w:color="auto" w:sz="4" w:space="0"/>
              <w:right w:val="single" w:color="auto" w:sz="4" w:space="0"/>
            </w:tcBorders>
            <w:vAlign w:val="bottom"/>
          </w:tcPr>
          <w:p w14:paraId="42E9D8D8">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25EDFB81">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6B82CCE6">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r>
      <w:tr w14:paraId="0EAE7FEF">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0B9E2603">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2、坑壁内支撑内支撑冠梁、坑壁锚固、坑壁表面混凝土喷浆等</w:t>
            </w:r>
          </w:p>
        </w:tc>
        <w:tc>
          <w:tcPr>
            <w:tcW w:w="851" w:type="dxa"/>
            <w:tcBorders>
              <w:top w:val="nil"/>
              <w:left w:val="nil"/>
              <w:bottom w:val="single" w:color="auto" w:sz="4" w:space="0"/>
              <w:right w:val="single" w:color="auto" w:sz="4" w:space="0"/>
            </w:tcBorders>
            <w:vAlign w:val="bottom"/>
          </w:tcPr>
          <w:p w14:paraId="346C0B44">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71174FB1">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5F98DD0E">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r>
      <w:tr w14:paraId="433DBA2C">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049B765C">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3、基坑支护变形观测</w:t>
            </w:r>
          </w:p>
        </w:tc>
        <w:tc>
          <w:tcPr>
            <w:tcW w:w="851" w:type="dxa"/>
            <w:tcBorders>
              <w:top w:val="nil"/>
              <w:left w:val="nil"/>
              <w:bottom w:val="single" w:color="auto" w:sz="4" w:space="0"/>
              <w:right w:val="single" w:color="auto" w:sz="4" w:space="0"/>
            </w:tcBorders>
            <w:vAlign w:val="bottom"/>
          </w:tcPr>
          <w:p w14:paraId="1BBE0E9D">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5B600A2C">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52294B94">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r>
      <w:tr w14:paraId="1FCFEE81">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14C645E7">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4、基坑应急救援物资（沙袋、抽水设施、砂土、及实际发生的机械租赁费等）</w:t>
            </w:r>
          </w:p>
        </w:tc>
        <w:tc>
          <w:tcPr>
            <w:tcW w:w="851" w:type="dxa"/>
            <w:tcBorders>
              <w:top w:val="nil"/>
              <w:left w:val="nil"/>
              <w:bottom w:val="single" w:color="auto" w:sz="4" w:space="0"/>
              <w:right w:val="single" w:color="auto" w:sz="4" w:space="0"/>
            </w:tcBorders>
            <w:vAlign w:val="bottom"/>
          </w:tcPr>
          <w:p w14:paraId="26EC1208">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15236700">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621BEA98">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r>
      <w:tr w14:paraId="33C08FC3">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39F01812">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（二）楼梯口、电梯口、通道口、预留洞口、阳台周边、楼层周边以及上下通道的临边安全防护费用</w:t>
            </w:r>
          </w:p>
        </w:tc>
        <w:tc>
          <w:tcPr>
            <w:tcW w:w="851" w:type="dxa"/>
            <w:tcBorders>
              <w:top w:val="nil"/>
              <w:left w:val="nil"/>
              <w:bottom w:val="single" w:color="auto" w:sz="4" w:space="0"/>
              <w:right w:val="single" w:color="auto" w:sz="4" w:space="0"/>
            </w:tcBorders>
            <w:vAlign w:val="bottom"/>
          </w:tcPr>
          <w:p w14:paraId="75727936">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0EAA4A3B">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0CAD7B8A">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r>
      <w:tr w14:paraId="222330E2">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733A4B67">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（三）安全设施防护设备（含警戒标志）费用；卸料平台的临边防护、层间安全门、防护棚等设施费用</w:t>
            </w:r>
          </w:p>
        </w:tc>
        <w:tc>
          <w:tcPr>
            <w:tcW w:w="851" w:type="dxa"/>
            <w:tcBorders>
              <w:top w:val="nil"/>
              <w:left w:val="nil"/>
              <w:bottom w:val="single" w:color="auto" w:sz="4" w:space="0"/>
              <w:right w:val="single" w:color="auto" w:sz="4" w:space="0"/>
            </w:tcBorders>
            <w:vAlign w:val="bottom"/>
          </w:tcPr>
          <w:p w14:paraId="17EA6303">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58A84CC6">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73C08F9E">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r>
      <w:tr w14:paraId="61D3793B">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245AAC15">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（四）施工机具和临时防雨工棚和外围护栏的安全保护设施费用</w:t>
            </w:r>
          </w:p>
        </w:tc>
        <w:tc>
          <w:tcPr>
            <w:tcW w:w="851" w:type="dxa"/>
            <w:tcBorders>
              <w:top w:val="nil"/>
              <w:left w:val="nil"/>
              <w:bottom w:val="single" w:color="auto" w:sz="4" w:space="0"/>
              <w:right w:val="single" w:color="auto" w:sz="4" w:space="0"/>
            </w:tcBorders>
            <w:vAlign w:val="bottom"/>
          </w:tcPr>
          <w:p w14:paraId="622932C9">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4DE5095D">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1C7E35AC">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r>
      <w:tr w14:paraId="4DF18404">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2EF66DE2">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（五）隧道施工等地下作业中的通风、低压电配送等有关设施、监测费用和上下层间安全防护费用</w:t>
            </w:r>
          </w:p>
        </w:tc>
        <w:tc>
          <w:tcPr>
            <w:tcW w:w="851" w:type="dxa"/>
            <w:tcBorders>
              <w:top w:val="nil"/>
              <w:left w:val="nil"/>
              <w:bottom w:val="single" w:color="auto" w:sz="4" w:space="0"/>
              <w:right w:val="single" w:color="auto" w:sz="4" w:space="0"/>
            </w:tcBorders>
            <w:vAlign w:val="bottom"/>
          </w:tcPr>
          <w:p w14:paraId="3805CEDC">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4C35C8B4">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2AAA93A9">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r>
      <w:tr w14:paraId="782C6C7B">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535C7DDA">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（六）用于水上、水下作业救生设备、器材购置和设置临边防护、警示设施费用</w:t>
            </w:r>
          </w:p>
        </w:tc>
        <w:tc>
          <w:tcPr>
            <w:tcW w:w="851" w:type="dxa"/>
            <w:tcBorders>
              <w:top w:val="nil"/>
              <w:left w:val="nil"/>
              <w:bottom w:val="single" w:color="auto" w:sz="4" w:space="0"/>
              <w:right w:val="single" w:color="auto" w:sz="4" w:space="0"/>
            </w:tcBorders>
            <w:vAlign w:val="bottom"/>
          </w:tcPr>
          <w:p w14:paraId="3553ACA5">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696C8840">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6A91C59D">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r>
      <w:tr w14:paraId="64C3B661">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317E7051">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（七）安全网的购置费用</w:t>
            </w:r>
          </w:p>
        </w:tc>
        <w:tc>
          <w:tcPr>
            <w:tcW w:w="851" w:type="dxa"/>
            <w:tcBorders>
              <w:top w:val="nil"/>
              <w:left w:val="nil"/>
              <w:bottom w:val="single" w:color="auto" w:sz="4" w:space="0"/>
              <w:right w:val="single" w:color="auto" w:sz="4" w:space="0"/>
            </w:tcBorders>
            <w:vAlign w:val="bottom"/>
          </w:tcPr>
          <w:p w14:paraId="6E368410">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23913B40">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708EE6F8">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r>
      <w:tr w14:paraId="1D227389">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1984A0C1">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（八）临时设施、施工道路、围墙搭设等费用</w:t>
            </w:r>
          </w:p>
        </w:tc>
        <w:tc>
          <w:tcPr>
            <w:tcW w:w="851" w:type="dxa"/>
            <w:tcBorders>
              <w:top w:val="nil"/>
              <w:left w:val="nil"/>
              <w:bottom w:val="single" w:color="auto" w:sz="4" w:space="0"/>
              <w:right w:val="single" w:color="auto" w:sz="4" w:space="0"/>
            </w:tcBorders>
            <w:vAlign w:val="bottom"/>
          </w:tcPr>
          <w:p w14:paraId="50009955">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496A4030">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476C9A0D">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r>
      <w:tr w14:paraId="4D752559">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079AB6EC">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二、配备、维护、保养应急救援器材、设备支出和应急演练支出</w:t>
            </w:r>
          </w:p>
        </w:tc>
        <w:tc>
          <w:tcPr>
            <w:tcW w:w="851" w:type="dxa"/>
            <w:tcBorders>
              <w:top w:val="nil"/>
              <w:left w:val="nil"/>
              <w:bottom w:val="single" w:color="auto" w:sz="4" w:space="0"/>
              <w:right w:val="single" w:color="auto" w:sz="4" w:space="0"/>
            </w:tcBorders>
            <w:vAlign w:val="bottom"/>
          </w:tcPr>
          <w:p w14:paraId="1D1B8B77">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563F6872">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0BF5DC76">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r>
      <w:tr w14:paraId="175F334D">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684375B4">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（一）消防设施和消防器材配置以及保健急救措施的费用</w:t>
            </w:r>
          </w:p>
        </w:tc>
        <w:tc>
          <w:tcPr>
            <w:tcW w:w="851" w:type="dxa"/>
            <w:tcBorders>
              <w:top w:val="nil"/>
              <w:left w:val="nil"/>
              <w:bottom w:val="single" w:color="auto" w:sz="4" w:space="0"/>
              <w:right w:val="single" w:color="auto" w:sz="4" w:space="0"/>
            </w:tcBorders>
            <w:vAlign w:val="bottom"/>
          </w:tcPr>
          <w:p w14:paraId="70E80EB5">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0A0AC0B0">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3FAA3645">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r>
      <w:tr w14:paraId="191D11D5">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00620CCE">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（二）抢救应急措施设备费用，包括供水、燃气工程抢险工作中所需的特殊防护费用</w:t>
            </w:r>
          </w:p>
        </w:tc>
        <w:tc>
          <w:tcPr>
            <w:tcW w:w="851" w:type="dxa"/>
            <w:tcBorders>
              <w:top w:val="nil"/>
              <w:left w:val="nil"/>
              <w:bottom w:val="single" w:color="auto" w:sz="4" w:space="0"/>
              <w:right w:val="single" w:color="auto" w:sz="4" w:space="0"/>
            </w:tcBorders>
            <w:vAlign w:val="bottom"/>
          </w:tcPr>
          <w:p w14:paraId="5DE9AD85">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0CE5EA93">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02AE152C">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r>
      <w:tr w14:paraId="35C59B9E">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45617526">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（三）变配电装置的三级配电箱、外电防护、二级保护的防触电系统购置费用</w:t>
            </w:r>
          </w:p>
        </w:tc>
        <w:tc>
          <w:tcPr>
            <w:tcW w:w="851" w:type="dxa"/>
            <w:tcBorders>
              <w:top w:val="nil"/>
              <w:left w:val="nil"/>
              <w:bottom w:val="single" w:color="auto" w:sz="4" w:space="0"/>
              <w:right w:val="single" w:color="auto" w:sz="4" w:space="0"/>
            </w:tcBorders>
            <w:vAlign w:val="bottom"/>
          </w:tcPr>
          <w:p w14:paraId="2D42B53B">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719E5882">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41D6A6CF">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r>
      <w:tr w14:paraId="234B9140">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2347A6A8">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三、开展重大危险源和事故隐患评估、监控和整改支出</w:t>
            </w:r>
          </w:p>
        </w:tc>
        <w:tc>
          <w:tcPr>
            <w:tcW w:w="851" w:type="dxa"/>
            <w:tcBorders>
              <w:top w:val="nil"/>
              <w:left w:val="nil"/>
              <w:bottom w:val="single" w:color="auto" w:sz="4" w:space="0"/>
              <w:right w:val="single" w:color="auto" w:sz="4" w:space="0"/>
            </w:tcBorders>
            <w:vAlign w:val="bottom"/>
          </w:tcPr>
          <w:p w14:paraId="2917319B">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48997B85">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0B3FB61F">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r>
      <w:tr w14:paraId="6612E1B5">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5FC1A36C">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四、安全生产检查、评价、咨询和标准化建设支出</w:t>
            </w:r>
          </w:p>
        </w:tc>
        <w:tc>
          <w:tcPr>
            <w:tcW w:w="851" w:type="dxa"/>
            <w:tcBorders>
              <w:top w:val="nil"/>
              <w:left w:val="nil"/>
              <w:bottom w:val="single" w:color="auto" w:sz="4" w:space="0"/>
              <w:right w:val="single" w:color="auto" w:sz="4" w:space="0"/>
            </w:tcBorders>
            <w:vAlign w:val="bottom"/>
          </w:tcPr>
          <w:p w14:paraId="7BE1FAE3">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46598556">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45758E6E">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r>
      <w:tr w14:paraId="11EC9E11">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2694A4FC">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（一）安全管理实施方案（制度）的编印费用</w:t>
            </w:r>
          </w:p>
        </w:tc>
        <w:tc>
          <w:tcPr>
            <w:tcW w:w="851" w:type="dxa"/>
            <w:tcBorders>
              <w:top w:val="nil"/>
              <w:left w:val="nil"/>
              <w:bottom w:val="single" w:color="auto" w:sz="4" w:space="0"/>
              <w:right w:val="single" w:color="auto" w:sz="4" w:space="0"/>
            </w:tcBorders>
            <w:vAlign w:val="bottom"/>
          </w:tcPr>
          <w:p w14:paraId="7BEF2984">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6AE3F770">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33F9D7C2">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sz w:val="18"/>
                <w:szCs w:val="18"/>
                <w:highlight w:val="none"/>
              </w:rPr>
            </w:pPr>
          </w:p>
        </w:tc>
      </w:tr>
      <w:tr w14:paraId="6E0994E2">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3FECC6A4">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（二）交通疏导、警示设施费用</w:t>
            </w:r>
          </w:p>
        </w:tc>
        <w:tc>
          <w:tcPr>
            <w:tcW w:w="851" w:type="dxa"/>
            <w:tcBorders>
              <w:top w:val="nil"/>
              <w:left w:val="nil"/>
              <w:bottom w:val="single" w:color="auto" w:sz="4" w:space="0"/>
              <w:right w:val="single" w:color="auto" w:sz="4" w:space="0"/>
            </w:tcBorders>
            <w:vAlign w:val="bottom"/>
          </w:tcPr>
          <w:p w14:paraId="773CC257">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648992DD">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3D65EBE8">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sz w:val="18"/>
                <w:szCs w:val="18"/>
                <w:highlight w:val="none"/>
              </w:rPr>
            </w:pPr>
          </w:p>
        </w:tc>
      </w:tr>
      <w:tr w14:paraId="7D497065">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0190CD33">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五、配备和更新现场作业人员安全防护用品支出</w:t>
            </w:r>
          </w:p>
        </w:tc>
        <w:tc>
          <w:tcPr>
            <w:tcW w:w="851" w:type="dxa"/>
            <w:tcBorders>
              <w:top w:val="nil"/>
              <w:left w:val="nil"/>
              <w:bottom w:val="single" w:color="auto" w:sz="4" w:space="0"/>
              <w:right w:val="single" w:color="auto" w:sz="4" w:space="0"/>
            </w:tcBorders>
            <w:vAlign w:val="bottom"/>
          </w:tcPr>
          <w:p w14:paraId="515E8AB4">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00E6C106">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46D0C130">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r>
      <w:tr w14:paraId="685F5AE1">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05F6DC73">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六、安全生产宣传、教育、培训支出</w:t>
            </w:r>
          </w:p>
        </w:tc>
        <w:tc>
          <w:tcPr>
            <w:tcW w:w="851" w:type="dxa"/>
            <w:tcBorders>
              <w:top w:val="nil"/>
              <w:left w:val="nil"/>
              <w:bottom w:val="single" w:color="auto" w:sz="4" w:space="0"/>
              <w:right w:val="single" w:color="auto" w:sz="4" w:space="0"/>
            </w:tcBorders>
            <w:vAlign w:val="bottom"/>
          </w:tcPr>
          <w:p w14:paraId="50F28E81">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5D62ED15">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4C3DDA36">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sz w:val="18"/>
                <w:szCs w:val="18"/>
                <w:highlight w:val="none"/>
              </w:rPr>
            </w:pPr>
          </w:p>
        </w:tc>
      </w:tr>
      <w:tr w14:paraId="015D348F">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0789D702">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（一）安全标志的购置以及宣传栏的设置（包括报刊、宣教书籍、标语的购置）费用</w:t>
            </w:r>
          </w:p>
        </w:tc>
        <w:tc>
          <w:tcPr>
            <w:tcW w:w="851" w:type="dxa"/>
            <w:tcBorders>
              <w:top w:val="nil"/>
              <w:left w:val="nil"/>
              <w:bottom w:val="single" w:color="auto" w:sz="4" w:space="0"/>
              <w:right w:val="single" w:color="auto" w:sz="4" w:space="0"/>
            </w:tcBorders>
            <w:vAlign w:val="bottom"/>
          </w:tcPr>
          <w:p w14:paraId="42DEB747">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77CF9F6A">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2960A661">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r>
      <w:tr w14:paraId="5B54FA82">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2B835AA2">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七、安全生产适用的新技术、新标准、新工艺、新装备的推广应用支出</w:t>
            </w:r>
          </w:p>
        </w:tc>
        <w:tc>
          <w:tcPr>
            <w:tcW w:w="851" w:type="dxa"/>
            <w:tcBorders>
              <w:top w:val="nil"/>
              <w:left w:val="nil"/>
              <w:bottom w:val="single" w:color="auto" w:sz="4" w:space="0"/>
              <w:right w:val="single" w:color="auto" w:sz="4" w:space="0"/>
            </w:tcBorders>
            <w:vAlign w:val="bottom"/>
          </w:tcPr>
          <w:p w14:paraId="24C0D863">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7D061A05">
            <w:pPr>
              <w:keepNext w:val="0"/>
              <w:keepLines w:val="0"/>
              <w:widowControl/>
              <w:suppressLineNumbers w:val="0"/>
              <w:spacing w:before="0" w:beforeAutospacing="0" w:after="0" w:afterAutospacing="0" w:line="240" w:lineRule="exact"/>
              <w:ind w:left="0" w:right="0" w:firstLine="90" w:firstLineChars="50"/>
              <w:rPr>
                <w:rFonts w:hint="eastAsia"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3FD5B95A">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sz w:val="18"/>
                <w:szCs w:val="18"/>
                <w:highlight w:val="none"/>
              </w:rPr>
            </w:pPr>
          </w:p>
        </w:tc>
      </w:tr>
      <w:tr w14:paraId="0B01003D">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70E4D51A">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八、安全设施及特种设备检测检验支出</w:t>
            </w:r>
          </w:p>
        </w:tc>
        <w:tc>
          <w:tcPr>
            <w:tcW w:w="851" w:type="dxa"/>
            <w:tcBorders>
              <w:top w:val="nil"/>
              <w:left w:val="nil"/>
              <w:bottom w:val="single" w:color="auto" w:sz="4" w:space="0"/>
              <w:right w:val="single" w:color="auto" w:sz="4" w:space="0"/>
            </w:tcBorders>
            <w:vAlign w:val="bottom"/>
          </w:tcPr>
          <w:p w14:paraId="1C7A4EF0">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7EC5BFF9">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2576CB87">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sz w:val="18"/>
                <w:szCs w:val="18"/>
                <w:highlight w:val="none"/>
              </w:rPr>
            </w:pPr>
          </w:p>
        </w:tc>
      </w:tr>
      <w:tr w14:paraId="6F6FE55E">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4D31EC2D">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（一）起重机、塔吊等起重吊装设备（含井字架、龙门架）与外用电梯的安全检测</w:t>
            </w:r>
          </w:p>
        </w:tc>
        <w:tc>
          <w:tcPr>
            <w:tcW w:w="851" w:type="dxa"/>
            <w:tcBorders>
              <w:top w:val="nil"/>
              <w:left w:val="nil"/>
              <w:bottom w:val="single" w:color="auto" w:sz="4" w:space="0"/>
              <w:right w:val="single" w:color="auto" w:sz="4" w:space="0"/>
            </w:tcBorders>
            <w:vAlign w:val="bottom"/>
          </w:tcPr>
          <w:p w14:paraId="0EDD48DB">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46E98F04">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77993D76">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r>
      <w:tr w14:paraId="2110966B">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200AE6CE">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（二）安全带、安全帽的检测</w:t>
            </w:r>
          </w:p>
        </w:tc>
        <w:tc>
          <w:tcPr>
            <w:tcW w:w="851" w:type="dxa"/>
            <w:tcBorders>
              <w:top w:val="nil"/>
              <w:left w:val="nil"/>
              <w:bottom w:val="single" w:color="auto" w:sz="4" w:space="0"/>
              <w:right w:val="single" w:color="auto" w:sz="4" w:space="0"/>
            </w:tcBorders>
            <w:vAlign w:val="bottom"/>
          </w:tcPr>
          <w:p w14:paraId="7AC6D598">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4B2B7F7A">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7F4302D1">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r>
      <w:tr w14:paraId="1FF8A00B">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2250CE37">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（三）安全网的检测</w:t>
            </w:r>
          </w:p>
        </w:tc>
        <w:tc>
          <w:tcPr>
            <w:tcW w:w="851" w:type="dxa"/>
            <w:tcBorders>
              <w:top w:val="nil"/>
              <w:left w:val="nil"/>
              <w:bottom w:val="single" w:color="auto" w:sz="4" w:space="0"/>
              <w:right w:val="single" w:color="auto" w:sz="4" w:space="0"/>
            </w:tcBorders>
            <w:vAlign w:val="bottom"/>
          </w:tcPr>
          <w:p w14:paraId="716E173F">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3B46B29B">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4D4344AC">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r>
      <w:tr w14:paraId="5D8AB290">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69638AEA">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（四）脚手架构件的检测</w:t>
            </w:r>
          </w:p>
        </w:tc>
        <w:tc>
          <w:tcPr>
            <w:tcW w:w="851" w:type="dxa"/>
            <w:tcBorders>
              <w:top w:val="nil"/>
              <w:left w:val="nil"/>
              <w:bottom w:val="single" w:color="auto" w:sz="4" w:space="0"/>
              <w:right w:val="single" w:color="auto" w:sz="4" w:space="0"/>
            </w:tcBorders>
            <w:vAlign w:val="bottom"/>
          </w:tcPr>
          <w:p w14:paraId="52BE1318">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2B49B332">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341DC953">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r>
      <w:tr w14:paraId="2735535E">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781C13AF">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九、安全生产责任保险支出</w:t>
            </w:r>
          </w:p>
        </w:tc>
        <w:tc>
          <w:tcPr>
            <w:tcW w:w="851" w:type="dxa"/>
            <w:tcBorders>
              <w:top w:val="nil"/>
              <w:left w:val="nil"/>
              <w:bottom w:val="single" w:color="auto" w:sz="4" w:space="0"/>
              <w:right w:val="single" w:color="auto" w:sz="4" w:space="0"/>
            </w:tcBorders>
            <w:vAlign w:val="bottom"/>
          </w:tcPr>
          <w:p w14:paraId="5FA535B3">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4C6FC472">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3599C5FE">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sz w:val="18"/>
                <w:szCs w:val="18"/>
                <w:highlight w:val="none"/>
              </w:rPr>
            </w:pPr>
          </w:p>
        </w:tc>
      </w:tr>
      <w:tr w14:paraId="2F6C6B7C">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30EC91B3">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十、法律法规及相关标准规定按安全文明施工费计取的其他项目</w:t>
            </w:r>
          </w:p>
        </w:tc>
        <w:tc>
          <w:tcPr>
            <w:tcW w:w="851" w:type="dxa"/>
            <w:tcBorders>
              <w:top w:val="nil"/>
              <w:left w:val="nil"/>
              <w:bottom w:val="single" w:color="auto" w:sz="4" w:space="0"/>
              <w:right w:val="single" w:color="auto" w:sz="4" w:space="0"/>
            </w:tcBorders>
            <w:vAlign w:val="bottom"/>
          </w:tcPr>
          <w:p w14:paraId="365870D8">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4DEBA886">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246353AC">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sz w:val="18"/>
                <w:szCs w:val="18"/>
                <w:highlight w:val="none"/>
              </w:rPr>
            </w:pPr>
          </w:p>
        </w:tc>
      </w:tr>
      <w:tr w14:paraId="4C40D629">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7BCFEEC4">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（一）脚手架工程费</w:t>
            </w:r>
          </w:p>
        </w:tc>
        <w:tc>
          <w:tcPr>
            <w:tcW w:w="851" w:type="dxa"/>
            <w:tcBorders>
              <w:top w:val="nil"/>
              <w:left w:val="nil"/>
              <w:bottom w:val="single" w:color="auto" w:sz="4" w:space="0"/>
              <w:right w:val="single" w:color="auto" w:sz="4" w:space="0"/>
            </w:tcBorders>
            <w:vAlign w:val="bottom"/>
          </w:tcPr>
          <w:p w14:paraId="2B9C799E">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6823B18B">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69222A40">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sz w:val="18"/>
                <w:szCs w:val="18"/>
                <w:highlight w:val="none"/>
              </w:rPr>
            </w:pPr>
          </w:p>
        </w:tc>
      </w:tr>
      <w:tr w14:paraId="2A945BBE">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2A57EE6C">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（二）模板支撑架工程费（如清单中有计量）</w:t>
            </w:r>
          </w:p>
        </w:tc>
        <w:tc>
          <w:tcPr>
            <w:tcW w:w="851" w:type="dxa"/>
            <w:tcBorders>
              <w:top w:val="nil"/>
              <w:left w:val="nil"/>
              <w:bottom w:val="single" w:color="auto" w:sz="4" w:space="0"/>
              <w:right w:val="single" w:color="auto" w:sz="4" w:space="0"/>
            </w:tcBorders>
            <w:vAlign w:val="bottom"/>
          </w:tcPr>
          <w:p w14:paraId="0602CF22">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183F3434">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25FAA223">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sz w:val="18"/>
                <w:szCs w:val="18"/>
                <w:highlight w:val="none"/>
              </w:rPr>
            </w:pPr>
          </w:p>
        </w:tc>
      </w:tr>
      <w:tr w14:paraId="6647D4D8">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239C1E87">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（三）起重设备基础工程费（如清单中有计量）</w:t>
            </w:r>
          </w:p>
        </w:tc>
        <w:tc>
          <w:tcPr>
            <w:tcW w:w="851" w:type="dxa"/>
            <w:tcBorders>
              <w:top w:val="nil"/>
              <w:left w:val="nil"/>
              <w:bottom w:val="single" w:color="auto" w:sz="4" w:space="0"/>
              <w:right w:val="single" w:color="auto" w:sz="4" w:space="0"/>
            </w:tcBorders>
            <w:vAlign w:val="bottom"/>
          </w:tcPr>
          <w:p w14:paraId="6D802437">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360CE755">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35E998BB">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sz w:val="18"/>
                <w:szCs w:val="18"/>
                <w:highlight w:val="none"/>
              </w:rPr>
            </w:pPr>
          </w:p>
        </w:tc>
      </w:tr>
      <w:tr w14:paraId="45EE3816">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47AE511F">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十一、其他与绿色施工、文明施工、环境保护及安全生产直接相关的支出（含支付给分包单位的安全生产费用）</w:t>
            </w:r>
          </w:p>
        </w:tc>
        <w:tc>
          <w:tcPr>
            <w:tcW w:w="851" w:type="dxa"/>
            <w:tcBorders>
              <w:top w:val="nil"/>
              <w:left w:val="nil"/>
              <w:bottom w:val="single" w:color="auto" w:sz="4" w:space="0"/>
              <w:right w:val="single" w:color="auto" w:sz="4" w:space="0"/>
            </w:tcBorders>
            <w:vAlign w:val="bottom"/>
          </w:tcPr>
          <w:p w14:paraId="056AB3E8">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0661FF94">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33E6310D">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r>
      <w:tr w14:paraId="3F70ED7A">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4A4D7C55">
            <w:pPr>
              <w:keepNext w:val="0"/>
              <w:keepLines w:val="0"/>
              <w:widowControl/>
              <w:suppressLineNumbers w:val="0"/>
              <w:spacing w:before="0" w:beforeAutospacing="0" w:after="0" w:afterAutospacing="0" w:line="240" w:lineRule="exact"/>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费用合计</w:t>
            </w:r>
          </w:p>
        </w:tc>
        <w:tc>
          <w:tcPr>
            <w:tcW w:w="851" w:type="dxa"/>
            <w:tcBorders>
              <w:top w:val="nil"/>
              <w:left w:val="nil"/>
              <w:bottom w:val="single" w:color="auto" w:sz="4" w:space="0"/>
              <w:right w:val="single" w:color="auto" w:sz="4" w:space="0"/>
            </w:tcBorders>
            <w:vAlign w:val="bottom"/>
          </w:tcPr>
          <w:p w14:paraId="11A51D96">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1A9F16FE">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16457102">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p>
        </w:tc>
      </w:tr>
      <w:tr w14:paraId="2C168EC7">
        <w:tblPrEx>
          <w:tblCellMar>
            <w:top w:w="0" w:type="dxa"/>
            <w:left w:w="108" w:type="dxa"/>
            <w:bottom w:w="0" w:type="dxa"/>
            <w:right w:w="108" w:type="dxa"/>
          </w:tblCellMar>
        </w:tblPrEx>
        <w:trPr>
          <w:trHeight w:val="480" w:hRule="atLeast"/>
          <w:jc w:val="center"/>
        </w:trPr>
        <w:tc>
          <w:tcPr>
            <w:tcW w:w="4683" w:type="dxa"/>
            <w:tcBorders>
              <w:top w:val="nil"/>
              <w:left w:val="single" w:color="auto" w:sz="4" w:space="0"/>
              <w:bottom w:val="single" w:color="auto" w:sz="4" w:space="0"/>
              <w:right w:val="single" w:color="auto" w:sz="4" w:space="0"/>
            </w:tcBorders>
          </w:tcPr>
          <w:p w14:paraId="6D32E2E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rPr>
              <w:t>施工单位：</w:t>
            </w:r>
          </w:p>
          <w:p w14:paraId="52A935D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14:paraId="4955A2E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rPr>
              <w:t>签字：</w:t>
            </w:r>
          </w:p>
          <w:p w14:paraId="6CE93D3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14:paraId="67C1DD31">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highlight w:val="none"/>
              </w:rPr>
              <w:t xml:space="preserve">                        年  月  日</w:t>
            </w:r>
          </w:p>
        </w:tc>
        <w:tc>
          <w:tcPr>
            <w:tcW w:w="4557" w:type="dxa"/>
            <w:gridSpan w:val="4"/>
            <w:tcBorders>
              <w:top w:val="nil"/>
              <w:left w:val="single" w:color="auto" w:sz="4" w:space="0"/>
              <w:bottom w:val="single" w:color="auto" w:sz="4" w:space="0"/>
              <w:right w:val="single" w:color="auto" w:sz="4" w:space="0"/>
            </w:tcBorders>
          </w:tcPr>
          <w:p w14:paraId="16D04A8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rPr>
              <w:t>监理单位：</w:t>
            </w:r>
          </w:p>
          <w:p w14:paraId="1AF8024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14:paraId="3BF8033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rPr>
              <w:t>签字：</w:t>
            </w:r>
          </w:p>
          <w:p w14:paraId="20882D7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14:paraId="08C3827C">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highlight w:val="none"/>
              </w:rPr>
              <w:t xml:space="preserve">                        年  月  日</w:t>
            </w:r>
          </w:p>
        </w:tc>
      </w:tr>
    </w:tbl>
    <w:p w14:paraId="6F85DE5D">
      <w:pPr>
        <w:widowControl/>
        <w:jc w:val="left"/>
        <w:rPr>
          <w:rFonts w:hint="eastAsia" w:ascii="宋体" w:hAnsi="宋体" w:eastAsia="宋体" w:cs="宋体"/>
          <w:color w:val="auto"/>
          <w:spacing w:val="12"/>
          <w:kern w:val="10"/>
          <w:sz w:val="32"/>
          <w:szCs w:val="32"/>
          <w:highlight w:val="none"/>
        </w:rPr>
      </w:pPr>
    </w:p>
    <w:p w14:paraId="056DB3D1">
      <w:pPr>
        <w:rPr>
          <w:rFonts w:hint="eastAsia" w:ascii="宋体" w:hAnsi="宋体" w:eastAsia="宋体" w:cs="宋体"/>
          <w:color w:val="auto"/>
          <w:highlight w:val="none"/>
        </w:rPr>
        <w:sectPr>
          <w:pgSz w:w="11906" w:h="16838"/>
          <w:pgMar w:top="1440" w:right="1418" w:bottom="1440" w:left="1418" w:header="851" w:footer="539" w:gutter="0"/>
          <w:pgNumType w:fmt="numberInDash"/>
          <w:cols w:space="720" w:num="1"/>
          <w:docGrid w:type="lines" w:linePitch="312" w:charSpace="0"/>
        </w:sectPr>
      </w:pPr>
    </w:p>
    <w:p w14:paraId="27DF4E39">
      <w:pP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附</w:t>
      </w:r>
      <w:r>
        <w:rPr>
          <w:rFonts w:hint="eastAsia" w:ascii="宋体" w:hAnsi="宋体" w:eastAsia="宋体" w:cs="宋体"/>
          <w:color w:val="auto"/>
          <w:spacing w:val="12"/>
          <w:kern w:val="10"/>
          <w:sz w:val="32"/>
          <w:szCs w:val="32"/>
          <w:highlight w:val="none"/>
        </w:rPr>
        <w:t>表</w:t>
      </w:r>
      <w:r>
        <w:rPr>
          <w:rFonts w:hint="eastAsia" w:ascii="宋体" w:hAnsi="宋体" w:eastAsia="宋体" w:cs="宋体"/>
          <w:color w:val="auto"/>
          <w:kern w:val="0"/>
          <w:sz w:val="32"/>
          <w:szCs w:val="32"/>
          <w:highlight w:val="none"/>
        </w:rPr>
        <w:t>5</w:t>
      </w:r>
    </w:p>
    <w:p w14:paraId="6D4C9645">
      <w:pPr>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项目安全费用投入统计台帐</w:t>
      </w:r>
    </w:p>
    <w:tbl>
      <w:tblPr>
        <w:tblStyle w:val="45"/>
        <w:tblW w:w="14202" w:type="dxa"/>
        <w:tblInd w:w="0" w:type="dxa"/>
        <w:tblLayout w:type="fixed"/>
        <w:tblCellMar>
          <w:top w:w="0" w:type="dxa"/>
          <w:left w:w="108" w:type="dxa"/>
          <w:bottom w:w="0" w:type="dxa"/>
          <w:right w:w="108" w:type="dxa"/>
        </w:tblCellMar>
      </w:tblPr>
      <w:tblGrid>
        <w:gridCol w:w="404"/>
        <w:gridCol w:w="1032"/>
        <w:gridCol w:w="792"/>
        <w:gridCol w:w="940"/>
        <w:gridCol w:w="863"/>
        <w:gridCol w:w="1443"/>
        <w:gridCol w:w="1582"/>
        <w:gridCol w:w="721"/>
        <w:gridCol w:w="721"/>
        <w:gridCol w:w="719"/>
        <w:gridCol w:w="721"/>
        <w:gridCol w:w="719"/>
        <w:gridCol w:w="721"/>
        <w:gridCol w:w="721"/>
        <w:gridCol w:w="719"/>
        <w:gridCol w:w="577"/>
        <w:gridCol w:w="571"/>
        <w:gridCol w:w="236"/>
      </w:tblGrid>
      <w:tr w14:paraId="484AA28E">
        <w:tblPrEx>
          <w:tblCellMar>
            <w:top w:w="0" w:type="dxa"/>
            <w:left w:w="108" w:type="dxa"/>
            <w:bottom w:w="0" w:type="dxa"/>
            <w:right w:w="108" w:type="dxa"/>
          </w:tblCellMar>
        </w:tblPrEx>
        <w:trPr>
          <w:gridAfter w:val="1"/>
          <w:wAfter w:w="236" w:type="dxa"/>
          <w:trHeight w:val="285" w:hRule="atLeast"/>
        </w:trPr>
        <w:tc>
          <w:tcPr>
            <w:tcW w:w="7056" w:type="dxa"/>
            <w:gridSpan w:val="7"/>
            <w:tcBorders>
              <w:bottom w:val="single" w:color="auto" w:sz="4" w:space="0"/>
            </w:tcBorders>
            <w:vAlign w:val="center"/>
          </w:tcPr>
          <w:p w14:paraId="1F1FF47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highlight w:val="none"/>
              </w:rPr>
            </w:pPr>
            <w:r>
              <w:rPr>
                <w:rFonts w:hint="eastAsia" w:ascii="宋体" w:hAnsi="宋体" w:eastAsia="宋体" w:cs="宋体"/>
                <w:color w:val="auto"/>
                <w:kern w:val="0"/>
                <w:sz w:val="24"/>
                <w:highlight w:val="none"/>
              </w:rPr>
              <w:t>项目名称：</w:t>
            </w:r>
          </w:p>
        </w:tc>
        <w:tc>
          <w:tcPr>
            <w:tcW w:w="6910" w:type="dxa"/>
            <w:gridSpan w:val="10"/>
            <w:tcBorders>
              <w:bottom w:val="single" w:color="auto" w:sz="4" w:space="0"/>
            </w:tcBorders>
            <w:vAlign w:val="center"/>
          </w:tcPr>
          <w:p w14:paraId="402AB6D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sz w:val="24"/>
                <w:highlight w:val="none"/>
              </w:rPr>
              <w:t>统计时间：20xx年第X季度</w:t>
            </w:r>
          </w:p>
        </w:tc>
      </w:tr>
      <w:tr w14:paraId="6043D7B7">
        <w:tblPrEx>
          <w:tblCellMar>
            <w:top w:w="0" w:type="dxa"/>
            <w:left w:w="108" w:type="dxa"/>
            <w:bottom w:w="0" w:type="dxa"/>
            <w:right w:w="108" w:type="dxa"/>
          </w:tblCellMar>
        </w:tblPrEx>
        <w:trPr>
          <w:gridAfter w:val="1"/>
          <w:wAfter w:w="236" w:type="dxa"/>
          <w:trHeight w:val="285" w:hRule="atLeast"/>
        </w:trPr>
        <w:tc>
          <w:tcPr>
            <w:tcW w:w="404" w:type="dxa"/>
            <w:vMerge w:val="restart"/>
            <w:tcBorders>
              <w:top w:val="single" w:color="auto" w:sz="4" w:space="0"/>
              <w:left w:val="single" w:color="auto" w:sz="4" w:space="0"/>
              <w:bottom w:val="single" w:color="auto" w:sz="4" w:space="0"/>
              <w:right w:val="single" w:color="auto" w:sz="4" w:space="0"/>
            </w:tcBorders>
            <w:vAlign w:val="center"/>
          </w:tcPr>
          <w:p w14:paraId="06127B4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序号</w:t>
            </w:r>
          </w:p>
        </w:tc>
        <w:tc>
          <w:tcPr>
            <w:tcW w:w="1032" w:type="dxa"/>
            <w:vMerge w:val="restart"/>
            <w:tcBorders>
              <w:top w:val="single" w:color="auto" w:sz="4" w:space="0"/>
              <w:left w:val="single" w:color="auto" w:sz="4" w:space="0"/>
              <w:bottom w:val="single" w:color="auto" w:sz="4" w:space="0"/>
              <w:right w:val="single" w:color="auto" w:sz="4" w:space="0"/>
            </w:tcBorders>
            <w:vAlign w:val="center"/>
          </w:tcPr>
          <w:p w14:paraId="7FA93DA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报账日期</w:t>
            </w:r>
          </w:p>
        </w:tc>
        <w:tc>
          <w:tcPr>
            <w:tcW w:w="792" w:type="dxa"/>
            <w:vMerge w:val="restart"/>
            <w:tcBorders>
              <w:top w:val="single" w:color="auto" w:sz="4" w:space="0"/>
              <w:left w:val="single" w:color="auto" w:sz="4" w:space="0"/>
              <w:bottom w:val="single" w:color="auto" w:sz="4" w:space="0"/>
              <w:right w:val="single" w:color="auto" w:sz="4" w:space="0"/>
            </w:tcBorders>
            <w:vAlign w:val="center"/>
          </w:tcPr>
          <w:p w14:paraId="71B48C0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发票编号</w:t>
            </w:r>
          </w:p>
        </w:tc>
        <w:tc>
          <w:tcPr>
            <w:tcW w:w="940" w:type="dxa"/>
            <w:vMerge w:val="restart"/>
            <w:tcBorders>
              <w:top w:val="single" w:color="auto" w:sz="4" w:space="0"/>
              <w:left w:val="single" w:color="auto" w:sz="4" w:space="0"/>
              <w:bottom w:val="single" w:color="auto" w:sz="4" w:space="0"/>
              <w:right w:val="single" w:color="auto" w:sz="4" w:space="0"/>
            </w:tcBorders>
            <w:vAlign w:val="center"/>
          </w:tcPr>
          <w:p w14:paraId="72C3980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发票内容</w:t>
            </w:r>
          </w:p>
        </w:tc>
        <w:tc>
          <w:tcPr>
            <w:tcW w:w="863" w:type="dxa"/>
            <w:vMerge w:val="restart"/>
            <w:tcBorders>
              <w:top w:val="single" w:color="auto" w:sz="4" w:space="0"/>
              <w:left w:val="single" w:color="auto" w:sz="4" w:space="0"/>
              <w:bottom w:val="single" w:color="auto" w:sz="4" w:space="0"/>
              <w:right w:val="single" w:color="auto" w:sz="4" w:space="0"/>
            </w:tcBorders>
            <w:vAlign w:val="center"/>
          </w:tcPr>
          <w:p w14:paraId="3BC6926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凭证号</w:t>
            </w:r>
          </w:p>
        </w:tc>
        <w:tc>
          <w:tcPr>
            <w:tcW w:w="3025" w:type="dxa"/>
            <w:gridSpan w:val="2"/>
            <w:vMerge w:val="restart"/>
            <w:tcBorders>
              <w:top w:val="single" w:color="auto" w:sz="4" w:space="0"/>
              <w:left w:val="single" w:color="auto" w:sz="4" w:space="0"/>
              <w:bottom w:val="single" w:color="auto" w:sz="4" w:space="0"/>
              <w:right w:val="single" w:color="auto" w:sz="4" w:space="0"/>
            </w:tcBorders>
            <w:vAlign w:val="center"/>
          </w:tcPr>
          <w:p w14:paraId="60556F0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安全文明措施费投入项目名称</w:t>
            </w:r>
          </w:p>
        </w:tc>
        <w:tc>
          <w:tcPr>
            <w:tcW w:w="6910" w:type="dxa"/>
            <w:gridSpan w:val="10"/>
            <w:tcBorders>
              <w:top w:val="single" w:color="auto" w:sz="4" w:space="0"/>
              <w:left w:val="nil"/>
              <w:bottom w:val="single" w:color="auto" w:sz="4" w:space="0"/>
              <w:right w:val="single" w:color="auto" w:sz="4" w:space="0"/>
            </w:tcBorders>
            <w:vAlign w:val="center"/>
          </w:tcPr>
          <w:p w14:paraId="63D1A0B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本季项目实际支出费用(元)</w:t>
            </w:r>
          </w:p>
        </w:tc>
      </w:tr>
      <w:tr w14:paraId="176EB85E">
        <w:tblPrEx>
          <w:tblCellMar>
            <w:top w:w="0" w:type="dxa"/>
            <w:left w:w="108" w:type="dxa"/>
            <w:bottom w:w="0" w:type="dxa"/>
            <w:right w:w="108" w:type="dxa"/>
          </w:tblCellMar>
        </w:tblPrEx>
        <w:trPr>
          <w:gridAfter w:val="1"/>
          <w:wAfter w:w="236" w:type="dxa"/>
          <w:trHeight w:val="312" w:hRule="atLeast"/>
        </w:trPr>
        <w:tc>
          <w:tcPr>
            <w:tcW w:w="404" w:type="dxa"/>
            <w:vMerge w:val="continue"/>
            <w:tcBorders>
              <w:top w:val="single" w:color="auto" w:sz="4" w:space="0"/>
              <w:left w:val="single" w:color="auto" w:sz="4" w:space="0"/>
              <w:bottom w:val="single" w:color="auto" w:sz="4" w:space="0"/>
              <w:right w:val="single" w:color="auto" w:sz="4" w:space="0"/>
            </w:tcBorders>
            <w:vAlign w:val="center"/>
          </w:tcPr>
          <w:p w14:paraId="094D3E3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032" w:type="dxa"/>
            <w:vMerge w:val="continue"/>
            <w:tcBorders>
              <w:top w:val="single" w:color="auto" w:sz="4" w:space="0"/>
              <w:left w:val="single" w:color="auto" w:sz="4" w:space="0"/>
              <w:bottom w:val="single" w:color="auto" w:sz="4" w:space="0"/>
              <w:right w:val="single" w:color="auto" w:sz="4" w:space="0"/>
            </w:tcBorders>
            <w:vAlign w:val="center"/>
          </w:tcPr>
          <w:p w14:paraId="177DA91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92" w:type="dxa"/>
            <w:vMerge w:val="continue"/>
            <w:tcBorders>
              <w:top w:val="single" w:color="auto" w:sz="4" w:space="0"/>
              <w:left w:val="single" w:color="auto" w:sz="4" w:space="0"/>
              <w:bottom w:val="single" w:color="auto" w:sz="4" w:space="0"/>
              <w:right w:val="single" w:color="auto" w:sz="4" w:space="0"/>
            </w:tcBorders>
            <w:vAlign w:val="center"/>
          </w:tcPr>
          <w:p w14:paraId="2971E0C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14:paraId="71F6233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14:paraId="388556B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3025" w:type="dxa"/>
            <w:gridSpan w:val="2"/>
            <w:vMerge w:val="continue"/>
            <w:tcBorders>
              <w:top w:val="single" w:color="auto" w:sz="4" w:space="0"/>
              <w:left w:val="single" w:color="auto" w:sz="4" w:space="0"/>
              <w:bottom w:val="single" w:color="auto" w:sz="4" w:space="0"/>
              <w:right w:val="single" w:color="auto" w:sz="4" w:space="0"/>
            </w:tcBorders>
            <w:vAlign w:val="center"/>
          </w:tcPr>
          <w:p w14:paraId="29079E5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2161" w:type="dxa"/>
            <w:gridSpan w:val="3"/>
            <w:vMerge w:val="restart"/>
            <w:tcBorders>
              <w:top w:val="single" w:color="auto" w:sz="4" w:space="0"/>
              <w:left w:val="single" w:color="auto" w:sz="4" w:space="0"/>
              <w:bottom w:val="single" w:color="auto" w:sz="4" w:space="0"/>
              <w:right w:val="single" w:color="auto" w:sz="4" w:space="0"/>
            </w:tcBorders>
            <w:vAlign w:val="center"/>
          </w:tcPr>
          <w:p w14:paraId="772B1C3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新购材料</w:t>
            </w:r>
          </w:p>
        </w:tc>
        <w:tc>
          <w:tcPr>
            <w:tcW w:w="2161" w:type="dxa"/>
            <w:gridSpan w:val="3"/>
            <w:vMerge w:val="restart"/>
            <w:tcBorders>
              <w:top w:val="single" w:color="auto" w:sz="4" w:space="0"/>
              <w:left w:val="single" w:color="auto" w:sz="4" w:space="0"/>
              <w:bottom w:val="single" w:color="auto" w:sz="4" w:space="0"/>
              <w:right w:val="single" w:color="auto" w:sz="4" w:space="0"/>
            </w:tcBorders>
            <w:vAlign w:val="center"/>
          </w:tcPr>
          <w:p w14:paraId="7349C38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内部调入材料</w:t>
            </w:r>
          </w:p>
        </w:tc>
        <w:tc>
          <w:tcPr>
            <w:tcW w:w="1440" w:type="dxa"/>
            <w:gridSpan w:val="2"/>
            <w:vMerge w:val="restart"/>
            <w:tcBorders>
              <w:top w:val="single" w:color="auto" w:sz="4" w:space="0"/>
              <w:left w:val="single" w:color="auto" w:sz="4" w:space="0"/>
              <w:bottom w:val="single" w:color="auto" w:sz="4" w:space="0"/>
              <w:right w:val="single" w:color="auto" w:sz="4" w:space="0"/>
            </w:tcBorders>
            <w:vAlign w:val="center"/>
          </w:tcPr>
          <w:p w14:paraId="0F29D14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人工费</w:t>
            </w:r>
          </w:p>
        </w:tc>
        <w:tc>
          <w:tcPr>
            <w:tcW w:w="577" w:type="dxa"/>
            <w:vMerge w:val="restart"/>
            <w:tcBorders>
              <w:top w:val="single" w:color="auto" w:sz="4" w:space="0"/>
              <w:left w:val="single" w:color="auto" w:sz="4" w:space="0"/>
              <w:bottom w:val="single" w:color="auto" w:sz="4" w:space="0"/>
              <w:right w:val="single" w:color="auto" w:sz="4" w:space="0"/>
            </w:tcBorders>
            <w:vAlign w:val="center"/>
          </w:tcPr>
          <w:p w14:paraId="57BD9D4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检测费</w:t>
            </w:r>
          </w:p>
        </w:tc>
        <w:tc>
          <w:tcPr>
            <w:tcW w:w="571" w:type="dxa"/>
            <w:vMerge w:val="restart"/>
            <w:tcBorders>
              <w:top w:val="single" w:color="auto" w:sz="4" w:space="0"/>
              <w:left w:val="single" w:color="auto" w:sz="4" w:space="0"/>
              <w:bottom w:val="single" w:color="auto" w:sz="4" w:space="0"/>
              <w:right w:val="single" w:color="auto" w:sz="4" w:space="0"/>
            </w:tcBorders>
            <w:vAlign w:val="center"/>
          </w:tcPr>
          <w:p w14:paraId="6587474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其他</w:t>
            </w:r>
          </w:p>
        </w:tc>
      </w:tr>
      <w:tr w14:paraId="4C90BEBC">
        <w:tblPrEx>
          <w:tblCellMar>
            <w:top w:w="0" w:type="dxa"/>
            <w:left w:w="108" w:type="dxa"/>
            <w:bottom w:w="0" w:type="dxa"/>
            <w:right w:w="108" w:type="dxa"/>
          </w:tblCellMar>
        </w:tblPrEx>
        <w:trPr>
          <w:trHeight w:val="285" w:hRule="atLeast"/>
        </w:trPr>
        <w:tc>
          <w:tcPr>
            <w:tcW w:w="404" w:type="dxa"/>
            <w:vMerge w:val="continue"/>
            <w:tcBorders>
              <w:top w:val="single" w:color="auto" w:sz="4" w:space="0"/>
              <w:left w:val="single" w:color="auto" w:sz="4" w:space="0"/>
              <w:bottom w:val="single" w:color="auto" w:sz="4" w:space="0"/>
              <w:right w:val="single" w:color="auto" w:sz="4" w:space="0"/>
            </w:tcBorders>
            <w:vAlign w:val="center"/>
          </w:tcPr>
          <w:p w14:paraId="0987288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032" w:type="dxa"/>
            <w:vMerge w:val="continue"/>
            <w:tcBorders>
              <w:top w:val="single" w:color="auto" w:sz="4" w:space="0"/>
              <w:left w:val="single" w:color="auto" w:sz="4" w:space="0"/>
              <w:bottom w:val="single" w:color="auto" w:sz="4" w:space="0"/>
              <w:right w:val="single" w:color="auto" w:sz="4" w:space="0"/>
            </w:tcBorders>
            <w:vAlign w:val="center"/>
          </w:tcPr>
          <w:p w14:paraId="485513E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92" w:type="dxa"/>
            <w:vMerge w:val="continue"/>
            <w:tcBorders>
              <w:top w:val="single" w:color="auto" w:sz="4" w:space="0"/>
              <w:left w:val="single" w:color="auto" w:sz="4" w:space="0"/>
              <w:bottom w:val="single" w:color="auto" w:sz="4" w:space="0"/>
              <w:right w:val="single" w:color="auto" w:sz="4" w:space="0"/>
            </w:tcBorders>
            <w:vAlign w:val="center"/>
          </w:tcPr>
          <w:p w14:paraId="56BA530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14:paraId="0B3121C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14:paraId="0C8D70C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3025" w:type="dxa"/>
            <w:gridSpan w:val="2"/>
            <w:vMerge w:val="continue"/>
            <w:tcBorders>
              <w:top w:val="single" w:color="auto" w:sz="4" w:space="0"/>
              <w:left w:val="single" w:color="auto" w:sz="4" w:space="0"/>
              <w:bottom w:val="single" w:color="auto" w:sz="4" w:space="0"/>
              <w:right w:val="single" w:color="auto" w:sz="4" w:space="0"/>
            </w:tcBorders>
            <w:vAlign w:val="center"/>
          </w:tcPr>
          <w:p w14:paraId="70A902E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2161" w:type="dxa"/>
            <w:gridSpan w:val="3"/>
            <w:vMerge w:val="continue"/>
            <w:tcBorders>
              <w:top w:val="single" w:color="auto" w:sz="4" w:space="0"/>
              <w:left w:val="single" w:color="auto" w:sz="4" w:space="0"/>
              <w:bottom w:val="single" w:color="auto" w:sz="4" w:space="0"/>
              <w:right w:val="single" w:color="auto" w:sz="4" w:space="0"/>
            </w:tcBorders>
            <w:vAlign w:val="center"/>
          </w:tcPr>
          <w:p w14:paraId="0A9A7FB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2161" w:type="dxa"/>
            <w:gridSpan w:val="3"/>
            <w:vMerge w:val="continue"/>
            <w:tcBorders>
              <w:top w:val="single" w:color="auto" w:sz="4" w:space="0"/>
              <w:left w:val="single" w:color="auto" w:sz="4" w:space="0"/>
              <w:bottom w:val="single" w:color="auto" w:sz="4" w:space="0"/>
              <w:right w:val="single" w:color="auto" w:sz="4" w:space="0"/>
            </w:tcBorders>
            <w:vAlign w:val="center"/>
          </w:tcPr>
          <w:p w14:paraId="2E0BA37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440" w:type="dxa"/>
            <w:gridSpan w:val="2"/>
            <w:vMerge w:val="continue"/>
            <w:tcBorders>
              <w:top w:val="single" w:color="auto" w:sz="4" w:space="0"/>
              <w:left w:val="single" w:color="auto" w:sz="4" w:space="0"/>
              <w:bottom w:val="single" w:color="auto" w:sz="4" w:space="0"/>
              <w:right w:val="single" w:color="auto" w:sz="4" w:space="0"/>
            </w:tcBorders>
            <w:vAlign w:val="center"/>
          </w:tcPr>
          <w:p w14:paraId="5DF7452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577" w:type="dxa"/>
            <w:vMerge w:val="continue"/>
            <w:tcBorders>
              <w:top w:val="nil"/>
              <w:left w:val="single" w:color="auto" w:sz="4" w:space="0"/>
              <w:bottom w:val="single" w:color="auto" w:sz="4" w:space="0"/>
              <w:right w:val="single" w:color="auto" w:sz="4" w:space="0"/>
            </w:tcBorders>
            <w:vAlign w:val="center"/>
          </w:tcPr>
          <w:p w14:paraId="7A1E758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571" w:type="dxa"/>
            <w:vMerge w:val="continue"/>
            <w:tcBorders>
              <w:top w:val="nil"/>
              <w:left w:val="single" w:color="auto" w:sz="4" w:space="0"/>
              <w:bottom w:val="single" w:color="auto" w:sz="4" w:space="0"/>
              <w:right w:val="single" w:color="auto" w:sz="4" w:space="0"/>
            </w:tcBorders>
            <w:vAlign w:val="center"/>
          </w:tcPr>
          <w:p w14:paraId="6755E6D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236" w:type="dxa"/>
            <w:tcBorders>
              <w:top w:val="nil"/>
              <w:left w:val="nil"/>
              <w:bottom w:val="nil"/>
              <w:right w:val="nil"/>
            </w:tcBorders>
            <w:vAlign w:val="center"/>
          </w:tcPr>
          <w:p w14:paraId="1C54D79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366A677D">
        <w:tblPrEx>
          <w:tblCellMar>
            <w:top w:w="0" w:type="dxa"/>
            <w:left w:w="108" w:type="dxa"/>
            <w:bottom w:w="0" w:type="dxa"/>
            <w:right w:w="108" w:type="dxa"/>
          </w:tblCellMar>
        </w:tblPrEx>
        <w:trPr>
          <w:trHeight w:val="285" w:hRule="atLeast"/>
        </w:trPr>
        <w:tc>
          <w:tcPr>
            <w:tcW w:w="404" w:type="dxa"/>
            <w:vMerge w:val="continue"/>
            <w:tcBorders>
              <w:top w:val="single" w:color="auto" w:sz="4" w:space="0"/>
              <w:left w:val="single" w:color="auto" w:sz="4" w:space="0"/>
              <w:bottom w:val="single" w:color="auto" w:sz="4" w:space="0"/>
              <w:right w:val="single" w:color="auto" w:sz="4" w:space="0"/>
            </w:tcBorders>
            <w:vAlign w:val="center"/>
          </w:tcPr>
          <w:p w14:paraId="2128A36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032" w:type="dxa"/>
            <w:vMerge w:val="continue"/>
            <w:tcBorders>
              <w:top w:val="single" w:color="auto" w:sz="4" w:space="0"/>
              <w:left w:val="single" w:color="auto" w:sz="4" w:space="0"/>
              <w:bottom w:val="single" w:color="auto" w:sz="4" w:space="0"/>
              <w:right w:val="single" w:color="auto" w:sz="4" w:space="0"/>
            </w:tcBorders>
            <w:vAlign w:val="center"/>
          </w:tcPr>
          <w:p w14:paraId="0E7D91C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92" w:type="dxa"/>
            <w:vMerge w:val="continue"/>
            <w:tcBorders>
              <w:top w:val="single" w:color="auto" w:sz="4" w:space="0"/>
              <w:left w:val="single" w:color="auto" w:sz="4" w:space="0"/>
              <w:bottom w:val="single" w:color="auto" w:sz="4" w:space="0"/>
              <w:right w:val="single" w:color="auto" w:sz="4" w:space="0"/>
            </w:tcBorders>
            <w:vAlign w:val="center"/>
          </w:tcPr>
          <w:p w14:paraId="7D561E8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14:paraId="0735042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14:paraId="3B06D57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3025" w:type="dxa"/>
            <w:gridSpan w:val="2"/>
            <w:vMerge w:val="continue"/>
            <w:tcBorders>
              <w:top w:val="single" w:color="auto" w:sz="4" w:space="0"/>
              <w:left w:val="single" w:color="auto" w:sz="4" w:space="0"/>
              <w:bottom w:val="single" w:color="auto" w:sz="4" w:space="0"/>
              <w:right w:val="single" w:color="auto" w:sz="4" w:space="0"/>
            </w:tcBorders>
            <w:vAlign w:val="center"/>
          </w:tcPr>
          <w:p w14:paraId="3A1D8FC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4C045D9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单位</w:t>
            </w:r>
          </w:p>
        </w:tc>
        <w:tc>
          <w:tcPr>
            <w:tcW w:w="721" w:type="dxa"/>
            <w:tcBorders>
              <w:top w:val="nil"/>
              <w:left w:val="nil"/>
              <w:bottom w:val="single" w:color="auto" w:sz="4" w:space="0"/>
              <w:right w:val="single" w:color="auto" w:sz="4" w:space="0"/>
            </w:tcBorders>
            <w:vAlign w:val="center"/>
          </w:tcPr>
          <w:p w14:paraId="1FE22BF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数量</w:t>
            </w:r>
          </w:p>
        </w:tc>
        <w:tc>
          <w:tcPr>
            <w:tcW w:w="719" w:type="dxa"/>
            <w:tcBorders>
              <w:top w:val="nil"/>
              <w:left w:val="nil"/>
              <w:bottom w:val="single" w:color="auto" w:sz="4" w:space="0"/>
              <w:right w:val="single" w:color="auto" w:sz="4" w:space="0"/>
            </w:tcBorders>
            <w:vAlign w:val="center"/>
          </w:tcPr>
          <w:p w14:paraId="472FADC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金额</w:t>
            </w:r>
          </w:p>
        </w:tc>
        <w:tc>
          <w:tcPr>
            <w:tcW w:w="721" w:type="dxa"/>
            <w:tcBorders>
              <w:top w:val="nil"/>
              <w:left w:val="nil"/>
              <w:bottom w:val="single" w:color="auto" w:sz="4" w:space="0"/>
              <w:right w:val="single" w:color="auto" w:sz="4" w:space="0"/>
            </w:tcBorders>
            <w:vAlign w:val="center"/>
          </w:tcPr>
          <w:p w14:paraId="269A6BD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单位</w:t>
            </w:r>
          </w:p>
        </w:tc>
        <w:tc>
          <w:tcPr>
            <w:tcW w:w="719" w:type="dxa"/>
            <w:tcBorders>
              <w:top w:val="nil"/>
              <w:left w:val="nil"/>
              <w:bottom w:val="single" w:color="auto" w:sz="4" w:space="0"/>
              <w:right w:val="single" w:color="auto" w:sz="4" w:space="0"/>
            </w:tcBorders>
            <w:vAlign w:val="center"/>
          </w:tcPr>
          <w:p w14:paraId="3DBD34A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数量</w:t>
            </w:r>
          </w:p>
        </w:tc>
        <w:tc>
          <w:tcPr>
            <w:tcW w:w="721" w:type="dxa"/>
            <w:tcBorders>
              <w:top w:val="nil"/>
              <w:left w:val="nil"/>
              <w:bottom w:val="single" w:color="auto" w:sz="4" w:space="0"/>
              <w:right w:val="single" w:color="auto" w:sz="4" w:space="0"/>
            </w:tcBorders>
            <w:vAlign w:val="center"/>
          </w:tcPr>
          <w:p w14:paraId="149DB3D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金额</w:t>
            </w:r>
          </w:p>
        </w:tc>
        <w:tc>
          <w:tcPr>
            <w:tcW w:w="721" w:type="dxa"/>
            <w:tcBorders>
              <w:top w:val="nil"/>
              <w:left w:val="nil"/>
              <w:bottom w:val="single" w:color="auto" w:sz="4" w:space="0"/>
              <w:right w:val="single" w:color="auto" w:sz="4" w:space="0"/>
            </w:tcBorders>
            <w:vAlign w:val="center"/>
          </w:tcPr>
          <w:p w14:paraId="2221261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人/工日</w:t>
            </w:r>
          </w:p>
        </w:tc>
        <w:tc>
          <w:tcPr>
            <w:tcW w:w="719" w:type="dxa"/>
            <w:tcBorders>
              <w:top w:val="nil"/>
              <w:left w:val="nil"/>
              <w:bottom w:val="single" w:color="auto" w:sz="4" w:space="0"/>
              <w:right w:val="single" w:color="auto" w:sz="4" w:space="0"/>
            </w:tcBorders>
            <w:vAlign w:val="center"/>
          </w:tcPr>
          <w:p w14:paraId="53902E8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金额</w:t>
            </w:r>
          </w:p>
        </w:tc>
        <w:tc>
          <w:tcPr>
            <w:tcW w:w="577" w:type="dxa"/>
            <w:vMerge w:val="continue"/>
            <w:tcBorders>
              <w:top w:val="nil"/>
              <w:left w:val="single" w:color="auto" w:sz="4" w:space="0"/>
              <w:bottom w:val="single" w:color="auto" w:sz="4" w:space="0"/>
              <w:right w:val="single" w:color="auto" w:sz="4" w:space="0"/>
            </w:tcBorders>
            <w:vAlign w:val="center"/>
          </w:tcPr>
          <w:p w14:paraId="02B564F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571" w:type="dxa"/>
            <w:vMerge w:val="continue"/>
            <w:tcBorders>
              <w:top w:val="nil"/>
              <w:left w:val="single" w:color="auto" w:sz="4" w:space="0"/>
              <w:bottom w:val="single" w:color="auto" w:sz="4" w:space="0"/>
              <w:right w:val="single" w:color="auto" w:sz="4" w:space="0"/>
            </w:tcBorders>
            <w:vAlign w:val="center"/>
          </w:tcPr>
          <w:p w14:paraId="3F7C084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236" w:type="dxa"/>
            <w:vAlign w:val="center"/>
          </w:tcPr>
          <w:p w14:paraId="240A371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5027C22A">
        <w:tblPrEx>
          <w:tblCellMar>
            <w:top w:w="0" w:type="dxa"/>
            <w:left w:w="108" w:type="dxa"/>
            <w:bottom w:w="0" w:type="dxa"/>
            <w:right w:w="108" w:type="dxa"/>
          </w:tblCellMar>
        </w:tblPrEx>
        <w:trPr>
          <w:trHeight w:val="1125" w:hRule="atLeast"/>
        </w:trPr>
        <w:tc>
          <w:tcPr>
            <w:tcW w:w="404" w:type="dxa"/>
            <w:tcBorders>
              <w:top w:val="nil"/>
              <w:left w:val="single" w:color="auto" w:sz="4" w:space="0"/>
              <w:bottom w:val="single" w:color="auto" w:sz="4" w:space="0"/>
              <w:right w:val="single" w:color="auto" w:sz="4" w:space="0"/>
            </w:tcBorders>
            <w:vAlign w:val="center"/>
          </w:tcPr>
          <w:p w14:paraId="77EE1A5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1</w:t>
            </w:r>
          </w:p>
        </w:tc>
        <w:tc>
          <w:tcPr>
            <w:tcW w:w="1032" w:type="dxa"/>
            <w:tcBorders>
              <w:top w:val="nil"/>
              <w:left w:val="nil"/>
              <w:bottom w:val="single" w:color="auto" w:sz="4" w:space="0"/>
              <w:right w:val="single" w:color="auto" w:sz="4" w:space="0"/>
            </w:tcBorders>
            <w:vAlign w:val="center"/>
          </w:tcPr>
          <w:p w14:paraId="244B4EC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92" w:type="dxa"/>
            <w:tcBorders>
              <w:top w:val="single" w:color="auto" w:sz="4" w:space="0"/>
              <w:left w:val="nil"/>
              <w:bottom w:val="single" w:color="auto" w:sz="4" w:space="0"/>
              <w:right w:val="single" w:color="auto" w:sz="4" w:space="0"/>
            </w:tcBorders>
            <w:vAlign w:val="center"/>
          </w:tcPr>
          <w:p w14:paraId="344E58C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940" w:type="dxa"/>
            <w:tcBorders>
              <w:top w:val="single" w:color="auto" w:sz="4" w:space="0"/>
              <w:left w:val="nil"/>
              <w:bottom w:val="single" w:color="auto" w:sz="4" w:space="0"/>
              <w:right w:val="single" w:color="auto" w:sz="4" w:space="0"/>
            </w:tcBorders>
            <w:vAlign w:val="center"/>
          </w:tcPr>
          <w:p w14:paraId="55D85C2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卷闸门</w:t>
            </w:r>
          </w:p>
        </w:tc>
        <w:tc>
          <w:tcPr>
            <w:tcW w:w="863" w:type="dxa"/>
            <w:tcBorders>
              <w:top w:val="single" w:color="auto" w:sz="4" w:space="0"/>
              <w:left w:val="nil"/>
              <w:bottom w:val="single" w:color="auto" w:sz="4" w:space="0"/>
              <w:right w:val="single" w:color="auto" w:sz="4" w:space="0"/>
            </w:tcBorders>
            <w:vAlign w:val="center"/>
          </w:tcPr>
          <w:p w14:paraId="4F1A070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443" w:type="dxa"/>
            <w:vMerge w:val="restart"/>
            <w:tcBorders>
              <w:top w:val="nil"/>
              <w:left w:val="single" w:color="auto" w:sz="4" w:space="0"/>
              <w:bottom w:val="single" w:color="000000" w:sz="4" w:space="0"/>
              <w:right w:val="single" w:color="auto" w:sz="4" w:space="0"/>
            </w:tcBorders>
            <w:vAlign w:val="center"/>
          </w:tcPr>
          <w:p w14:paraId="2DEFA54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一、完善、改造和维护安全防护设施设备支出</w:t>
            </w:r>
          </w:p>
        </w:tc>
        <w:tc>
          <w:tcPr>
            <w:tcW w:w="1582" w:type="dxa"/>
            <w:tcBorders>
              <w:top w:val="nil"/>
              <w:left w:val="nil"/>
              <w:bottom w:val="single" w:color="auto" w:sz="4" w:space="0"/>
              <w:right w:val="single" w:color="auto" w:sz="4" w:space="0"/>
            </w:tcBorders>
            <w:vAlign w:val="center"/>
          </w:tcPr>
          <w:p w14:paraId="02C9A7F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（三）安全设施防护设备（含警戒标志）费用；卸料平台的临边防护、层间安全门、防护棚等设施费用</w:t>
            </w:r>
          </w:p>
        </w:tc>
        <w:tc>
          <w:tcPr>
            <w:tcW w:w="721" w:type="dxa"/>
            <w:tcBorders>
              <w:top w:val="nil"/>
              <w:left w:val="nil"/>
              <w:bottom w:val="single" w:color="auto" w:sz="4" w:space="0"/>
              <w:right w:val="single" w:color="auto" w:sz="4" w:space="0"/>
            </w:tcBorders>
            <w:vAlign w:val="center"/>
          </w:tcPr>
          <w:p w14:paraId="3462B1C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692FDE1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2C372BF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4D56463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5A58994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397236F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35D578F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57BA6BB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577" w:type="dxa"/>
            <w:tcBorders>
              <w:top w:val="nil"/>
              <w:left w:val="nil"/>
              <w:bottom w:val="single" w:color="auto" w:sz="4" w:space="0"/>
              <w:right w:val="single" w:color="auto" w:sz="4" w:space="0"/>
            </w:tcBorders>
            <w:vAlign w:val="center"/>
          </w:tcPr>
          <w:p w14:paraId="0297523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571" w:type="dxa"/>
            <w:tcBorders>
              <w:top w:val="nil"/>
              <w:left w:val="nil"/>
              <w:bottom w:val="single" w:color="auto" w:sz="4" w:space="0"/>
              <w:right w:val="single" w:color="auto" w:sz="4" w:space="0"/>
            </w:tcBorders>
            <w:vAlign w:val="center"/>
          </w:tcPr>
          <w:p w14:paraId="716605A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236" w:type="dxa"/>
            <w:vAlign w:val="center"/>
          </w:tcPr>
          <w:p w14:paraId="62D5460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48EC6BAA">
        <w:tblPrEx>
          <w:tblCellMar>
            <w:top w:w="0" w:type="dxa"/>
            <w:left w:w="108" w:type="dxa"/>
            <w:bottom w:w="0" w:type="dxa"/>
            <w:right w:w="108" w:type="dxa"/>
          </w:tblCellMar>
        </w:tblPrEx>
        <w:trPr>
          <w:trHeight w:val="285" w:hRule="atLeast"/>
        </w:trPr>
        <w:tc>
          <w:tcPr>
            <w:tcW w:w="404" w:type="dxa"/>
            <w:vMerge w:val="restart"/>
            <w:tcBorders>
              <w:top w:val="nil"/>
              <w:left w:val="single" w:color="auto" w:sz="4" w:space="0"/>
              <w:bottom w:val="single" w:color="auto" w:sz="4" w:space="0"/>
              <w:right w:val="single" w:color="auto" w:sz="4" w:space="0"/>
            </w:tcBorders>
            <w:vAlign w:val="center"/>
          </w:tcPr>
          <w:p w14:paraId="11A4983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w:t>
            </w:r>
          </w:p>
        </w:tc>
        <w:tc>
          <w:tcPr>
            <w:tcW w:w="1032" w:type="dxa"/>
            <w:tcBorders>
              <w:top w:val="nil"/>
              <w:left w:val="nil"/>
              <w:bottom w:val="single" w:color="auto" w:sz="4" w:space="0"/>
              <w:right w:val="single" w:color="auto" w:sz="4" w:space="0"/>
            </w:tcBorders>
            <w:vAlign w:val="center"/>
          </w:tcPr>
          <w:p w14:paraId="29B9E8A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92" w:type="dxa"/>
            <w:tcBorders>
              <w:top w:val="single" w:color="auto" w:sz="4" w:space="0"/>
              <w:left w:val="nil"/>
              <w:bottom w:val="single" w:color="auto" w:sz="4" w:space="0"/>
              <w:right w:val="single" w:color="auto" w:sz="4" w:space="0"/>
            </w:tcBorders>
            <w:vAlign w:val="center"/>
          </w:tcPr>
          <w:p w14:paraId="5AC4037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940" w:type="dxa"/>
            <w:tcBorders>
              <w:top w:val="single" w:color="auto" w:sz="4" w:space="0"/>
              <w:left w:val="nil"/>
              <w:bottom w:val="single" w:color="auto" w:sz="4" w:space="0"/>
              <w:right w:val="single" w:color="auto" w:sz="4" w:space="0"/>
            </w:tcBorders>
            <w:vAlign w:val="center"/>
          </w:tcPr>
          <w:p w14:paraId="594F42D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其他机械设备</w:t>
            </w:r>
          </w:p>
        </w:tc>
        <w:tc>
          <w:tcPr>
            <w:tcW w:w="863" w:type="dxa"/>
            <w:vMerge w:val="restart"/>
            <w:tcBorders>
              <w:top w:val="single" w:color="auto" w:sz="4" w:space="0"/>
              <w:left w:val="single" w:color="auto" w:sz="4" w:space="0"/>
              <w:bottom w:val="single" w:color="auto" w:sz="4" w:space="0"/>
              <w:right w:val="single" w:color="auto" w:sz="4" w:space="0"/>
            </w:tcBorders>
            <w:vAlign w:val="center"/>
          </w:tcPr>
          <w:p w14:paraId="6AF9A2C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443" w:type="dxa"/>
            <w:vMerge w:val="continue"/>
            <w:tcBorders>
              <w:top w:val="nil"/>
              <w:left w:val="single" w:color="auto" w:sz="4" w:space="0"/>
              <w:bottom w:val="single" w:color="000000" w:sz="4" w:space="0"/>
              <w:right w:val="single" w:color="auto" w:sz="4" w:space="0"/>
            </w:tcBorders>
            <w:vAlign w:val="center"/>
          </w:tcPr>
          <w:p w14:paraId="4E0D14D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82" w:type="dxa"/>
            <w:vMerge w:val="restart"/>
            <w:tcBorders>
              <w:top w:val="nil"/>
              <w:left w:val="single" w:color="auto" w:sz="4" w:space="0"/>
              <w:bottom w:val="single" w:color="000000" w:sz="4" w:space="0"/>
              <w:right w:val="single" w:color="auto" w:sz="4" w:space="0"/>
            </w:tcBorders>
            <w:vAlign w:val="center"/>
          </w:tcPr>
          <w:p w14:paraId="1F7B2B8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（八）临时设施、施工道路、围墙搭设等费用</w:t>
            </w:r>
          </w:p>
        </w:tc>
        <w:tc>
          <w:tcPr>
            <w:tcW w:w="721" w:type="dxa"/>
            <w:tcBorders>
              <w:top w:val="nil"/>
              <w:left w:val="nil"/>
              <w:bottom w:val="single" w:color="auto" w:sz="4" w:space="0"/>
              <w:right w:val="single" w:color="auto" w:sz="4" w:space="0"/>
            </w:tcBorders>
            <w:vAlign w:val="center"/>
          </w:tcPr>
          <w:p w14:paraId="6BC1ACD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个</w:t>
            </w:r>
          </w:p>
        </w:tc>
        <w:tc>
          <w:tcPr>
            <w:tcW w:w="721" w:type="dxa"/>
            <w:tcBorders>
              <w:top w:val="nil"/>
              <w:left w:val="nil"/>
              <w:bottom w:val="single" w:color="auto" w:sz="4" w:space="0"/>
              <w:right w:val="single" w:color="auto" w:sz="4" w:space="0"/>
            </w:tcBorders>
            <w:vAlign w:val="center"/>
          </w:tcPr>
          <w:p w14:paraId="0781874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18084DF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vMerge w:val="restart"/>
            <w:tcBorders>
              <w:top w:val="nil"/>
              <w:left w:val="single" w:color="auto" w:sz="4" w:space="0"/>
              <w:bottom w:val="single" w:color="auto" w:sz="4" w:space="0"/>
              <w:right w:val="single" w:color="auto" w:sz="4" w:space="0"/>
            </w:tcBorders>
            <w:vAlign w:val="center"/>
          </w:tcPr>
          <w:p w14:paraId="2B9D8BB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19" w:type="dxa"/>
            <w:vMerge w:val="restart"/>
            <w:tcBorders>
              <w:top w:val="nil"/>
              <w:left w:val="single" w:color="auto" w:sz="4" w:space="0"/>
              <w:bottom w:val="single" w:color="auto" w:sz="4" w:space="0"/>
              <w:right w:val="single" w:color="auto" w:sz="4" w:space="0"/>
            </w:tcBorders>
            <w:vAlign w:val="center"/>
          </w:tcPr>
          <w:p w14:paraId="78A81AD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vMerge w:val="restart"/>
            <w:tcBorders>
              <w:top w:val="nil"/>
              <w:left w:val="single" w:color="auto" w:sz="4" w:space="0"/>
              <w:bottom w:val="single" w:color="auto" w:sz="4" w:space="0"/>
              <w:right w:val="single" w:color="auto" w:sz="4" w:space="0"/>
            </w:tcBorders>
            <w:vAlign w:val="center"/>
          </w:tcPr>
          <w:p w14:paraId="2507B89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vMerge w:val="restart"/>
            <w:tcBorders>
              <w:top w:val="nil"/>
              <w:left w:val="single" w:color="auto" w:sz="4" w:space="0"/>
              <w:bottom w:val="single" w:color="auto" w:sz="4" w:space="0"/>
              <w:right w:val="single" w:color="auto" w:sz="4" w:space="0"/>
            </w:tcBorders>
            <w:vAlign w:val="center"/>
          </w:tcPr>
          <w:p w14:paraId="5164DB7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19" w:type="dxa"/>
            <w:vMerge w:val="restart"/>
            <w:tcBorders>
              <w:top w:val="nil"/>
              <w:left w:val="single" w:color="auto" w:sz="4" w:space="0"/>
              <w:bottom w:val="single" w:color="auto" w:sz="4" w:space="0"/>
              <w:right w:val="single" w:color="auto" w:sz="4" w:space="0"/>
            </w:tcBorders>
            <w:vAlign w:val="center"/>
          </w:tcPr>
          <w:p w14:paraId="4A90BA5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577" w:type="dxa"/>
            <w:vMerge w:val="restart"/>
            <w:tcBorders>
              <w:top w:val="nil"/>
              <w:left w:val="single" w:color="auto" w:sz="4" w:space="0"/>
              <w:bottom w:val="single" w:color="auto" w:sz="4" w:space="0"/>
              <w:right w:val="single" w:color="auto" w:sz="4" w:space="0"/>
            </w:tcBorders>
            <w:vAlign w:val="center"/>
          </w:tcPr>
          <w:p w14:paraId="4D7C16A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571" w:type="dxa"/>
            <w:vMerge w:val="restart"/>
            <w:tcBorders>
              <w:top w:val="nil"/>
              <w:left w:val="single" w:color="auto" w:sz="4" w:space="0"/>
              <w:bottom w:val="single" w:color="auto" w:sz="4" w:space="0"/>
              <w:right w:val="single" w:color="auto" w:sz="4" w:space="0"/>
            </w:tcBorders>
            <w:vAlign w:val="center"/>
          </w:tcPr>
          <w:p w14:paraId="67E8356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236" w:type="dxa"/>
            <w:vAlign w:val="center"/>
          </w:tcPr>
          <w:p w14:paraId="049476A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782A9755">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14:paraId="5F9C131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032" w:type="dxa"/>
            <w:tcBorders>
              <w:top w:val="nil"/>
              <w:left w:val="nil"/>
              <w:bottom w:val="single" w:color="auto" w:sz="4" w:space="0"/>
              <w:right w:val="single" w:color="auto" w:sz="4" w:space="0"/>
            </w:tcBorders>
            <w:vAlign w:val="center"/>
          </w:tcPr>
          <w:p w14:paraId="24F6A6B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92" w:type="dxa"/>
            <w:tcBorders>
              <w:top w:val="single" w:color="auto" w:sz="4" w:space="0"/>
              <w:left w:val="nil"/>
              <w:bottom w:val="single" w:color="auto" w:sz="4" w:space="0"/>
              <w:right w:val="single" w:color="auto" w:sz="4" w:space="0"/>
            </w:tcBorders>
            <w:vAlign w:val="center"/>
          </w:tcPr>
          <w:p w14:paraId="7F0F3CB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940" w:type="dxa"/>
            <w:tcBorders>
              <w:top w:val="single" w:color="auto" w:sz="4" w:space="0"/>
              <w:left w:val="nil"/>
              <w:bottom w:val="single" w:color="auto" w:sz="4" w:space="0"/>
              <w:right w:val="single" w:color="auto" w:sz="4" w:space="0"/>
            </w:tcBorders>
            <w:vAlign w:val="center"/>
          </w:tcPr>
          <w:p w14:paraId="69DD642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14:paraId="1CBAF58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443" w:type="dxa"/>
            <w:vMerge w:val="continue"/>
            <w:tcBorders>
              <w:top w:val="nil"/>
              <w:left w:val="single" w:color="auto" w:sz="4" w:space="0"/>
              <w:bottom w:val="single" w:color="000000" w:sz="4" w:space="0"/>
              <w:right w:val="single" w:color="auto" w:sz="4" w:space="0"/>
            </w:tcBorders>
            <w:vAlign w:val="center"/>
          </w:tcPr>
          <w:p w14:paraId="6B95552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82" w:type="dxa"/>
            <w:vMerge w:val="continue"/>
            <w:tcBorders>
              <w:top w:val="nil"/>
              <w:left w:val="single" w:color="auto" w:sz="4" w:space="0"/>
              <w:bottom w:val="single" w:color="000000" w:sz="4" w:space="0"/>
              <w:right w:val="single" w:color="auto" w:sz="4" w:space="0"/>
            </w:tcBorders>
            <w:vAlign w:val="center"/>
          </w:tcPr>
          <w:p w14:paraId="2926EA5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2704167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批</w:t>
            </w:r>
          </w:p>
        </w:tc>
        <w:tc>
          <w:tcPr>
            <w:tcW w:w="721" w:type="dxa"/>
            <w:tcBorders>
              <w:top w:val="nil"/>
              <w:left w:val="nil"/>
              <w:bottom w:val="single" w:color="auto" w:sz="4" w:space="0"/>
              <w:right w:val="single" w:color="auto" w:sz="4" w:space="0"/>
            </w:tcBorders>
            <w:vAlign w:val="center"/>
          </w:tcPr>
          <w:p w14:paraId="46CC32F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3368245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5A3BE3C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19" w:type="dxa"/>
            <w:vMerge w:val="continue"/>
            <w:tcBorders>
              <w:top w:val="nil"/>
              <w:left w:val="single" w:color="auto" w:sz="4" w:space="0"/>
              <w:bottom w:val="single" w:color="auto" w:sz="4" w:space="0"/>
              <w:right w:val="single" w:color="auto" w:sz="4" w:space="0"/>
            </w:tcBorders>
            <w:vAlign w:val="center"/>
          </w:tcPr>
          <w:p w14:paraId="7547A0C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3254BA9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2548CD3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19" w:type="dxa"/>
            <w:vMerge w:val="continue"/>
            <w:tcBorders>
              <w:top w:val="nil"/>
              <w:left w:val="single" w:color="auto" w:sz="4" w:space="0"/>
              <w:bottom w:val="single" w:color="auto" w:sz="4" w:space="0"/>
              <w:right w:val="single" w:color="auto" w:sz="4" w:space="0"/>
            </w:tcBorders>
            <w:vAlign w:val="center"/>
          </w:tcPr>
          <w:p w14:paraId="600776F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577" w:type="dxa"/>
            <w:vMerge w:val="continue"/>
            <w:tcBorders>
              <w:top w:val="nil"/>
              <w:left w:val="single" w:color="auto" w:sz="4" w:space="0"/>
              <w:bottom w:val="single" w:color="auto" w:sz="4" w:space="0"/>
              <w:right w:val="single" w:color="auto" w:sz="4" w:space="0"/>
            </w:tcBorders>
            <w:vAlign w:val="center"/>
          </w:tcPr>
          <w:p w14:paraId="4EE0FAE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571" w:type="dxa"/>
            <w:vMerge w:val="continue"/>
            <w:tcBorders>
              <w:top w:val="nil"/>
              <w:left w:val="single" w:color="auto" w:sz="4" w:space="0"/>
              <w:bottom w:val="single" w:color="auto" w:sz="4" w:space="0"/>
              <w:right w:val="single" w:color="auto" w:sz="4" w:space="0"/>
            </w:tcBorders>
            <w:vAlign w:val="center"/>
          </w:tcPr>
          <w:p w14:paraId="1C6CA5A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236" w:type="dxa"/>
            <w:vAlign w:val="center"/>
          </w:tcPr>
          <w:p w14:paraId="6E299D7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368884D2">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14:paraId="12AE337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032" w:type="dxa"/>
            <w:tcBorders>
              <w:top w:val="nil"/>
              <w:left w:val="nil"/>
              <w:bottom w:val="single" w:color="auto" w:sz="4" w:space="0"/>
              <w:right w:val="single" w:color="auto" w:sz="4" w:space="0"/>
            </w:tcBorders>
            <w:vAlign w:val="center"/>
          </w:tcPr>
          <w:p w14:paraId="4DE17E0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92" w:type="dxa"/>
            <w:tcBorders>
              <w:top w:val="single" w:color="auto" w:sz="4" w:space="0"/>
              <w:left w:val="nil"/>
              <w:bottom w:val="single" w:color="auto" w:sz="4" w:space="0"/>
              <w:right w:val="single" w:color="auto" w:sz="4" w:space="0"/>
            </w:tcBorders>
            <w:vAlign w:val="center"/>
          </w:tcPr>
          <w:p w14:paraId="2450F3F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940" w:type="dxa"/>
            <w:tcBorders>
              <w:top w:val="single" w:color="auto" w:sz="4" w:space="0"/>
              <w:left w:val="nil"/>
              <w:bottom w:val="single" w:color="auto" w:sz="4" w:space="0"/>
              <w:right w:val="single" w:color="auto" w:sz="4" w:space="0"/>
            </w:tcBorders>
            <w:vAlign w:val="center"/>
          </w:tcPr>
          <w:p w14:paraId="4E1CB91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铁桶</w:t>
            </w:r>
          </w:p>
        </w:tc>
        <w:tc>
          <w:tcPr>
            <w:tcW w:w="863" w:type="dxa"/>
            <w:vMerge w:val="continue"/>
            <w:tcBorders>
              <w:top w:val="single" w:color="auto" w:sz="4" w:space="0"/>
              <w:left w:val="single" w:color="auto" w:sz="4" w:space="0"/>
              <w:bottom w:val="single" w:color="auto" w:sz="4" w:space="0"/>
              <w:right w:val="single" w:color="auto" w:sz="4" w:space="0"/>
            </w:tcBorders>
            <w:vAlign w:val="center"/>
          </w:tcPr>
          <w:p w14:paraId="5B0BDA5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443" w:type="dxa"/>
            <w:vMerge w:val="continue"/>
            <w:tcBorders>
              <w:top w:val="nil"/>
              <w:left w:val="single" w:color="auto" w:sz="4" w:space="0"/>
              <w:bottom w:val="single" w:color="000000" w:sz="4" w:space="0"/>
              <w:right w:val="single" w:color="auto" w:sz="4" w:space="0"/>
            </w:tcBorders>
            <w:vAlign w:val="center"/>
          </w:tcPr>
          <w:p w14:paraId="3E61378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82" w:type="dxa"/>
            <w:vMerge w:val="continue"/>
            <w:tcBorders>
              <w:top w:val="nil"/>
              <w:left w:val="single" w:color="auto" w:sz="4" w:space="0"/>
              <w:bottom w:val="single" w:color="000000" w:sz="4" w:space="0"/>
              <w:right w:val="single" w:color="auto" w:sz="4" w:space="0"/>
            </w:tcBorders>
            <w:vAlign w:val="center"/>
          </w:tcPr>
          <w:p w14:paraId="1AA75D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6028BD3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个</w:t>
            </w:r>
          </w:p>
        </w:tc>
        <w:tc>
          <w:tcPr>
            <w:tcW w:w="721" w:type="dxa"/>
            <w:tcBorders>
              <w:top w:val="nil"/>
              <w:left w:val="nil"/>
              <w:bottom w:val="single" w:color="auto" w:sz="4" w:space="0"/>
              <w:right w:val="single" w:color="auto" w:sz="4" w:space="0"/>
            </w:tcBorders>
            <w:vAlign w:val="center"/>
          </w:tcPr>
          <w:p w14:paraId="0214827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37B8D9C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1583999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19" w:type="dxa"/>
            <w:vMerge w:val="continue"/>
            <w:tcBorders>
              <w:top w:val="nil"/>
              <w:left w:val="single" w:color="auto" w:sz="4" w:space="0"/>
              <w:bottom w:val="single" w:color="auto" w:sz="4" w:space="0"/>
              <w:right w:val="single" w:color="auto" w:sz="4" w:space="0"/>
            </w:tcBorders>
            <w:vAlign w:val="center"/>
          </w:tcPr>
          <w:p w14:paraId="28DE559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50D4B85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1B6BCED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19" w:type="dxa"/>
            <w:vMerge w:val="continue"/>
            <w:tcBorders>
              <w:top w:val="nil"/>
              <w:left w:val="single" w:color="auto" w:sz="4" w:space="0"/>
              <w:bottom w:val="single" w:color="auto" w:sz="4" w:space="0"/>
              <w:right w:val="single" w:color="auto" w:sz="4" w:space="0"/>
            </w:tcBorders>
            <w:vAlign w:val="center"/>
          </w:tcPr>
          <w:p w14:paraId="7A1BFA2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577" w:type="dxa"/>
            <w:vMerge w:val="continue"/>
            <w:tcBorders>
              <w:top w:val="nil"/>
              <w:left w:val="single" w:color="auto" w:sz="4" w:space="0"/>
              <w:bottom w:val="single" w:color="auto" w:sz="4" w:space="0"/>
              <w:right w:val="single" w:color="auto" w:sz="4" w:space="0"/>
            </w:tcBorders>
            <w:vAlign w:val="center"/>
          </w:tcPr>
          <w:p w14:paraId="44312AD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571" w:type="dxa"/>
            <w:vMerge w:val="continue"/>
            <w:tcBorders>
              <w:top w:val="nil"/>
              <w:left w:val="single" w:color="auto" w:sz="4" w:space="0"/>
              <w:bottom w:val="single" w:color="auto" w:sz="4" w:space="0"/>
              <w:right w:val="single" w:color="auto" w:sz="4" w:space="0"/>
            </w:tcBorders>
            <w:vAlign w:val="center"/>
          </w:tcPr>
          <w:p w14:paraId="34C2901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236" w:type="dxa"/>
            <w:vAlign w:val="center"/>
          </w:tcPr>
          <w:p w14:paraId="1EBD822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4EBBC602">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14:paraId="5969CD0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032" w:type="dxa"/>
            <w:tcBorders>
              <w:top w:val="nil"/>
              <w:left w:val="nil"/>
              <w:bottom w:val="single" w:color="auto" w:sz="4" w:space="0"/>
              <w:right w:val="single" w:color="auto" w:sz="4" w:space="0"/>
            </w:tcBorders>
            <w:vAlign w:val="center"/>
          </w:tcPr>
          <w:p w14:paraId="3970984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92" w:type="dxa"/>
            <w:tcBorders>
              <w:top w:val="single" w:color="auto" w:sz="4" w:space="0"/>
              <w:left w:val="nil"/>
              <w:bottom w:val="single" w:color="auto" w:sz="4" w:space="0"/>
              <w:right w:val="single" w:color="auto" w:sz="4" w:space="0"/>
            </w:tcBorders>
            <w:vAlign w:val="center"/>
          </w:tcPr>
          <w:p w14:paraId="6DEF4C4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940" w:type="dxa"/>
            <w:tcBorders>
              <w:top w:val="single" w:color="auto" w:sz="4" w:space="0"/>
              <w:left w:val="nil"/>
              <w:bottom w:val="single" w:color="auto" w:sz="4" w:space="0"/>
              <w:right w:val="single" w:color="000000" w:sz="4" w:space="0"/>
            </w:tcBorders>
            <w:vAlign w:val="center"/>
          </w:tcPr>
          <w:p w14:paraId="0DFF799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水泥</w:t>
            </w:r>
          </w:p>
        </w:tc>
        <w:tc>
          <w:tcPr>
            <w:tcW w:w="863" w:type="dxa"/>
            <w:vMerge w:val="continue"/>
            <w:tcBorders>
              <w:top w:val="single" w:color="auto" w:sz="4" w:space="0"/>
              <w:left w:val="single" w:color="auto" w:sz="4" w:space="0"/>
              <w:bottom w:val="single" w:color="auto" w:sz="4" w:space="0"/>
              <w:right w:val="single" w:color="auto" w:sz="4" w:space="0"/>
            </w:tcBorders>
            <w:vAlign w:val="center"/>
          </w:tcPr>
          <w:p w14:paraId="6638B00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443" w:type="dxa"/>
            <w:vMerge w:val="continue"/>
            <w:tcBorders>
              <w:top w:val="nil"/>
              <w:left w:val="single" w:color="auto" w:sz="4" w:space="0"/>
              <w:bottom w:val="single" w:color="000000" w:sz="4" w:space="0"/>
              <w:right w:val="single" w:color="auto" w:sz="4" w:space="0"/>
            </w:tcBorders>
            <w:vAlign w:val="center"/>
          </w:tcPr>
          <w:p w14:paraId="2E81A14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82" w:type="dxa"/>
            <w:vMerge w:val="continue"/>
            <w:tcBorders>
              <w:top w:val="nil"/>
              <w:left w:val="single" w:color="auto" w:sz="4" w:space="0"/>
              <w:bottom w:val="single" w:color="000000" w:sz="4" w:space="0"/>
              <w:right w:val="single" w:color="auto" w:sz="4" w:space="0"/>
            </w:tcBorders>
            <w:vAlign w:val="center"/>
          </w:tcPr>
          <w:p w14:paraId="7C10144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0DBD391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吨</w:t>
            </w:r>
          </w:p>
        </w:tc>
        <w:tc>
          <w:tcPr>
            <w:tcW w:w="721" w:type="dxa"/>
            <w:tcBorders>
              <w:top w:val="nil"/>
              <w:left w:val="nil"/>
              <w:bottom w:val="single" w:color="auto" w:sz="4" w:space="0"/>
              <w:right w:val="single" w:color="auto" w:sz="4" w:space="0"/>
            </w:tcBorders>
            <w:vAlign w:val="center"/>
          </w:tcPr>
          <w:p w14:paraId="136B4AA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0EA779E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7D0FF24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19" w:type="dxa"/>
            <w:vMerge w:val="continue"/>
            <w:tcBorders>
              <w:top w:val="nil"/>
              <w:left w:val="single" w:color="auto" w:sz="4" w:space="0"/>
              <w:bottom w:val="single" w:color="auto" w:sz="4" w:space="0"/>
              <w:right w:val="single" w:color="auto" w:sz="4" w:space="0"/>
            </w:tcBorders>
            <w:vAlign w:val="center"/>
          </w:tcPr>
          <w:p w14:paraId="6860F26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7E3745A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37B803A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19" w:type="dxa"/>
            <w:vMerge w:val="continue"/>
            <w:tcBorders>
              <w:top w:val="nil"/>
              <w:left w:val="single" w:color="auto" w:sz="4" w:space="0"/>
              <w:bottom w:val="single" w:color="auto" w:sz="4" w:space="0"/>
              <w:right w:val="single" w:color="auto" w:sz="4" w:space="0"/>
            </w:tcBorders>
            <w:vAlign w:val="center"/>
          </w:tcPr>
          <w:p w14:paraId="306038A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577" w:type="dxa"/>
            <w:vMerge w:val="continue"/>
            <w:tcBorders>
              <w:top w:val="nil"/>
              <w:left w:val="single" w:color="auto" w:sz="4" w:space="0"/>
              <w:bottom w:val="single" w:color="auto" w:sz="4" w:space="0"/>
              <w:right w:val="single" w:color="auto" w:sz="4" w:space="0"/>
            </w:tcBorders>
            <w:vAlign w:val="center"/>
          </w:tcPr>
          <w:p w14:paraId="5ACF147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571" w:type="dxa"/>
            <w:vMerge w:val="continue"/>
            <w:tcBorders>
              <w:top w:val="nil"/>
              <w:left w:val="single" w:color="auto" w:sz="4" w:space="0"/>
              <w:bottom w:val="single" w:color="auto" w:sz="4" w:space="0"/>
              <w:right w:val="single" w:color="auto" w:sz="4" w:space="0"/>
            </w:tcBorders>
            <w:vAlign w:val="center"/>
          </w:tcPr>
          <w:p w14:paraId="22B6195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236" w:type="dxa"/>
            <w:vAlign w:val="center"/>
          </w:tcPr>
          <w:p w14:paraId="68DD553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1A72F8C9">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14:paraId="0E5C0AA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032" w:type="dxa"/>
            <w:tcBorders>
              <w:top w:val="nil"/>
              <w:left w:val="nil"/>
              <w:bottom w:val="single" w:color="auto" w:sz="4" w:space="0"/>
              <w:right w:val="single" w:color="auto" w:sz="4" w:space="0"/>
            </w:tcBorders>
            <w:vAlign w:val="center"/>
          </w:tcPr>
          <w:p w14:paraId="6D891CA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92" w:type="dxa"/>
            <w:tcBorders>
              <w:top w:val="single" w:color="auto" w:sz="4" w:space="0"/>
              <w:left w:val="nil"/>
              <w:bottom w:val="single" w:color="auto" w:sz="4" w:space="0"/>
              <w:right w:val="single" w:color="auto" w:sz="4" w:space="0"/>
            </w:tcBorders>
            <w:vAlign w:val="center"/>
          </w:tcPr>
          <w:p w14:paraId="79FEFFB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940" w:type="dxa"/>
            <w:tcBorders>
              <w:top w:val="single" w:color="auto" w:sz="4" w:space="0"/>
              <w:left w:val="nil"/>
              <w:bottom w:val="single" w:color="auto" w:sz="4" w:space="0"/>
              <w:right w:val="single" w:color="auto" w:sz="4" w:space="0"/>
            </w:tcBorders>
            <w:vAlign w:val="center"/>
          </w:tcPr>
          <w:p w14:paraId="36B9891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租赁费</w:t>
            </w:r>
          </w:p>
        </w:tc>
        <w:tc>
          <w:tcPr>
            <w:tcW w:w="863" w:type="dxa"/>
            <w:vMerge w:val="continue"/>
            <w:tcBorders>
              <w:top w:val="single" w:color="auto" w:sz="4" w:space="0"/>
              <w:left w:val="single" w:color="auto" w:sz="4" w:space="0"/>
              <w:bottom w:val="single" w:color="auto" w:sz="4" w:space="0"/>
              <w:right w:val="single" w:color="auto" w:sz="4" w:space="0"/>
            </w:tcBorders>
            <w:vAlign w:val="center"/>
          </w:tcPr>
          <w:p w14:paraId="4183AD6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443" w:type="dxa"/>
            <w:vMerge w:val="continue"/>
            <w:tcBorders>
              <w:top w:val="nil"/>
              <w:left w:val="single" w:color="auto" w:sz="4" w:space="0"/>
              <w:bottom w:val="single" w:color="000000" w:sz="4" w:space="0"/>
              <w:right w:val="single" w:color="auto" w:sz="4" w:space="0"/>
            </w:tcBorders>
            <w:vAlign w:val="center"/>
          </w:tcPr>
          <w:p w14:paraId="54B59CF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82" w:type="dxa"/>
            <w:vMerge w:val="continue"/>
            <w:tcBorders>
              <w:top w:val="nil"/>
              <w:left w:val="single" w:color="auto" w:sz="4" w:space="0"/>
              <w:bottom w:val="single" w:color="000000" w:sz="4" w:space="0"/>
              <w:right w:val="single" w:color="auto" w:sz="4" w:space="0"/>
            </w:tcBorders>
            <w:vAlign w:val="center"/>
          </w:tcPr>
          <w:p w14:paraId="3CFBD5B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46EDE10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37F5C8D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247257D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2F0E8B0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19" w:type="dxa"/>
            <w:vMerge w:val="continue"/>
            <w:tcBorders>
              <w:top w:val="nil"/>
              <w:left w:val="single" w:color="auto" w:sz="4" w:space="0"/>
              <w:bottom w:val="single" w:color="auto" w:sz="4" w:space="0"/>
              <w:right w:val="single" w:color="auto" w:sz="4" w:space="0"/>
            </w:tcBorders>
            <w:vAlign w:val="center"/>
          </w:tcPr>
          <w:p w14:paraId="1C6CB01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41FA439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5B660CB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19" w:type="dxa"/>
            <w:vMerge w:val="continue"/>
            <w:tcBorders>
              <w:top w:val="nil"/>
              <w:left w:val="single" w:color="auto" w:sz="4" w:space="0"/>
              <w:bottom w:val="single" w:color="auto" w:sz="4" w:space="0"/>
              <w:right w:val="single" w:color="auto" w:sz="4" w:space="0"/>
            </w:tcBorders>
            <w:vAlign w:val="center"/>
          </w:tcPr>
          <w:p w14:paraId="16410A1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577" w:type="dxa"/>
            <w:vMerge w:val="continue"/>
            <w:tcBorders>
              <w:top w:val="nil"/>
              <w:left w:val="single" w:color="auto" w:sz="4" w:space="0"/>
              <w:bottom w:val="single" w:color="auto" w:sz="4" w:space="0"/>
              <w:right w:val="single" w:color="auto" w:sz="4" w:space="0"/>
            </w:tcBorders>
            <w:vAlign w:val="center"/>
          </w:tcPr>
          <w:p w14:paraId="45CACCD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571" w:type="dxa"/>
            <w:vMerge w:val="continue"/>
            <w:tcBorders>
              <w:top w:val="nil"/>
              <w:left w:val="single" w:color="auto" w:sz="4" w:space="0"/>
              <w:bottom w:val="single" w:color="auto" w:sz="4" w:space="0"/>
              <w:right w:val="single" w:color="auto" w:sz="4" w:space="0"/>
            </w:tcBorders>
            <w:vAlign w:val="center"/>
          </w:tcPr>
          <w:p w14:paraId="41484D1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236" w:type="dxa"/>
            <w:vAlign w:val="center"/>
          </w:tcPr>
          <w:p w14:paraId="5E1D540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1D02437D">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14:paraId="432319A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032" w:type="dxa"/>
            <w:tcBorders>
              <w:top w:val="nil"/>
              <w:left w:val="nil"/>
              <w:bottom w:val="single" w:color="auto" w:sz="4" w:space="0"/>
              <w:right w:val="single" w:color="auto" w:sz="4" w:space="0"/>
            </w:tcBorders>
            <w:vAlign w:val="center"/>
          </w:tcPr>
          <w:p w14:paraId="33758D2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92" w:type="dxa"/>
            <w:tcBorders>
              <w:top w:val="single" w:color="auto" w:sz="4" w:space="0"/>
              <w:left w:val="nil"/>
              <w:bottom w:val="single" w:color="auto" w:sz="4" w:space="0"/>
              <w:right w:val="single" w:color="auto" w:sz="4" w:space="0"/>
            </w:tcBorders>
            <w:vAlign w:val="center"/>
          </w:tcPr>
          <w:p w14:paraId="103645E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940" w:type="dxa"/>
            <w:tcBorders>
              <w:top w:val="single" w:color="auto" w:sz="4" w:space="0"/>
              <w:left w:val="nil"/>
              <w:bottom w:val="single" w:color="auto" w:sz="4" w:space="0"/>
              <w:right w:val="single" w:color="auto" w:sz="4" w:space="0"/>
            </w:tcBorders>
            <w:vAlign w:val="center"/>
          </w:tcPr>
          <w:p w14:paraId="1022641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14:paraId="229826D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443" w:type="dxa"/>
            <w:vMerge w:val="continue"/>
            <w:tcBorders>
              <w:top w:val="nil"/>
              <w:left w:val="single" w:color="auto" w:sz="4" w:space="0"/>
              <w:bottom w:val="single" w:color="000000" w:sz="4" w:space="0"/>
              <w:right w:val="single" w:color="auto" w:sz="4" w:space="0"/>
            </w:tcBorders>
            <w:vAlign w:val="center"/>
          </w:tcPr>
          <w:p w14:paraId="55614A0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82" w:type="dxa"/>
            <w:vMerge w:val="continue"/>
            <w:tcBorders>
              <w:top w:val="nil"/>
              <w:left w:val="single" w:color="auto" w:sz="4" w:space="0"/>
              <w:bottom w:val="single" w:color="000000" w:sz="4" w:space="0"/>
              <w:right w:val="single" w:color="auto" w:sz="4" w:space="0"/>
            </w:tcBorders>
            <w:vAlign w:val="center"/>
          </w:tcPr>
          <w:p w14:paraId="1C81FB7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02E2B70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5396665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0AA42F8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374F29C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19" w:type="dxa"/>
            <w:vMerge w:val="continue"/>
            <w:tcBorders>
              <w:top w:val="nil"/>
              <w:left w:val="single" w:color="auto" w:sz="4" w:space="0"/>
              <w:bottom w:val="single" w:color="auto" w:sz="4" w:space="0"/>
              <w:right w:val="single" w:color="auto" w:sz="4" w:space="0"/>
            </w:tcBorders>
            <w:vAlign w:val="center"/>
          </w:tcPr>
          <w:p w14:paraId="7DF35D3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1BB462C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7D963E8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19" w:type="dxa"/>
            <w:vMerge w:val="continue"/>
            <w:tcBorders>
              <w:top w:val="nil"/>
              <w:left w:val="single" w:color="auto" w:sz="4" w:space="0"/>
              <w:bottom w:val="single" w:color="auto" w:sz="4" w:space="0"/>
              <w:right w:val="single" w:color="auto" w:sz="4" w:space="0"/>
            </w:tcBorders>
            <w:vAlign w:val="center"/>
          </w:tcPr>
          <w:p w14:paraId="4FD3EBC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577" w:type="dxa"/>
            <w:vMerge w:val="continue"/>
            <w:tcBorders>
              <w:top w:val="nil"/>
              <w:left w:val="single" w:color="auto" w:sz="4" w:space="0"/>
              <w:bottom w:val="single" w:color="auto" w:sz="4" w:space="0"/>
              <w:right w:val="single" w:color="auto" w:sz="4" w:space="0"/>
            </w:tcBorders>
            <w:vAlign w:val="center"/>
          </w:tcPr>
          <w:p w14:paraId="1A3A733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571" w:type="dxa"/>
            <w:vMerge w:val="continue"/>
            <w:tcBorders>
              <w:top w:val="nil"/>
              <w:left w:val="single" w:color="auto" w:sz="4" w:space="0"/>
              <w:bottom w:val="single" w:color="auto" w:sz="4" w:space="0"/>
              <w:right w:val="single" w:color="auto" w:sz="4" w:space="0"/>
            </w:tcBorders>
            <w:vAlign w:val="center"/>
          </w:tcPr>
          <w:p w14:paraId="226B30E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236" w:type="dxa"/>
            <w:vAlign w:val="center"/>
          </w:tcPr>
          <w:p w14:paraId="3EEB7A4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11A7DB94">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14:paraId="2DF39EE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032" w:type="dxa"/>
            <w:tcBorders>
              <w:top w:val="nil"/>
              <w:left w:val="nil"/>
              <w:bottom w:val="single" w:color="auto" w:sz="4" w:space="0"/>
              <w:right w:val="single" w:color="auto" w:sz="4" w:space="0"/>
            </w:tcBorders>
            <w:vAlign w:val="center"/>
          </w:tcPr>
          <w:p w14:paraId="1CF266A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92" w:type="dxa"/>
            <w:tcBorders>
              <w:top w:val="single" w:color="auto" w:sz="4" w:space="0"/>
              <w:left w:val="nil"/>
              <w:bottom w:val="single" w:color="auto" w:sz="4" w:space="0"/>
              <w:right w:val="single" w:color="auto" w:sz="4" w:space="0"/>
            </w:tcBorders>
            <w:vAlign w:val="center"/>
          </w:tcPr>
          <w:p w14:paraId="00BAE71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940" w:type="dxa"/>
            <w:tcBorders>
              <w:top w:val="single" w:color="auto" w:sz="4" w:space="0"/>
              <w:left w:val="nil"/>
              <w:bottom w:val="single" w:color="auto" w:sz="4" w:space="0"/>
              <w:right w:val="single" w:color="auto" w:sz="4" w:space="0"/>
            </w:tcBorders>
            <w:vAlign w:val="center"/>
          </w:tcPr>
          <w:p w14:paraId="615675F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配件</w:t>
            </w:r>
          </w:p>
        </w:tc>
        <w:tc>
          <w:tcPr>
            <w:tcW w:w="863" w:type="dxa"/>
            <w:vMerge w:val="continue"/>
            <w:tcBorders>
              <w:top w:val="single" w:color="auto" w:sz="4" w:space="0"/>
              <w:left w:val="single" w:color="auto" w:sz="4" w:space="0"/>
              <w:bottom w:val="single" w:color="auto" w:sz="4" w:space="0"/>
              <w:right w:val="single" w:color="auto" w:sz="4" w:space="0"/>
            </w:tcBorders>
            <w:vAlign w:val="center"/>
          </w:tcPr>
          <w:p w14:paraId="663CEDA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443" w:type="dxa"/>
            <w:vMerge w:val="continue"/>
            <w:tcBorders>
              <w:top w:val="nil"/>
              <w:left w:val="single" w:color="auto" w:sz="4" w:space="0"/>
              <w:bottom w:val="single" w:color="000000" w:sz="4" w:space="0"/>
              <w:right w:val="single" w:color="auto" w:sz="4" w:space="0"/>
            </w:tcBorders>
            <w:vAlign w:val="center"/>
          </w:tcPr>
          <w:p w14:paraId="1D9B8C8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82" w:type="dxa"/>
            <w:vMerge w:val="continue"/>
            <w:tcBorders>
              <w:top w:val="nil"/>
              <w:left w:val="single" w:color="auto" w:sz="4" w:space="0"/>
              <w:bottom w:val="single" w:color="000000" w:sz="4" w:space="0"/>
              <w:right w:val="single" w:color="auto" w:sz="4" w:space="0"/>
            </w:tcBorders>
            <w:vAlign w:val="center"/>
          </w:tcPr>
          <w:p w14:paraId="2702121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7F2588B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批</w:t>
            </w:r>
          </w:p>
        </w:tc>
        <w:tc>
          <w:tcPr>
            <w:tcW w:w="721" w:type="dxa"/>
            <w:tcBorders>
              <w:top w:val="nil"/>
              <w:left w:val="nil"/>
              <w:bottom w:val="single" w:color="auto" w:sz="4" w:space="0"/>
              <w:right w:val="single" w:color="auto" w:sz="4" w:space="0"/>
            </w:tcBorders>
            <w:vAlign w:val="center"/>
          </w:tcPr>
          <w:p w14:paraId="687B926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106F6B5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7DA244A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19" w:type="dxa"/>
            <w:vMerge w:val="continue"/>
            <w:tcBorders>
              <w:top w:val="nil"/>
              <w:left w:val="single" w:color="auto" w:sz="4" w:space="0"/>
              <w:bottom w:val="single" w:color="auto" w:sz="4" w:space="0"/>
              <w:right w:val="single" w:color="auto" w:sz="4" w:space="0"/>
            </w:tcBorders>
            <w:vAlign w:val="center"/>
          </w:tcPr>
          <w:p w14:paraId="28B4BCD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11E4215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2BD24D4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19" w:type="dxa"/>
            <w:vMerge w:val="continue"/>
            <w:tcBorders>
              <w:top w:val="nil"/>
              <w:left w:val="single" w:color="auto" w:sz="4" w:space="0"/>
              <w:bottom w:val="single" w:color="auto" w:sz="4" w:space="0"/>
              <w:right w:val="single" w:color="auto" w:sz="4" w:space="0"/>
            </w:tcBorders>
            <w:vAlign w:val="center"/>
          </w:tcPr>
          <w:p w14:paraId="4004285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577" w:type="dxa"/>
            <w:vMerge w:val="continue"/>
            <w:tcBorders>
              <w:top w:val="nil"/>
              <w:left w:val="single" w:color="auto" w:sz="4" w:space="0"/>
              <w:bottom w:val="single" w:color="auto" w:sz="4" w:space="0"/>
              <w:right w:val="single" w:color="auto" w:sz="4" w:space="0"/>
            </w:tcBorders>
            <w:vAlign w:val="center"/>
          </w:tcPr>
          <w:p w14:paraId="3EB7FD5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571" w:type="dxa"/>
            <w:vMerge w:val="continue"/>
            <w:tcBorders>
              <w:top w:val="nil"/>
              <w:left w:val="single" w:color="auto" w:sz="4" w:space="0"/>
              <w:bottom w:val="single" w:color="auto" w:sz="4" w:space="0"/>
              <w:right w:val="single" w:color="auto" w:sz="4" w:space="0"/>
            </w:tcBorders>
            <w:vAlign w:val="center"/>
          </w:tcPr>
          <w:p w14:paraId="04AF8F5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236" w:type="dxa"/>
            <w:vAlign w:val="center"/>
          </w:tcPr>
          <w:p w14:paraId="215E26D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3E4DDA43">
        <w:tblPrEx>
          <w:tblCellMar>
            <w:top w:w="0" w:type="dxa"/>
            <w:left w:w="108" w:type="dxa"/>
            <w:bottom w:w="0" w:type="dxa"/>
            <w:right w:w="108" w:type="dxa"/>
          </w:tblCellMar>
        </w:tblPrEx>
        <w:trPr>
          <w:trHeight w:val="675" w:hRule="atLeast"/>
        </w:trPr>
        <w:tc>
          <w:tcPr>
            <w:tcW w:w="404" w:type="dxa"/>
            <w:tcBorders>
              <w:top w:val="nil"/>
              <w:left w:val="single" w:color="auto" w:sz="4" w:space="0"/>
              <w:bottom w:val="single" w:color="auto" w:sz="4" w:space="0"/>
              <w:right w:val="single" w:color="auto" w:sz="4" w:space="0"/>
            </w:tcBorders>
            <w:vAlign w:val="center"/>
          </w:tcPr>
          <w:p w14:paraId="616D461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3</w:t>
            </w:r>
          </w:p>
        </w:tc>
        <w:tc>
          <w:tcPr>
            <w:tcW w:w="1032" w:type="dxa"/>
            <w:tcBorders>
              <w:top w:val="nil"/>
              <w:left w:val="nil"/>
              <w:bottom w:val="single" w:color="auto" w:sz="4" w:space="0"/>
              <w:right w:val="single" w:color="auto" w:sz="4" w:space="0"/>
            </w:tcBorders>
            <w:vAlign w:val="center"/>
          </w:tcPr>
          <w:p w14:paraId="20A687C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92" w:type="dxa"/>
            <w:tcBorders>
              <w:top w:val="single" w:color="auto" w:sz="4" w:space="0"/>
              <w:left w:val="nil"/>
              <w:bottom w:val="single" w:color="auto" w:sz="4" w:space="0"/>
              <w:right w:val="single" w:color="auto" w:sz="4" w:space="0"/>
            </w:tcBorders>
            <w:vAlign w:val="center"/>
          </w:tcPr>
          <w:p w14:paraId="3C5F505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940" w:type="dxa"/>
            <w:tcBorders>
              <w:top w:val="single" w:color="auto" w:sz="4" w:space="0"/>
              <w:left w:val="nil"/>
              <w:bottom w:val="single" w:color="auto" w:sz="4" w:space="0"/>
              <w:right w:val="single" w:color="auto" w:sz="4" w:space="0"/>
            </w:tcBorders>
            <w:vAlign w:val="center"/>
          </w:tcPr>
          <w:p w14:paraId="6E067D9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高清旋转球</w:t>
            </w:r>
          </w:p>
        </w:tc>
        <w:tc>
          <w:tcPr>
            <w:tcW w:w="863" w:type="dxa"/>
            <w:tcBorders>
              <w:top w:val="single" w:color="auto" w:sz="4" w:space="0"/>
              <w:left w:val="nil"/>
              <w:bottom w:val="single" w:color="auto" w:sz="4" w:space="0"/>
              <w:right w:val="single" w:color="auto" w:sz="4" w:space="0"/>
            </w:tcBorders>
            <w:vAlign w:val="center"/>
          </w:tcPr>
          <w:p w14:paraId="377B87B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443" w:type="dxa"/>
            <w:tcBorders>
              <w:top w:val="nil"/>
              <w:left w:val="nil"/>
              <w:bottom w:val="single" w:color="auto" w:sz="4" w:space="0"/>
              <w:right w:val="single" w:color="auto" w:sz="4" w:space="0"/>
            </w:tcBorders>
            <w:vAlign w:val="center"/>
          </w:tcPr>
          <w:p w14:paraId="79C045F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七、安全生产适用的新技术、新标准、新工艺、新装备的推广应用支出</w:t>
            </w:r>
          </w:p>
        </w:tc>
        <w:tc>
          <w:tcPr>
            <w:tcW w:w="1582" w:type="dxa"/>
            <w:tcBorders>
              <w:top w:val="nil"/>
              <w:left w:val="nil"/>
              <w:bottom w:val="single" w:color="auto" w:sz="4" w:space="0"/>
              <w:right w:val="single" w:color="auto" w:sz="4" w:space="0"/>
            </w:tcBorders>
            <w:vAlign w:val="center"/>
          </w:tcPr>
          <w:p w14:paraId="17BF548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w:t>
            </w:r>
          </w:p>
        </w:tc>
        <w:tc>
          <w:tcPr>
            <w:tcW w:w="721" w:type="dxa"/>
            <w:tcBorders>
              <w:top w:val="nil"/>
              <w:left w:val="nil"/>
              <w:bottom w:val="single" w:color="auto" w:sz="4" w:space="0"/>
              <w:right w:val="single" w:color="auto" w:sz="4" w:space="0"/>
            </w:tcBorders>
            <w:vAlign w:val="center"/>
          </w:tcPr>
          <w:p w14:paraId="4963254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套</w:t>
            </w:r>
          </w:p>
        </w:tc>
        <w:tc>
          <w:tcPr>
            <w:tcW w:w="721" w:type="dxa"/>
            <w:tcBorders>
              <w:top w:val="nil"/>
              <w:left w:val="nil"/>
              <w:bottom w:val="single" w:color="auto" w:sz="4" w:space="0"/>
              <w:right w:val="single" w:color="auto" w:sz="4" w:space="0"/>
            </w:tcBorders>
            <w:vAlign w:val="center"/>
          </w:tcPr>
          <w:p w14:paraId="445B474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3C180B1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3120C83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0A6C96E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54979BE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0C02B46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395AF4C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577" w:type="dxa"/>
            <w:tcBorders>
              <w:top w:val="nil"/>
              <w:left w:val="nil"/>
              <w:bottom w:val="single" w:color="auto" w:sz="4" w:space="0"/>
              <w:right w:val="single" w:color="auto" w:sz="4" w:space="0"/>
            </w:tcBorders>
            <w:vAlign w:val="center"/>
          </w:tcPr>
          <w:p w14:paraId="3BABED1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571" w:type="dxa"/>
            <w:tcBorders>
              <w:top w:val="nil"/>
              <w:left w:val="nil"/>
              <w:bottom w:val="single" w:color="auto" w:sz="4" w:space="0"/>
              <w:right w:val="single" w:color="auto" w:sz="4" w:space="0"/>
            </w:tcBorders>
            <w:vAlign w:val="center"/>
          </w:tcPr>
          <w:p w14:paraId="1B4D167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236" w:type="dxa"/>
            <w:vAlign w:val="center"/>
          </w:tcPr>
          <w:p w14:paraId="7811DF1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056A9BDA">
        <w:tblPrEx>
          <w:tblCellMar>
            <w:top w:w="0" w:type="dxa"/>
            <w:left w:w="108" w:type="dxa"/>
            <w:bottom w:w="0" w:type="dxa"/>
            <w:right w:w="108" w:type="dxa"/>
          </w:tblCellMar>
        </w:tblPrEx>
        <w:trPr>
          <w:trHeight w:val="285" w:hRule="atLeast"/>
        </w:trPr>
        <w:tc>
          <w:tcPr>
            <w:tcW w:w="404" w:type="dxa"/>
            <w:vMerge w:val="restart"/>
            <w:tcBorders>
              <w:top w:val="nil"/>
              <w:left w:val="single" w:color="auto" w:sz="4" w:space="0"/>
              <w:bottom w:val="single" w:color="auto" w:sz="4" w:space="0"/>
              <w:right w:val="single" w:color="auto" w:sz="4" w:space="0"/>
            </w:tcBorders>
            <w:vAlign w:val="center"/>
          </w:tcPr>
          <w:p w14:paraId="6DB2EC5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4</w:t>
            </w:r>
          </w:p>
        </w:tc>
        <w:tc>
          <w:tcPr>
            <w:tcW w:w="1032" w:type="dxa"/>
            <w:tcBorders>
              <w:top w:val="nil"/>
              <w:left w:val="nil"/>
              <w:bottom w:val="single" w:color="auto" w:sz="4" w:space="0"/>
              <w:right w:val="single" w:color="auto" w:sz="4" w:space="0"/>
            </w:tcBorders>
            <w:vAlign w:val="center"/>
          </w:tcPr>
          <w:p w14:paraId="1B8B270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92" w:type="dxa"/>
            <w:tcBorders>
              <w:top w:val="single" w:color="auto" w:sz="4" w:space="0"/>
              <w:left w:val="nil"/>
              <w:bottom w:val="single" w:color="auto" w:sz="4" w:space="0"/>
              <w:right w:val="single" w:color="auto" w:sz="4" w:space="0"/>
            </w:tcBorders>
            <w:vAlign w:val="center"/>
          </w:tcPr>
          <w:p w14:paraId="085AA05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940" w:type="dxa"/>
            <w:vMerge w:val="restart"/>
            <w:tcBorders>
              <w:top w:val="single" w:color="auto" w:sz="4" w:space="0"/>
              <w:left w:val="single" w:color="auto" w:sz="4" w:space="0"/>
              <w:bottom w:val="single" w:color="auto" w:sz="4" w:space="0"/>
              <w:right w:val="single" w:color="auto" w:sz="4" w:space="0"/>
            </w:tcBorders>
            <w:vAlign w:val="center"/>
          </w:tcPr>
          <w:p w14:paraId="145A8E5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检测费</w:t>
            </w:r>
          </w:p>
        </w:tc>
        <w:tc>
          <w:tcPr>
            <w:tcW w:w="863" w:type="dxa"/>
            <w:vMerge w:val="restart"/>
            <w:tcBorders>
              <w:top w:val="single" w:color="auto" w:sz="4" w:space="0"/>
              <w:left w:val="single" w:color="auto" w:sz="4" w:space="0"/>
              <w:bottom w:val="single" w:color="auto" w:sz="4" w:space="0"/>
              <w:right w:val="single" w:color="auto" w:sz="4" w:space="0"/>
            </w:tcBorders>
            <w:vAlign w:val="center"/>
          </w:tcPr>
          <w:p w14:paraId="239DF4A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443" w:type="dxa"/>
            <w:vMerge w:val="restart"/>
            <w:tcBorders>
              <w:top w:val="nil"/>
              <w:left w:val="single" w:color="auto" w:sz="4" w:space="0"/>
              <w:bottom w:val="single" w:color="000000" w:sz="4" w:space="0"/>
              <w:right w:val="single" w:color="auto" w:sz="4" w:space="0"/>
            </w:tcBorders>
            <w:vAlign w:val="center"/>
          </w:tcPr>
          <w:p w14:paraId="754CAD5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八、安全设施及特种设备检测检验支出</w:t>
            </w:r>
          </w:p>
        </w:tc>
        <w:tc>
          <w:tcPr>
            <w:tcW w:w="1582" w:type="dxa"/>
            <w:vMerge w:val="restart"/>
            <w:tcBorders>
              <w:top w:val="nil"/>
              <w:left w:val="single" w:color="auto" w:sz="4" w:space="0"/>
              <w:bottom w:val="single" w:color="000000" w:sz="4" w:space="0"/>
              <w:right w:val="single" w:color="auto" w:sz="4" w:space="0"/>
            </w:tcBorders>
            <w:vAlign w:val="center"/>
          </w:tcPr>
          <w:p w14:paraId="4C1A6E4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（三）安全网的检测</w:t>
            </w:r>
          </w:p>
        </w:tc>
        <w:tc>
          <w:tcPr>
            <w:tcW w:w="721" w:type="dxa"/>
            <w:vMerge w:val="restart"/>
            <w:tcBorders>
              <w:top w:val="nil"/>
              <w:left w:val="single" w:color="auto" w:sz="4" w:space="0"/>
              <w:bottom w:val="single" w:color="auto" w:sz="4" w:space="0"/>
              <w:right w:val="single" w:color="auto" w:sz="4" w:space="0"/>
            </w:tcBorders>
            <w:vAlign w:val="center"/>
          </w:tcPr>
          <w:p w14:paraId="00411C3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vMerge w:val="restart"/>
            <w:tcBorders>
              <w:top w:val="nil"/>
              <w:left w:val="single" w:color="auto" w:sz="4" w:space="0"/>
              <w:bottom w:val="single" w:color="auto" w:sz="4" w:space="0"/>
              <w:right w:val="single" w:color="auto" w:sz="4" w:space="0"/>
            </w:tcBorders>
            <w:vAlign w:val="center"/>
          </w:tcPr>
          <w:p w14:paraId="423D024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49E562A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vMerge w:val="restart"/>
            <w:tcBorders>
              <w:top w:val="nil"/>
              <w:left w:val="single" w:color="auto" w:sz="4" w:space="0"/>
              <w:bottom w:val="single" w:color="auto" w:sz="4" w:space="0"/>
              <w:right w:val="single" w:color="auto" w:sz="4" w:space="0"/>
            </w:tcBorders>
            <w:vAlign w:val="center"/>
          </w:tcPr>
          <w:p w14:paraId="10127F8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19" w:type="dxa"/>
            <w:vMerge w:val="restart"/>
            <w:tcBorders>
              <w:top w:val="nil"/>
              <w:left w:val="single" w:color="auto" w:sz="4" w:space="0"/>
              <w:bottom w:val="single" w:color="auto" w:sz="4" w:space="0"/>
              <w:right w:val="single" w:color="auto" w:sz="4" w:space="0"/>
            </w:tcBorders>
            <w:vAlign w:val="center"/>
          </w:tcPr>
          <w:p w14:paraId="4ECA67B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vMerge w:val="restart"/>
            <w:tcBorders>
              <w:top w:val="nil"/>
              <w:left w:val="single" w:color="auto" w:sz="4" w:space="0"/>
              <w:bottom w:val="single" w:color="auto" w:sz="4" w:space="0"/>
              <w:right w:val="single" w:color="auto" w:sz="4" w:space="0"/>
            </w:tcBorders>
            <w:vAlign w:val="center"/>
          </w:tcPr>
          <w:p w14:paraId="5F16CAB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vMerge w:val="restart"/>
            <w:tcBorders>
              <w:top w:val="nil"/>
              <w:left w:val="single" w:color="auto" w:sz="4" w:space="0"/>
              <w:bottom w:val="single" w:color="auto" w:sz="4" w:space="0"/>
              <w:right w:val="single" w:color="auto" w:sz="4" w:space="0"/>
            </w:tcBorders>
            <w:vAlign w:val="center"/>
          </w:tcPr>
          <w:p w14:paraId="06633CE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19" w:type="dxa"/>
            <w:vMerge w:val="restart"/>
            <w:tcBorders>
              <w:top w:val="nil"/>
              <w:left w:val="single" w:color="auto" w:sz="4" w:space="0"/>
              <w:bottom w:val="single" w:color="auto" w:sz="4" w:space="0"/>
              <w:right w:val="single" w:color="auto" w:sz="4" w:space="0"/>
            </w:tcBorders>
            <w:vAlign w:val="center"/>
          </w:tcPr>
          <w:p w14:paraId="0A473CA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577" w:type="dxa"/>
            <w:vMerge w:val="restart"/>
            <w:tcBorders>
              <w:top w:val="nil"/>
              <w:left w:val="single" w:color="auto" w:sz="4" w:space="0"/>
              <w:bottom w:val="single" w:color="auto" w:sz="4" w:space="0"/>
              <w:right w:val="single" w:color="auto" w:sz="4" w:space="0"/>
            </w:tcBorders>
            <w:vAlign w:val="center"/>
          </w:tcPr>
          <w:p w14:paraId="5A8B20C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571" w:type="dxa"/>
            <w:vMerge w:val="restart"/>
            <w:tcBorders>
              <w:top w:val="nil"/>
              <w:left w:val="single" w:color="auto" w:sz="4" w:space="0"/>
              <w:bottom w:val="single" w:color="auto" w:sz="4" w:space="0"/>
              <w:right w:val="single" w:color="auto" w:sz="4" w:space="0"/>
            </w:tcBorders>
            <w:vAlign w:val="center"/>
          </w:tcPr>
          <w:p w14:paraId="4053369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236" w:type="dxa"/>
            <w:vAlign w:val="center"/>
          </w:tcPr>
          <w:p w14:paraId="692A95E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5A45DC52">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14:paraId="16FCF18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032" w:type="dxa"/>
            <w:tcBorders>
              <w:top w:val="nil"/>
              <w:left w:val="nil"/>
              <w:bottom w:val="single" w:color="auto" w:sz="4" w:space="0"/>
              <w:right w:val="single" w:color="auto" w:sz="4" w:space="0"/>
            </w:tcBorders>
            <w:vAlign w:val="center"/>
          </w:tcPr>
          <w:p w14:paraId="07153E6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92" w:type="dxa"/>
            <w:tcBorders>
              <w:top w:val="single" w:color="auto" w:sz="4" w:space="0"/>
              <w:left w:val="nil"/>
              <w:bottom w:val="single" w:color="auto" w:sz="4" w:space="0"/>
              <w:right w:val="single" w:color="auto" w:sz="4" w:space="0"/>
            </w:tcBorders>
            <w:vAlign w:val="center"/>
          </w:tcPr>
          <w:p w14:paraId="57E07FB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14:paraId="54EE27E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14:paraId="22283A5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443" w:type="dxa"/>
            <w:vMerge w:val="continue"/>
            <w:tcBorders>
              <w:top w:val="nil"/>
              <w:left w:val="single" w:color="auto" w:sz="4" w:space="0"/>
              <w:bottom w:val="single" w:color="000000" w:sz="4" w:space="0"/>
              <w:right w:val="single" w:color="auto" w:sz="4" w:space="0"/>
            </w:tcBorders>
            <w:vAlign w:val="center"/>
          </w:tcPr>
          <w:p w14:paraId="11BEAD2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82" w:type="dxa"/>
            <w:vMerge w:val="continue"/>
            <w:tcBorders>
              <w:top w:val="nil"/>
              <w:left w:val="single" w:color="auto" w:sz="4" w:space="0"/>
              <w:bottom w:val="single" w:color="000000" w:sz="4" w:space="0"/>
              <w:right w:val="single" w:color="auto" w:sz="4" w:space="0"/>
            </w:tcBorders>
            <w:vAlign w:val="center"/>
          </w:tcPr>
          <w:p w14:paraId="332ED4C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0891941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2090467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732A908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7D607AB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19" w:type="dxa"/>
            <w:vMerge w:val="continue"/>
            <w:tcBorders>
              <w:top w:val="nil"/>
              <w:left w:val="single" w:color="auto" w:sz="4" w:space="0"/>
              <w:bottom w:val="single" w:color="auto" w:sz="4" w:space="0"/>
              <w:right w:val="single" w:color="auto" w:sz="4" w:space="0"/>
            </w:tcBorders>
            <w:vAlign w:val="center"/>
          </w:tcPr>
          <w:p w14:paraId="747A8EC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640B121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050AECF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19" w:type="dxa"/>
            <w:vMerge w:val="continue"/>
            <w:tcBorders>
              <w:top w:val="nil"/>
              <w:left w:val="single" w:color="auto" w:sz="4" w:space="0"/>
              <w:bottom w:val="single" w:color="auto" w:sz="4" w:space="0"/>
              <w:right w:val="single" w:color="auto" w:sz="4" w:space="0"/>
            </w:tcBorders>
            <w:vAlign w:val="center"/>
          </w:tcPr>
          <w:p w14:paraId="44BDE81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577" w:type="dxa"/>
            <w:vMerge w:val="continue"/>
            <w:tcBorders>
              <w:top w:val="nil"/>
              <w:left w:val="single" w:color="auto" w:sz="4" w:space="0"/>
              <w:bottom w:val="single" w:color="auto" w:sz="4" w:space="0"/>
              <w:right w:val="single" w:color="auto" w:sz="4" w:space="0"/>
            </w:tcBorders>
            <w:vAlign w:val="center"/>
          </w:tcPr>
          <w:p w14:paraId="11A5D78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571" w:type="dxa"/>
            <w:vMerge w:val="continue"/>
            <w:tcBorders>
              <w:top w:val="nil"/>
              <w:left w:val="single" w:color="auto" w:sz="4" w:space="0"/>
              <w:bottom w:val="single" w:color="auto" w:sz="4" w:space="0"/>
              <w:right w:val="single" w:color="auto" w:sz="4" w:space="0"/>
            </w:tcBorders>
            <w:vAlign w:val="center"/>
          </w:tcPr>
          <w:p w14:paraId="1E078C4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236" w:type="dxa"/>
            <w:vAlign w:val="center"/>
          </w:tcPr>
          <w:p w14:paraId="3D8D393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13CB6625">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14:paraId="11BA251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032" w:type="dxa"/>
            <w:tcBorders>
              <w:top w:val="nil"/>
              <w:left w:val="nil"/>
              <w:bottom w:val="single" w:color="auto" w:sz="4" w:space="0"/>
              <w:right w:val="single" w:color="auto" w:sz="4" w:space="0"/>
            </w:tcBorders>
            <w:vAlign w:val="center"/>
          </w:tcPr>
          <w:p w14:paraId="3FE3B19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92" w:type="dxa"/>
            <w:tcBorders>
              <w:top w:val="single" w:color="auto" w:sz="4" w:space="0"/>
              <w:left w:val="nil"/>
              <w:bottom w:val="single" w:color="auto" w:sz="4" w:space="0"/>
              <w:right w:val="single" w:color="auto" w:sz="4" w:space="0"/>
            </w:tcBorders>
            <w:vAlign w:val="center"/>
          </w:tcPr>
          <w:p w14:paraId="0B8E879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14:paraId="7F3A954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14:paraId="02A322A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443" w:type="dxa"/>
            <w:vMerge w:val="continue"/>
            <w:tcBorders>
              <w:top w:val="nil"/>
              <w:left w:val="single" w:color="auto" w:sz="4" w:space="0"/>
              <w:bottom w:val="single" w:color="000000" w:sz="4" w:space="0"/>
              <w:right w:val="single" w:color="auto" w:sz="4" w:space="0"/>
            </w:tcBorders>
            <w:vAlign w:val="center"/>
          </w:tcPr>
          <w:p w14:paraId="2A52D80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82" w:type="dxa"/>
            <w:vMerge w:val="continue"/>
            <w:tcBorders>
              <w:top w:val="nil"/>
              <w:left w:val="single" w:color="auto" w:sz="4" w:space="0"/>
              <w:bottom w:val="single" w:color="000000" w:sz="4" w:space="0"/>
              <w:right w:val="single" w:color="auto" w:sz="4" w:space="0"/>
            </w:tcBorders>
            <w:vAlign w:val="center"/>
          </w:tcPr>
          <w:p w14:paraId="0988C6B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59F5157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488C674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58115F7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0FEFBC8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19" w:type="dxa"/>
            <w:vMerge w:val="continue"/>
            <w:tcBorders>
              <w:top w:val="nil"/>
              <w:left w:val="single" w:color="auto" w:sz="4" w:space="0"/>
              <w:bottom w:val="single" w:color="auto" w:sz="4" w:space="0"/>
              <w:right w:val="single" w:color="auto" w:sz="4" w:space="0"/>
            </w:tcBorders>
            <w:vAlign w:val="center"/>
          </w:tcPr>
          <w:p w14:paraId="7C7D3EC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6F76618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5365841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19" w:type="dxa"/>
            <w:vMerge w:val="continue"/>
            <w:tcBorders>
              <w:top w:val="nil"/>
              <w:left w:val="single" w:color="auto" w:sz="4" w:space="0"/>
              <w:bottom w:val="single" w:color="auto" w:sz="4" w:space="0"/>
              <w:right w:val="single" w:color="auto" w:sz="4" w:space="0"/>
            </w:tcBorders>
            <w:vAlign w:val="center"/>
          </w:tcPr>
          <w:p w14:paraId="30C1ABC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577" w:type="dxa"/>
            <w:vMerge w:val="continue"/>
            <w:tcBorders>
              <w:top w:val="nil"/>
              <w:left w:val="single" w:color="auto" w:sz="4" w:space="0"/>
              <w:bottom w:val="single" w:color="auto" w:sz="4" w:space="0"/>
              <w:right w:val="single" w:color="auto" w:sz="4" w:space="0"/>
            </w:tcBorders>
            <w:vAlign w:val="center"/>
          </w:tcPr>
          <w:p w14:paraId="05EE060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571" w:type="dxa"/>
            <w:vMerge w:val="continue"/>
            <w:tcBorders>
              <w:top w:val="nil"/>
              <w:left w:val="single" w:color="auto" w:sz="4" w:space="0"/>
              <w:bottom w:val="single" w:color="auto" w:sz="4" w:space="0"/>
              <w:right w:val="single" w:color="auto" w:sz="4" w:space="0"/>
            </w:tcBorders>
            <w:vAlign w:val="center"/>
          </w:tcPr>
          <w:p w14:paraId="1221766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236" w:type="dxa"/>
            <w:vAlign w:val="center"/>
          </w:tcPr>
          <w:p w14:paraId="3362E6B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4EE04981">
        <w:tblPrEx>
          <w:tblCellMar>
            <w:top w:w="0" w:type="dxa"/>
            <w:left w:w="108" w:type="dxa"/>
            <w:bottom w:w="0" w:type="dxa"/>
            <w:right w:w="108" w:type="dxa"/>
          </w:tblCellMar>
        </w:tblPrEx>
        <w:trPr>
          <w:trHeight w:val="285" w:hRule="atLeast"/>
        </w:trPr>
        <w:tc>
          <w:tcPr>
            <w:tcW w:w="404" w:type="dxa"/>
            <w:tcBorders>
              <w:top w:val="nil"/>
              <w:left w:val="single" w:color="auto" w:sz="4" w:space="0"/>
              <w:bottom w:val="single" w:color="auto" w:sz="4" w:space="0"/>
              <w:right w:val="single" w:color="auto" w:sz="4" w:space="0"/>
            </w:tcBorders>
            <w:vAlign w:val="center"/>
          </w:tcPr>
          <w:p w14:paraId="4C2F7CE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5</w:t>
            </w:r>
          </w:p>
        </w:tc>
        <w:tc>
          <w:tcPr>
            <w:tcW w:w="1032" w:type="dxa"/>
            <w:tcBorders>
              <w:top w:val="nil"/>
              <w:left w:val="nil"/>
              <w:bottom w:val="single" w:color="auto" w:sz="4" w:space="0"/>
              <w:right w:val="single" w:color="auto" w:sz="4" w:space="0"/>
            </w:tcBorders>
            <w:vAlign w:val="center"/>
          </w:tcPr>
          <w:p w14:paraId="78EBB14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92" w:type="dxa"/>
            <w:tcBorders>
              <w:top w:val="single" w:color="auto" w:sz="4" w:space="0"/>
              <w:left w:val="nil"/>
              <w:bottom w:val="single" w:color="auto" w:sz="4" w:space="0"/>
              <w:right w:val="single" w:color="auto" w:sz="4" w:space="0"/>
            </w:tcBorders>
            <w:vAlign w:val="center"/>
          </w:tcPr>
          <w:p w14:paraId="71972C5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940" w:type="dxa"/>
            <w:tcBorders>
              <w:top w:val="single" w:color="auto" w:sz="4" w:space="0"/>
              <w:left w:val="nil"/>
              <w:bottom w:val="single" w:color="auto" w:sz="4" w:space="0"/>
              <w:right w:val="single" w:color="auto" w:sz="4" w:space="0"/>
            </w:tcBorders>
            <w:vAlign w:val="center"/>
          </w:tcPr>
          <w:p w14:paraId="023ED81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63" w:type="dxa"/>
            <w:tcBorders>
              <w:top w:val="single" w:color="auto" w:sz="4" w:space="0"/>
              <w:left w:val="nil"/>
              <w:bottom w:val="single" w:color="auto" w:sz="4" w:space="0"/>
              <w:right w:val="single" w:color="auto" w:sz="4" w:space="0"/>
            </w:tcBorders>
            <w:vAlign w:val="center"/>
          </w:tcPr>
          <w:p w14:paraId="6A549EC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443" w:type="dxa"/>
            <w:tcBorders>
              <w:top w:val="nil"/>
              <w:left w:val="nil"/>
              <w:bottom w:val="single" w:color="auto" w:sz="4" w:space="0"/>
              <w:right w:val="single" w:color="auto" w:sz="4" w:space="0"/>
            </w:tcBorders>
            <w:vAlign w:val="center"/>
          </w:tcPr>
          <w:p w14:paraId="5C9571C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w:t>
            </w:r>
          </w:p>
        </w:tc>
        <w:tc>
          <w:tcPr>
            <w:tcW w:w="1582" w:type="dxa"/>
            <w:tcBorders>
              <w:top w:val="nil"/>
              <w:left w:val="nil"/>
              <w:bottom w:val="single" w:color="auto" w:sz="4" w:space="0"/>
              <w:right w:val="single" w:color="auto" w:sz="4" w:space="0"/>
            </w:tcBorders>
            <w:vAlign w:val="center"/>
          </w:tcPr>
          <w:p w14:paraId="2B61DC1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6E087C8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429838F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72E134E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56EED97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6B520EA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00EE35A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670BE37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507DFC8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577" w:type="dxa"/>
            <w:tcBorders>
              <w:top w:val="nil"/>
              <w:left w:val="nil"/>
              <w:bottom w:val="single" w:color="auto" w:sz="4" w:space="0"/>
              <w:right w:val="single" w:color="auto" w:sz="4" w:space="0"/>
            </w:tcBorders>
            <w:vAlign w:val="center"/>
          </w:tcPr>
          <w:p w14:paraId="0710924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571" w:type="dxa"/>
            <w:tcBorders>
              <w:top w:val="nil"/>
              <w:left w:val="nil"/>
              <w:bottom w:val="single" w:color="auto" w:sz="4" w:space="0"/>
              <w:right w:val="single" w:color="auto" w:sz="4" w:space="0"/>
            </w:tcBorders>
            <w:vAlign w:val="center"/>
          </w:tcPr>
          <w:p w14:paraId="1151CCD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236" w:type="dxa"/>
            <w:vAlign w:val="center"/>
          </w:tcPr>
          <w:p w14:paraId="6A5355D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62AF002B">
        <w:tblPrEx>
          <w:tblCellMar>
            <w:top w:w="0" w:type="dxa"/>
            <w:left w:w="108" w:type="dxa"/>
            <w:bottom w:w="0" w:type="dxa"/>
            <w:right w:w="108" w:type="dxa"/>
          </w:tblCellMar>
        </w:tblPrEx>
        <w:trPr>
          <w:trHeight w:val="285" w:hRule="atLeast"/>
        </w:trPr>
        <w:tc>
          <w:tcPr>
            <w:tcW w:w="404" w:type="dxa"/>
            <w:tcBorders>
              <w:top w:val="nil"/>
              <w:left w:val="single" w:color="auto" w:sz="4" w:space="0"/>
              <w:bottom w:val="single" w:color="auto" w:sz="4" w:space="0"/>
              <w:right w:val="single" w:color="auto" w:sz="4" w:space="0"/>
            </w:tcBorders>
            <w:vAlign w:val="center"/>
          </w:tcPr>
          <w:p w14:paraId="01F1DC0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032" w:type="dxa"/>
            <w:tcBorders>
              <w:top w:val="nil"/>
              <w:left w:val="nil"/>
              <w:bottom w:val="single" w:color="auto" w:sz="4" w:space="0"/>
              <w:right w:val="single" w:color="auto" w:sz="4" w:space="0"/>
            </w:tcBorders>
            <w:vAlign w:val="center"/>
          </w:tcPr>
          <w:p w14:paraId="22A1254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92" w:type="dxa"/>
            <w:tcBorders>
              <w:top w:val="single" w:color="auto" w:sz="4" w:space="0"/>
              <w:left w:val="nil"/>
              <w:bottom w:val="single" w:color="auto" w:sz="4" w:space="0"/>
              <w:right w:val="single" w:color="auto" w:sz="4" w:space="0"/>
            </w:tcBorders>
            <w:vAlign w:val="center"/>
          </w:tcPr>
          <w:p w14:paraId="0F7C9C8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940" w:type="dxa"/>
            <w:tcBorders>
              <w:top w:val="single" w:color="auto" w:sz="4" w:space="0"/>
              <w:left w:val="nil"/>
              <w:bottom w:val="single" w:color="auto" w:sz="4" w:space="0"/>
              <w:right w:val="single" w:color="auto" w:sz="4" w:space="0"/>
            </w:tcBorders>
            <w:vAlign w:val="center"/>
          </w:tcPr>
          <w:p w14:paraId="3ACEBB0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63" w:type="dxa"/>
            <w:tcBorders>
              <w:top w:val="single" w:color="auto" w:sz="4" w:space="0"/>
              <w:left w:val="nil"/>
              <w:bottom w:val="single" w:color="auto" w:sz="4" w:space="0"/>
              <w:right w:val="single" w:color="auto" w:sz="4" w:space="0"/>
            </w:tcBorders>
            <w:vAlign w:val="center"/>
          </w:tcPr>
          <w:p w14:paraId="1002D44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443" w:type="dxa"/>
            <w:tcBorders>
              <w:top w:val="nil"/>
              <w:left w:val="nil"/>
              <w:bottom w:val="single" w:color="auto" w:sz="4" w:space="0"/>
              <w:right w:val="single" w:color="auto" w:sz="4" w:space="0"/>
            </w:tcBorders>
            <w:vAlign w:val="center"/>
          </w:tcPr>
          <w:p w14:paraId="5CBEA02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582" w:type="dxa"/>
            <w:tcBorders>
              <w:top w:val="nil"/>
              <w:left w:val="nil"/>
              <w:bottom w:val="single" w:color="auto" w:sz="4" w:space="0"/>
              <w:right w:val="single" w:color="auto" w:sz="4" w:space="0"/>
            </w:tcBorders>
            <w:vAlign w:val="center"/>
          </w:tcPr>
          <w:p w14:paraId="7B19C9D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2E412C1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2DE186B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76AFCE8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3760EA8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3A3C8D7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4072D94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2A8897C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3E8145B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577" w:type="dxa"/>
            <w:tcBorders>
              <w:top w:val="nil"/>
              <w:left w:val="nil"/>
              <w:bottom w:val="single" w:color="auto" w:sz="4" w:space="0"/>
              <w:right w:val="single" w:color="auto" w:sz="4" w:space="0"/>
            </w:tcBorders>
            <w:vAlign w:val="center"/>
          </w:tcPr>
          <w:p w14:paraId="78E73B7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571" w:type="dxa"/>
            <w:tcBorders>
              <w:top w:val="nil"/>
              <w:left w:val="nil"/>
              <w:bottom w:val="single" w:color="auto" w:sz="4" w:space="0"/>
              <w:right w:val="single" w:color="auto" w:sz="4" w:space="0"/>
            </w:tcBorders>
            <w:vAlign w:val="center"/>
          </w:tcPr>
          <w:p w14:paraId="35761A4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236" w:type="dxa"/>
            <w:vAlign w:val="center"/>
          </w:tcPr>
          <w:p w14:paraId="15CA198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r w14:paraId="7A7CE87D">
        <w:tblPrEx>
          <w:tblCellMar>
            <w:top w:w="0" w:type="dxa"/>
            <w:left w:w="108" w:type="dxa"/>
            <w:bottom w:w="0" w:type="dxa"/>
            <w:right w:w="108" w:type="dxa"/>
          </w:tblCellMar>
        </w:tblPrEx>
        <w:trPr>
          <w:trHeight w:val="285" w:hRule="atLeast"/>
        </w:trPr>
        <w:tc>
          <w:tcPr>
            <w:tcW w:w="7056" w:type="dxa"/>
            <w:gridSpan w:val="7"/>
            <w:tcBorders>
              <w:top w:val="single" w:color="auto" w:sz="4" w:space="0"/>
              <w:left w:val="single" w:color="auto" w:sz="4" w:space="0"/>
              <w:bottom w:val="single" w:color="auto" w:sz="4" w:space="0"/>
              <w:right w:val="single" w:color="auto" w:sz="4" w:space="0"/>
            </w:tcBorders>
            <w:vAlign w:val="center"/>
          </w:tcPr>
          <w:p w14:paraId="2E02966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总 支 出</w:t>
            </w:r>
          </w:p>
        </w:tc>
        <w:tc>
          <w:tcPr>
            <w:tcW w:w="6910" w:type="dxa"/>
            <w:gridSpan w:val="10"/>
            <w:tcBorders>
              <w:top w:val="single" w:color="auto" w:sz="4" w:space="0"/>
              <w:left w:val="nil"/>
              <w:bottom w:val="single" w:color="auto" w:sz="4" w:space="0"/>
              <w:right w:val="single" w:color="auto" w:sz="4" w:space="0"/>
            </w:tcBorders>
            <w:vAlign w:val="center"/>
          </w:tcPr>
          <w:p w14:paraId="22C14E8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236" w:type="dxa"/>
            <w:vAlign w:val="center"/>
          </w:tcPr>
          <w:p w14:paraId="33757C4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bl>
    <w:p w14:paraId="3266E2B1">
      <w:pPr>
        <w:rPr>
          <w:rFonts w:hint="eastAsia" w:ascii="宋体" w:hAnsi="宋体" w:eastAsia="宋体" w:cs="宋体"/>
          <w:color w:val="auto"/>
          <w:highlight w:val="none"/>
        </w:rPr>
      </w:pPr>
      <w:r>
        <w:rPr>
          <w:rFonts w:hint="eastAsia" w:ascii="宋体" w:hAnsi="宋体" w:eastAsia="宋体" w:cs="宋体"/>
          <w:color w:val="auto"/>
          <w:highlight w:val="none"/>
        </w:rPr>
        <w:t>制表：                  安全经理：                        安全监理：                        总监（安全副总监）：</w:t>
      </w:r>
    </w:p>
    <w:p w14:paraId="383C7982">
      <w:pPr>
        <w:rPr>
          <w:rFonts w:hint="eastAsia" w:ascii="宋体" w:hAnsi="宋体" w:eastAsia="宋体" w:cs="宋体"/>
          <w:color w:val="auto"/>
          <w:spacing w:val="12"/>
          <w:kern w:val="10"/>
          <w:sz w:val="32"/>
          <w:szCs w:val="32"/>
          <w:highlight w:val="none"/>
        </w:rPr>
      </w:pPr>
    </w:p>
    <w:p w14:paraId="3FD1B8EA">
      <w:pPr>
        <w:widowControl/>
        <w:jc w:val="left"/>
        <w:rPr>
          <w:rFonts w:hint="eastAsia" w:ascii="宋体" w:hAnsi="宋体" w:eastAsia="宋体" w:cs="宋体"/>
          <w:color w:val="auto"/>
          <w:spacing w:val="12"/>
          <w:kern w:val="10"/>
          <w:sz w:val="32"/>
          <w:szCs w:val="32"/>
          <w:highlight w:val="none"/>
        </w:rPr>
      </w:pPr>
    </w:p>
    <w:p w14:paraId="16392C92">
      <w:pPr>
        <w:rPr>
          <w:rFonts w:hint="eastAsia" w:ascii="宋体" w:hAnsi="宋体" w:eastAsia="宋体" w:cs="宋体"/>
          <w:color w:val="auto"/>
          <w:highlight w:val="none"/>
        </w:rPr>
        <w:sectPr>
          <w:pgSz w:w="16838" w:h="11906" w:orient="landscape"/>
          <w:pgMar w:top="1418" w:right="1440" w:bottom="1418" w:left="1440" w:header="851" w:footer="539" w:gutter="0"/>
          <w:pgNumType w:fmt="numberInDash"/>
          <w:cols w:space="720" w:num="1"/>
          <w:docGrid w:type="lines" w:linePitch="312" w:charSpace="0"/>
        </w:sectPr>
      </w:pPr>
    </w:p>
    <w:p w14:paraId="669C57D5">
      <w:pPr>
        <w:rPr>
          <w:rFonts w:hint="eastAsia" w:ascii="宋体" w:hAnsi="宋体" w:eastAsia="宋体" w:cs="宋体"/>
          <w:color w:val="auto"/>
          <w:spacing w:val="12"/>
          <w:kern w:val="10"/>
          <w:sz w:val="32"/>
          <w:szCs w:val="32"/>
          <w:highlight w:val="none"/>
        </w:rPr>
      </w:pPr>
      <w:r>
        <w:rPr>
          <w:rFonts w:hint="eastAsia" w:ascii="宋体" w:hAnsi="宋体" w:eastAsia="宋体" w:cs="宋体"/>
          <w:color w:val="auto"/>
          <w:spacing w:val="12"/>
          <w:kern w:val="10"/>
          <w:sz w:val="32"/>
          <w:szCs w:val="32"/>
          <w:highlight w:val="none"/>
        </w:rPr>
        <w:t>附表6：</w:t>
      </w:r>
    </w:p>
    <w:p w14:paraId="23E55AE1">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安全投入工程量现场确认单</w:t>
      </w:r>
    </w:p>
    <w:p w14:paraId="66A20F02">
      <w:pPr>
        <w:ind w:right="720" w:firstLine="6480" w:firstLineChars="36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计量编号：</w:t>
      </w:r>
    </w:p>
    <w:tbl>
      <w:tblPr>
        <w:tblStyle w:val="4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963"/>
        <w:gridCol w:w="277"/>
        <w:gridCol w:w="1414"/>
        <w:gridCol w:w="2827"/>
        <w:gridCol w:w="31"/>
      </w:tblGrid>
      <w:tr w14:paraId="2C1A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555" w:type="dxa"/>
            <w:vAlign w:val="center"/>
          </w:tcPr>
          <w:p w14:paraId="5D6CC056">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合同名称</w:t>
            </w:r>
          </w:p>
        </w:tc>
        <w:tc>
          <w:tcPr>
            <w:tcW w:w="7512" w:type="dxa"/>
            <w:gridSpan w:val="5"/>
            <w:vAlign w:val="center"/>
          </w:tcPr>
          <w:p w14:paraId="17D11CC2">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18"/>
                <w:highlight w:val="none"/>
              </w:rPr>
            </w:pPr>
          </w:p>
        </w:tc>
      </w:tr>
      <w:tr w14:paraId="20F4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455" w:hRule="atLeast"/>
          <w:jc w:val="center"/>
        </w:trPr>
        <w:tc>
          <w:tcPr>
            <w:tcW w:w="1555" w:type="dxa"/>
            <w:vAlign w:val="center"/>
          </w:tcPr>
          <w:p w14:paraId="6BC8F8FF">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施工单位</w:t>
            </w:r>
          </w:p>
        </w:tc>
        <w:tc>
          <w:tcPr>
            <w:tcW w:w="7481" w:type="dxa"/>
            <w:gridSpan w:val="4"/>
            <w:vAlign w:val="center"/>
          </w:tcPr>
          <w:p w14:paraId="735A9DE5">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18"/>
                <w:highlight w:val="none"/>
              </w:rPr>
            </w:pPr>
          </w:p>
        </w:tc>
      </w:tr>
      <w:tr w14:paraId="6942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460" w:hRule="atLeast"/>
          <w:jc w:val="center"/>
        </w:trPr>
        <w:tc>
          <w:tcPr>
            <w:tcW w:w="1555" w:type="dxa"/>
            <w:vAlign w:val="center"/>
          </w:tcPr>
          <w:p w14:paraId="533D3335">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工程名称</w:t>
            </w:r>
          </w:p>
        </w:tc>
        <w:tc>
          <w:tcPr>
            <w:tcW w:w="7481" w:type="dxa"/>
            <w:gridSpan w:val="4"/>
            <w:vAlign w:val="center"/>
          </w:tcPr>
          <w:p w14:paraId="47C44B0B">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18"/>
                <w:highlight w:val="none"/>
              </w:rPr>
            </w:pPr>
          </w:p>
        </w:tc>
      </w:tr>
      <w:tr w14:paraId="5F76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466" w:hRule="atLeast"/>
          <w:jc w:val="center"/>
        </w:trPr>
        <w:tc>
          <w:tcPr>
            <w:tcW w:w="1555" w:type="dxa"/>
            <w:vAlign w:val="center"/>
          </w:tcPr>
          <w:p w14:paraId="2E4C581B">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分部分项工程</w:t>
            </w:r>
          </w:p>
        </w:tc>
        <w:tc>
          <w:tcPr>
            <w:tcW w:w="3240" w:type="dxa"/>
            <w:gridSpan w:val="2"/>
            <w:vAlign w:val="center"/>
          </w:tcPr>
          <w:p w14:paraId="0683B184">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18"/>
                <w:highlight w:val="none"/>
              </w:rPr>
            </w:pPr>
          </w:p>
        </w:tc>
        <w:tc>
          <w:tcPr>
            <w:tcW w:w="1414" w:type="dxa"/>
            <w:vAlign w:val="center"/>
          </w:tcPr>
          <w:p w14:paraId="01526515">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安全投入内容</w:t>
            </w:r>
          </w:p>
        </w:tc>
        <w:tc>
          <w:tcPr>
            <w:tcW w:w="2827" w:type="dxa"/>
            <w:vAlign w:val="center"/>
          </w:tcPr>
          <w:p w14:paraId="3760D9B1">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18"/>
                <w:highlight w:val="none"/>
              </w:rPr>
            </w:pPr>
          </w:p>
        </w:tc>
      </w:tr>
      <w:tr w14:paraId="7718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1223" w:hRule="atLeast"/>
          <w:jc w:val="center"/>
        </w:trPr>
        <w:tc>
          <w:tcPr>
            <w:tcW w:w="9036" w:type="dxa"/>
            <w:gridSpan w:val="5"/>
          </w:tcPr>
          <w:p w14:paraId="2DE095D9">
            <w:pPr>
              <w:keepNext w:val="0"/>
              <w:keepLines w:val="0"/>
              <w:suppressLineNumbers w:val="0"/>
              <w:spacing w:before="0" w:beforeAutospacing="0" w:after="0" w:afterAutospacing="0"/>
              <w:ind w:left="0" w:right="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施工依据：</w:t>
            </w:r>
          </w:p>
        </w:tc>
      </w:tr>
      <w:tr w14:paraId="2ADC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7001" w:hRule="atLeast"/>
          <w:jc w:val="center"/>
        </w:trPr>
        <w:tc>
          <w:tcPr>
            <w:tcW w:w="9036" w:type="dxa"/>
            <w:gridSpan w:val="5"/>
          </w:tcPr>
          <w:p w14:paraId="79253DD2">
            <w:pPr>
              <w:keepNext w:val="0"/>
              <w:keepLines w:val="0"/>
              <w:suppressLineNumbers w:val="0"/>
              <w:spacing w:before="0" w:beforeAutospacing="0" w:after="0" w:afterAutospacing="0"/>
              <w:ind w:left="0" w:right="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现场确认内容及工程量：（附件：计量依据、工程量计算过程及附图）</w:t>
            </w:r>
          </w:p>
        </w:tc>
      </w:tr>
      <w:tr w14:paraId="5232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1184" w:hRule="atLeast"/>
          <w:jc w:val="center"/>
        </w:trPr>
        <w:tc>
          <w:tcPr>
            <w:tcW w:w="4518" w:type="dxa"/>
            <w:gridSpan w:val="2"/>
          </w:tcPr>
          <w:p w14:paraId="08D936A5">
            <w:pPr>
              <w:keepNext w:val="0"/>
              <w:keepLines w:val="0"/>
              <w:suppressLineNumbers w:val="0"/>
              <w:spacing w:before="0" w:beforeAutospacing="0" w:after="0" w:afterAutospacing="0"/>
              <w:ind w:left="0" w:right="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施工单位：</w:t>
            </w:r>
          </w:p>
          <w:p w14:paraId="1D3AAC25">
            <w:pPr>
              <w:keepNext w:val="0"/>
              <w:keepLines w:val="0"/>
              <w:suppressLineNumbers w:val="0"/>
              <w:spacing w:before="0" w:beforeAutospacing="0" w:after="0" w:afterAutospacing="0"/>
              <w:ind w:left="0" w:right="0"/>
              <w:rPr>
                <w:rFonts w:hint="eastAsia" w:ascii="宋体" w:hAnsi="宋体" w:eastAsia="宋体" w:cs="宋体"/>
                <w:color w:val="auto"/>
                <w:sz w:val="18"/>
                <w:szCs w:val="18"/>
                <w:highlight w:val="none"/>
              </w:rPr>
            </w:pPr>
          </w:p>
          <w:p w14:paraId="22AD74CE">
            <w:pPr>
              <w:keepNext w:val="0"/>
              <w:keepLines w:val="0"/>
              <w:suppressLineNumbers w:val="0"/>
              <w:spacing w:before="0" w:beforeAutospacing="0" w:after="0" w:afterAutospacing="0"/>
              <w:ind w:left="0" w:right="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签字：</w:t>
            </w:r>
          </w:p>
          <w:p w14:paraId="452B28EC">
            <w:pPr>
              <w:keepNext w:val="0"/>
              <w:keepLines w:val="0"/>
              <w:suppressLineNumbers w:val="0"/>
              <w:spacing w:before="0" w:beforeAutospacing="0" w:after="0" w:afterAutospacing="0"/>
              <w:ind w:left="0" w:right="0"/>
              <w:rPr>
                <w:rFonts w:hint="eastAsia" w:ascii="宋体" w:hAnsi="宋体" w:eastAsia="宋体" w:cs="宋体"/>
                <w:color w:val="auto"/>
                <w:sz w:val="18"/>
                <w:szCs w:val="18"/>
                <w:highlight w:val="none"/>
              </w:rPr>
            </w:pPr>
          </w:p>
          <w:p w14:paraId="2CB5F469">
            <w:pPr>
              <w:keepNext w:val="0"/>
              <w:keepLines w:val="0"/>
              <w:suppressLineNumbers w:val="0"/>
              <w:spacing w:before="0" w:beforeAutospacing="0" w:after="0" w:afterAutospacing="0"/>
              <w:ind w:left="0" w:right="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年  月  日</w:t>
            </w:r>
          </w:p>
        </w:tc>
        <w:tc>
          <w:tcPr>
            <w:tcW w:w="4518" w:type="dxa"/>
            <w:gridSpan w:val="3"/>
          </w:tcPr>
          <w:p w14:paraId="717DC694">
            <w:pPr>
              <w:keepNext w:val="0"/>
              <w:keepLines w:val="0"/>
              <w:suppressLineNumbers w:val="0"/>
              <w:spacing w:before="0" w:beforeAutospacing="0" w:after="0" w:afterAutospacing="0"/>
              <w:ind w:left="0" w:right="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监理单位：</w:t>
            </w:r>
          </w:p>
          <w:p w14:paraId="1962A198">
            <w:pPr>
              <w:keepNext w:val="0"/>
              <w:keepLines w:val="0"/>
              <w:suppressLineNumbers w:val="0"/>
              <w:spacing w:before="0" w:beforeAutospacing="0" w:after="0" w:afterAutospacing="0"/>
              <w:ind w:left="0" w:right="0"/>
              <w:rPr>
                <w:rFonts w:hint="eastAsia" w:ascii="宋体" w:hAnsi="宋体" w:eastAsia="宋体" w:cs="宋体"/>
                <w:color w:val="auto"/>
                <w:sz w:val="18"/>
                <w:szCs w:val="18"/>
                <w:highlight w:val="none"/>
              </w:rPr>
            </w:pPr>
          </w:p>
          <w:p w14:paraId="16336E21">
            <w:pPr>
              <w:keepNext w:val="0"/>
              <w:keepLines w:val="0"/>
              <w:suppressLineNumbers w:val="0"/>
              <w:spacing w:before="0" w:beforeAutospacing="0" w:after="0" w:afterAutospacing="0"/>
              <w:ind w:left="0" w:right="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签字：</w:t>
            </w:r>
          </w:p>
          <w:p w14:paraId="12316B31">
            <w:pPr>
              <w:keepNext w:val="0"/>
              <w:keepLines w:val="0"/>
              <w:suppressLineNumbers w:val="0"/>
              <w:spacing w:before="0" w:beforeAutospacing="0" w:after="0" w:afterAutospacing="0"/>
              <w:ind w:left="0" w:right="0"/>
              <w:rPr>
                <w:rFonts w:hint="eastAsia" w:ascii="宋体" w:hAnsi="宋体" w:eastAsia="宋体" w:cs="宋体"/>
                <w:color w:val="auto"/>
                <w:sz w:val="18"/>
                <w:szCs w:val="18"/>
                <w:highlight w:val="none"/>
              </w:rPr>
            </w:pPr>
          </w:p>
          <w:p w14:paraId="43744034">
            <w:pPr>
              <w:keepNext w:val="0"/>
              <w:keepLines w:val="0"/>
              <w:suppressLineNumbers w:val="0"/>
              <w:spacing w:before="0" w:beforeAutospacing="0" w:after="0" w:afterAutospacing="0"/>
              <w:ind w:left="0" w:right="0" w:firstLine="3060" w:firstLineChars="17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年  月  日</w:t>
            </w:r>
          </w:p>
        </w:tc>
      </w:tr>
    </w:tbl>
    <w:p w14:paraId="3E75B3D0">
      <w:pPr>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说明：本表仅对施工单位已完成质量合格工程量的确认，工程计量按合同条款执行</w:t>
      </w:r>
    </w:p>
    <w:p w14:paraId="7C0C2795">
      <w:pPr>
        <w:rPr>
          <w:rFonts w:hint="eastAsia" w:ascii="宋体" w:hAnsi="宋体" w:eastAsia="宋体" w:cs="宋体"/>
          <w:color w:val="auto"/>
          <w:highlight w:val="none"/>
        </w:rPr>
        <w:sectPr>
          <w:pgSz w:w="11906" w:h="16838"/>
          <w:pgMar w:top="1440" w:right="1418" w:bottom="1440" w:left="1418" w:header="851" w:footer="992" w:gutter="0"/>
          <w:pgNumType w:fmt="numberInDash"/>
          <w:cols w:space="720" w:num="1"/>
          <w:docGrid w:linePitch="312" w:charSpace="0"/>
        </w:sectPr>
      </w:pPr>
    </w:p>
    <w:p w14:paraId="3A299217">
      <w:pPr>
        <w:ind w:firstLine="1600" w:firstLineChars="5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w:t>
      </w:r>
      <w:r>
        <w:rPr>
          <w:rFonts w:hint="eastAsia" w:ascii="宋体" w:hAnsi="宋体" w:eastAsia="宋体" w:cs="宋体"/>
          <w:color w:val="auto"/>
          <w:spacing w:val="12"/>
          <w:kern w:val="10"/>
          <w:sz w:val="32"/>
          <w:szCs w:val="32"/>
          <w:highlight w:val="none"/>
        </w:rPr>
        <w:t>表</w:t>
      </w:r>
      <w:r>
        <w:rPr>
          <w:rFonts w:hint="eastAsia" w:ascii="宋体" w:hAnsi="宋体" w:eastAsia="宋体" w:cs="宋体"/>
          <w:color w:val="auto"/>
          <w:sz w:val="32"/>
          <w:szCs w:val="32"/>
          <w:highlight w:val="none"/>
        </w:rPr>
        <w:t>7</w:t>
      </w:r>
    </w:p>
    <w:p w14:paraId="68900B72">
      <w:pPr>
        <w:jc w:val="center"/>
        <w:rPr>
          <w:rFonts w:hint="eastAsia" w:ascii="宋体" w:hAnsi="宋体" w:eastAsia="宋体" w:cs="宋体"/>
          <w:b/>
          <w:color w:val="auto"/>
          <w:highlight w:val="none"/>
        </w:rPr>
      </w:pPr>
      <w:r>
        <w:rPr>
          <w:rFonts w:hint="eastAsia" w:ascii="宋体" w:hAnsi="宋体" w:eastAsia="宋体" w:cs="宋体"/>
          <w:b/>
          <w:color w:val="auto"/>
          <w:highlight w:val="none"/>
        </w:rPr>
        <w:t>安全文明措施费使用审查表</w:t>
      </w:r>
    </w:p>
    <w:p w14:paraId="1A5767FF">
      <w:pPr>
        <w:ind w:firstLine="1470" w:firstLineChars="700"/>
        <w:rPr>
          <w:rFonts w:hint="eastAsia" w:ascii="宋体" w:hAnsi="宋体" w:eastAsia="宋体" w:cs="宋体"/>
          <w:bCs/>
          <w:color w:val="auto"/>
          <w:highlight w:val="none"/>
        </w:rPr>
      </w:pPr>
      <w:r>
        <w:rPr>
          <w:rFonts w:hint="eastAsia" w:ascii="宋体" w:hAnsi="宋体" w:eastAsia="宋体" w:cs="宋体"/>
          <w:bCs/>
          <w:color w:val="auto"/>
          <w:highlight w:val="none"/>
        </w:rPr>
        <w:t>工程名称：                                       合同号：                                       制表日期：      年   月   日</w:t>
      </w:r>
    </w:p>
    <w:tbl>
      <w:tblPr>
        <w:tblStyle w:val="45"/>
        <w:tblW w:w="13690" w:type="dxa"/>
        <w:jc w:val="right"/>
        <w:tblLayout w:type="fixed"/>
        <w:tblCellMar>
          <w:top w:w="0" w:type="dxa"/>
          <w:left w:w="108" w:type="dxa"/>
          <w:bottom w:w="0" w:type="dxa"/>
          <w:right w:w="108" w:type="dxa"/>
        </w:tblCellMar>
      </w:tblPr>
      <w:tblGrid>
        <w:gridCol w:w="704"/>
        <w:gridCol w:w="3544"/>
        <w:gridCol w:w="4311"/>
        <w:gridCol w:w="1985"/>
        <w:gridCol w:w="1701"/>
        <w:gridCol w:w="1445"/>
      </w:tblGrid>
      <w:tr w14:paraId="42AED5EF">
        <w:tblPrEx>
          <w:tblCellMar>
            <w:top w:w="0" w:type="dxa"/>
            <w:left w:w="108" w:type="dxa"/>
            <w:bottom w:w="0" w:type="dxa"/>
            <w:right w:w="108" w:type="dxa"/>
          </w:tblCellMar>
        </w:tblPrEx>
        <w:trPr>
          <w:trHeight w:val="384" w:hRule="atLeast"/>
          <w:tblHeader/>
          <w:jc w:val="right"/>
        </w:trPr>
        <w:tc>
          <w:tcPr>
            <w:tcW w:w="704" w:type="dxa"/>
            <w:tcBorders>
              <w:top w:val="single" w:color="auto" w:sz="4" w:space="0"/>
              <w:left w:val="single" w:color="auto" w:sz="4" w:space="0"/>
              <w:bottom w:val="single" w:color="auto" w:sz="4" w:space="0"/>
              <w:right w:val="single" w:color="auto" w:sz="4" w:space="0"/>
            </w:tcBorders>
            <w:vAlign w:val="center"/>
          </w:tcPr>
          <w:p w14:paraId="0B7B5B2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序号</w:t>
            </w:r>
          </w:p>
        </w:tc>
        <w:tc>
          <w:tcPr>
            <w:tcW w:w="3544" w:type="dxa"/>
            <w:tcBorders>
              <w:top w:val="single" w:color="auto" w:sz="4" w:space="0"/>
              <w:left w:val="nil"/>
              <w:bottom w:val="single" w:color="auto" w:sz="4" w:space="0"/>
              <w:right w:val="single" w:color="auto" w:sz="4" w:space="0"/>
            </w:tcBorders>
            <w:vAlign w:val="center"/>
          </w:tcPr>
          <w:p w14:paraId="2B895EB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项目名称</w:t>
            </w:r>
          </w:p>
        </w:tc>
        <w:tc>
          <w:tcPr>
            <w:tcW w:w="4311" w:type="dxa"/>
            <w:tcBorders>
              <w:top w:val="single" w:color="auto" w:sz="4" w:space="0"/>
              <w:left w:val="nil"/>
              <w:bottom w:val="single" w:color="auto" w:sz="4" w:space="0"/>
              <w:right w:val="single" w:color="auto" w:sz="4" w:space="0"/>
            </w:tcBorders>
            <w:vAlign w:val="center"/>
          </w:tcPr>
          <w:p w14:paraId="05D0D7D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本期安全工作开展情况及费用支出情况</w:t>
            </w:r>
          </w:p>
        </w:tc>
        <w:tc>
          <w:tcPr>
            <w:tcW w:w="1985" w:type="dxa"/>
            <w:tcBorders>
              <w:top w:val="single" w:color="auto" w:sz="4" w:space="0"/>
              <w:left w:val="nil"/>
              <w:bottom w:val="single" w:color="auto" w:sz="4" w:space="0"/>
              <w:right w:val="single" w:color="auto" w:sz="4" w:space="0"/>
            </w:tcBorders>
            <w:vAlign w:val="center"/>
          </w:tcPr>
          <w:p w14:paraId="44DDA77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审核支出(元)</w:t>
            </w:r>
          </w:p>
        </w:tc>
        <w:tc>
          <w:tcPr>
            <w:tcW w:w="1701" w:type="dxa"/>
            <w:tcBorders>
              <w:top w:val="single" w:color="auto" w:sz="4" w:space="0"/>
              <w:left w:val="nil"/>
              <w:bottom w:val="single" w:color="auto" w:sz="4" w:space="0"/>
              <w:right w:val="single" w:color="auto" w:sz="4" w:space="0"/>
            </w:tcBorders>
            <w:vAlign w:val="center"/>
          </w:tcPr>
          <w:p w14:paraId="741C4C8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结余情况(元)</w:t>
            </w:r>
          </w:p>
        </w:tc>
        <w:tc>
          <w:tcPr>
            <w:tcW w:w="1445" w:type="dxa"/>
            <w:tcBorders>
              <w:top w:val="single" w:color="auto" w:sz="4" w:space="0"/>
              <w:left w:val="nil"/>
              <w:bottom w:val="single" w:color="auto" w:sz="4" w:space="0"/>
              <w:right w:val="single" w:color="auto" w:sz="4" w:space="0"/>
            </w:tcBorders>
            <w:vAlign w:val="center"/>
          </w:tcPr>
          <w:p w14:paraId="68E283C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备  注</w:t>
            </w:r>
          </w:p>
        </w:tc>
      </w:tr>
      <w:tr w14:paraId="1B232298">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14:paraId="35F385B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1</w:t>
            </w:r>
          </w:p>
        </w:tc>
        <w:tc>
          <w:tcPr>
            <w:tcW w:w="3544" w:type="dxa"/>
            <w:tcBorders>
              <w:top w:val="nil"/>
              <w:left w:val="nil"/>
              <w:bottom w:val="single" w:color="auto" w:sz="4" w:space="0"/>
              <w:right w:val="single" w:color="auto" w:sz="4" w:space="0"/>
            </w:tcBorders>
            <w:vAlign w:val="center"/>
          </w:tcPr>
          <w:p w14:paraId="27BCB172">
            <w:pPr>
              <w:keepNext w:val="0"/>
              <w:keepLines w:val="0"/>
              <w:widowControl/>
              <w:suppressLineNumbers w:val="0"/>
              <w:spacing w:before="0" w:beforeAutospacing="0" w:after="0" w:afterAutospacing="0"/>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完善、改造和维护安全防护设施设备支出</w:t>
            </w:r>
          </w:p>
        </w:tc>
        <w:tc>
          <w:tcPr>
            <w:tcW w:w="4311" w:type="dxa"/>
            <w:tcBorders>
              <w:top w:val="nil"/>
              <w:left w:val="nil"/>
              <w:bottom w:val="single" w:color="auto" w:sz="4" w:space="0"/>
              <w:right w:val="single" w:color="auto" w:sz="4" w:space="0"/>
            </w:tcBorders>
            <w:vAlign w:val="center"/>
          </w:tcPr>
          <w:p w14:paraId="21D25DC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985" w:type="dxa"/>
            <w:tcBorders>
              <w:top w:val="nil"/>
              <w:left w:val="nil"/>
              <w:bottom w:val="single" w:color="auto" w:sz="4" w:space="0"/>
              <w:right w:val="single" w:color="auto" w:sz="4" w:space="0"/>
            </w:tcBorders>
            <w:vAlign w:val="center"/>
          </w:tcPr>
          <w:p w14:paraId="285D503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701" w:type="dxa"/>
            <w:tcBorders>
              <w:top w:val="nil"/>
              <w:left w:val="nil"/>
              <w:bottom w:val="single" w:color="auto" w:sz="4" w:space="0"/>
              <w:right w:val="single" w:color="auto" w:sz="4" w:space="0"/>
            </w:tcBorders>
            <w:vAlign w:val="center"/>
          </w:tcPr>
          <w:p w14:paraId="20C4D5F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445" w:type="dxa"/>
            <w:tcBorders>
              <w:top w:val="nil"/>
              <w:left w:val="nil"/>
              <w:bottom w:val="single" w:color="auto" w:sz="4" w:space="0"/>
              <w:right w:val="single" w:color="auto" w:sz="4" w:space="0"/>
            </w:tcBorders>
            <w:vAlign w:val="center"/>
          </w:tcPr>
          <w:p w14:paraId="7305C3E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r>
      <w:tr w14:paraId="43FA6933">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14:paraId="0EFFB3F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w:t>
            </w:r>
          </w:p>
        </w:tc>
        <w:tc>
          <w:tcPr>
            <w:tcW w:w="3544" w:type="dxa"/>
            <w:tcBorders>
              <w:top w:val="nil"/>
              <w:left w:val="nil"/>
              <w:bottom w:val="single" w:color="auto" w:sz="4" w:space="0"/>
              <w:right w:val="single" w:color="auto" w:sz="4" w:space="0"/>
            </w:tcBorders>
            <w:vAlign w:val="center"/>
          </w:tcPr>
          <w:p w14:paraId="58383A2A">
            <w:pPr>
              <w:keepNext w:val="0"/>
              <w:keepLines w:val="0"/>
              <w:widowControl/>
              <w:suppressLineNumbers w:val="0"/>
              <w:spacing w:before="0" w:beforeAutospacing="0" w:after="0" w:afterAutospacing="0"/>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配备、维护、保养应急救援器材、设备支出和应急救援队伍建设与应急演练支出</w:t>
            </w:r>
          </w:p>
        </w:tc>
        <w:tc>
          <w:tcPr>
            <w:tcW w:w="4311" w:type="dxa"/>
            <w:tcBorders>
              <w:top w:val="nil"/>
              <w:left w:val="nil"/>
              <w:bottom w:val="single" w:color="auto" w:sz="4" w:space="0"/>
              <w:right w:val="single" w:color="auto" w:sz="4" w:space="0"/>
            </w:tcBorders>
            <w:vAlign w:val="center"/>
          </w:tcPr>
          <w:p w14:paraId="6D547F1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985" w:type="dxa"/>
            <w:tcBorders>
              <w:top w:val="nil"/>
              <w:left w:val="nil"/>
              <w:bottom w:val="single" w:color="auto" w:sz="4" w:space="0"/>
              <w:right w:val="single" w:color="auto" w:sz="4" w:space="0"/>
            </w:tcBorders>
            <w:vAlign w:val="center"/>
          </w:tcPr>
          <w:p w14:paraId="1E307A1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701" w:type="dxa"/>
            <w:tcBorders>
              <w:top w:val="nil"/>
              <w:left w:val="nil"/>
              <w:bottom w:val="single" w:color="auto" w:sz="4" w:space="0"/>
              <w:right w:val="single" w:color="auto" w:sz="4" w:space="0"/>
            </w:tcBorders>
            <w:vAlign w:val="center"/>
          </w:tcPr>
          <w:p w14:paraId="0DCD020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445" w:type="dxa"/>
            <w:tcBorders>
              <w:top w:val="nil"/>
              <w:left w:val="nil"/>
              <w:bottom w:val="single" w:color="auto" w:sz="4" w:space="0"/>
              <w:right w:val="single" w:color="auto" w:sz="4" w:space="0"/>
            </w:tcBorders>
            <w:vAlign w:val="center"/>
          </w:tcPr>
          <w:p w14:paraId="5ADD676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r>
      <w:tr w14:paraId="250091ED">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14:paraId="17B5BCD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3</w:t>
            </w:r>
          </w:p>
        </w:tc>
        <w:tc>
          <w:tcPr>
            <w:tcW w:w="3544" w:type="dxa"/>
            <w:tcBorders>
              <w:top w:val="nil"/>
              <w:left w:val="nil"/>
              <w:bottom w:val="single" w:color="auto" w:sz="4" w:space="0"/>
              <w:right w:val="single" w:color="auto" w:sz="4" w:space="0"/>
            </w:tcBorders>
            <w:vAlign w:val="center"/>
          </w:tcPr>
          <w:p w14:paraId="765FCFF6">
            <w:pPr>
              <w:keepNext w:val="0"/>
              <w:keepLines w:val="0"/>
              <w:widowControl/>
              <w:suppressLineNumbers w:val="0"/>
              <w:spacing w:before="0" w:beforeAutospacing="0" w:after="0" w:afterAutospacing="0"/>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开展重大危险源和事故隐患评估、监测监控和整改支出</w:t>
            </w:r>
          </w:p>
        </w:tc>
        <w:tc>
          <w:tcPr>
            <w:tcW w:w="4311" w:type="dxa"/>
            <w:tcBorders>
              <w:top w:val="nil"/>
              <w:left w:val="nil"/>
              <w:bottom w:val="single" w:color="auto" w:sz="4" w:space="0"/>
              <w:right w:val="single" w:color="auto" w:sz="4" w:space="0"/>
            </w:tcBorders>
            <w:vAlign w:val="center"/>
          </w:tcPr>
          <w:p w14:paraId="2D7FEFE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985" w:type="dxa"/>
            <w:tcBorders>
              <w:top w:val="nil"/>
              <w:left w:val="nil"/>
              <w:bottom w:val="single" w:color="auto" w:sz="4" w:space="0"/>
              <w:right w:val="single" w:color="auto" w:sz="4" w:space="0"/>
            </w:tcBorders>
            <w:vAlign w:val="center"/>
          </w:tcPr>
          <w:p w14:paraId="353727B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701" w:type="dxa"/>
            <w:tcBorders>
              <w:top w:val="nil"/>
              <w:left w:val="nil"/>
              <w:bottom w:val="single" w:color="auto" w:sz="4" w:space="0"/>
              <w:right w:val="single" w:color="auto" w:sz="4" w:space="0"/>
            </w:tcBorders>
            <w:vAlign w:val="center"/>
          </w:tcPr>
          <w:p w14:paraId="0500654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445" w:type="dxa"/>
            <w:tcBorders>
              <w:top w:val="nil"/>
              <w:left w:val="nil"/>
              <w:bottom w:val="single" w:color="auto" w:sz="4" w:space="0"/>
              <w:right w:val="single" w:color="auto" w:sz="4" w:space="0"/>
            </w:tcBorders>
            <w:vAlign w:val="center"/>
          </w:tcPr>
          <w:p w14:paraId="4994BEA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r>
      <w:tr w14:paraId="478EF4D8">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14:paraId="7289009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4</w:t>
            </w:r>
          </w:p>
        </w:tc>
        <w:tc>
          <w:tcPr>
            <w:tcW w:w="3544" w:type="dxa"/>
            <w:tcBorders>
              <w:top w:val="nil"/>
              <w:left w:val="nil"/>
              <w:bottom w:val="single" w:color="auto" w:sz="4" w:space="0"/>
              <w:right w:val="single" w:color="auto" w:sz="4" w:space="0"/>
            </w:tcBorders>
            <w:vAlign w:val="center"/>
          </w:tcPr>
          <w:p w14:paraId="653AE8AE">
            <w:pPr>
              <w:keepNext w:val="0"/>
              <w:keepLines w:val="0"/>
              <w:widowControl/>
              <w:suppressLineNumbers w:val="0"/>
              <w:spacing w:before="0" w:beforeAutospacing="0" w:after="0" w:afterAutospacing="0"/>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安全生产检查、评价（不包括新建、改建、扩建项目安全评价）、咨询和标准化建设支出</w:t>
            </w:r>
          </w:p>
        </w:tc>
        <w:tc>
          <w:tcPr>
            <w:tcW w:w="4311" w:type="dxa"/>
            <w:tcBorders>
              <w:top w:val="nil"/>
              <w:left w:val="nil"/>
              <w:bottom w:val="single" w:color="auto" w:sz="4" w:space="0"/>
              <w:right w:val="single" w:color="auto" w:sz="4" w:space="0"/>
            </w:tcBorders>
            <w:vAlign w:val="center"/>
          </w:tcPr>
          <w:p w14:paraId="21D5424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985" w:type="dxa"/>
            <w:tcBorders>
              <w:top w:val="nil"/>
              <w:left w:val="nil"/>
              <w:bottom w:val="single" w:color="auto" w:sz="4" w:space="0"/>
              <w:right w:val="single" w:color="auto" w:sz="4" w:space="0"/>
            </w:tcBorders>
            <w:vAlign w:val="center"/>
          </w:tcPr>
          <w:p w14:paraId="0B433F6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701" w:type="dxa"/>
            <w:tcBorders>
              <w:top w:val="nil"/>
              <w:left w:val="nil"/>
              <w:bottom w:val="single" w:color="auto" w:sz="4" w:space="0"/>
              <w:right w:val="single" w:color="auto" w:sz="4" w:space="0"/>
            </w:tcBorders>
            <w:vAlign w:val="center"/>
          </w:tcPr>
          <w:p w14:paraId="2365025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445" w:type="dxa"/>
            <w:tcBorders>
              <w:top w:val="nil"/>
              <w:left w:val="nil"/>
              <w:bottom w:val="single" w:color="auto" w:sz="4" w:space="0"/>
              <w:right w:val="single" w:color="auto" w:sz="4" w:space="0"/>
            </w:tcBorders>
            <w:vAlign w:val="center"/>
          </w:tcPr>
          <w:p w14:paraId="2915574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r>
      <w:tr w14:paraId="774CFE2D">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14:paraId="4D581FB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5</w:t>
            </w:r>
          </w:p>
        </w:tc>
        <w:tc>
          <w:tcPr>
            <w:tcW w:w="3544" w:type="dxa"/>
            <w:tcBorders>
              <w:top w:val="nil"/>
              <w:left w:val="nil"/>
              <w:bottom w:val="single" w:color="auto" w:sz="4" w:space="0"/>
              <w:right w:val="single" w:color="auto" w:sz="4" w:space="0"/>
            </w:tcBorders>
            <w:vAlign w:val="center"/>
          </w:tcPr>
          <w:p w14:paraId="080A9C6D">
            <w:pPr>
              <w:keepNext w:val="0"/>
              <w:keepLines w:val="0"/>
              <w:widowControl/>
              <w:suppressLineNumbers w:val="0"/>
              <w:spacing w:before="0" w:beforeAutospacing="0" w:after="0" w:afterAutospacing="0"/>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配备和更新现场作业人员安全防护用品支出</w:t>
            </w:r>
          </w:p>
        </w:tc>
        <w:tc>
          <w:tcPr>
            <w:tcW w:w="4311" w:type="dxa"/>
            <w:tcBorders>
              <w:top w:val="nil"/>
              <w:left w:val="nil"/>
              <w:bottom w:val="single" w:color="auto" w:sz="4" w:space="0"/>
              <w:right w:val="single" w:color="auto" w:sz="4" w:space="0"/>
            </w:tcBorders>
            <w:vAlign w:val="center"/>
          </w:tcPr>
          <w:p w14:paraId="3EBBFEC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985" w:type="dxa"/>
            <w:tcBorders>
              <w:top w:val="nil"/>
              <w:left w:val="nil"/>
              <w:bottom w:val="single" w:color="auto" w:sz="4" w:space="0"/>
              <w:right w:val="single" w:color="auto" w:sz="4" w:space="0"/>
            </w:tcBorders>
            <w:vAlign w:val="center"/>
          </w:tcPr>
          <w:p w14:paraId="5CB6EAB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701" w:type="dxa"/>
            <w:tcBorders>
              <w:top w:val="nil"/>
              <w:left w:val="nil"/>
              <w:bottom w:val="single" w:color="auto" w:sz="4" w:space="0"/>
              <w:right w:val="single" w:color="auto" w:sz="4" w:space="0"/>
            </w:tcBorders>
            <w:vAlign w:val="center"/>
          </w:tcPr>
          <w:p w14:paraId="54F955D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445" w:type="dxa"/>
            <w:tcBorders>
              <w:top w:val="nil"/>
              <w:left w:val="nil"/>
              <w:bottom w:val="single" w:color="auto" w:sz="4" w:space="0"/>
              <w:right w:val="single" w:color="auto" w:sz="4" w:space="0"/>
            </w:tcBorders>
            <w:vAlign w:val="center"/>
          </w:tcPr>
          <w:p w14:paraId="4E67CA4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r>
      <w:tr w14:paraId="08D38BEE">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14:paraId="3B9E14E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6</w:t>
            </w:r>
          </w:p>
        </w:tc>
        <w:tc>
          <w:tcPr>
            <w:tcW w:w="3544" w:type="dxa"/>
            <w:tcBorders>
              <w:top w:val="nil"/>
              <w:left w:val="nil"/>
              <w:bottom w:val="single" w:color="auto" w:sz="4" w:space="0"/>
              <w:right w:val="single" w:color="auto" w:sz="4" w:space="0"/>
            </w:tcBorders>
            <w:vAlign w:val="center"/>
          </w:tcPr>
          <w:p w14:paraId="3210769B">
            <w:pPr>
              <w:keepNext w:val="0"/>
              <w:keepLines w:val="0"/>
              <w:widowControl/>
              <w:suppressLineNumbers w:val="0"/>
              <w:spacing w:before="0" w:beforeAutospacing="0" w:after="0" w:afterAutospacing="0"/>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安全生产宣传、教育、培训支出</w:t>
            </w:r>
          </w:p>
        </w:tc>
        <w:tc>
          <w:tcPr>
            <w:tcW w:w="4311" w:type="dxa"/>
            <w:tcBorders>
              <w:top w:val="nil"/>
              <w:left w:val="nil"/>
              <w:bottom w:val="single" w:color="auto" w:sz="4" w:space="0"/>
              <w:right w:val="single" w:color="auto" w:sz="4" w:space="0"/>
            </w:tcBorders>
            <w:vAlign w:val="center"/>
          </w:tcPr>
          <w:p w14:paraId="6AB9AD7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985" w:type="dxa"/>
            <w:tcBorders>
              <w:top w:val="nil"/>
              <w:left w:val="nil"/>
              <w:bottom w:val="single" w:color="auto" w:sz="4" w:space="0"/>
              <w:right w:val="single" w:color="auto" w:sz="4" w:space="0"/>
            </w:tcBorders>
            <w:vAlign w:val="center"/>
          </w:tcPr>
          <w:p w14:paraId="57E5479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701" w:type="dxa"/>
            <w:tcBorders>
              <w:top w:val="nil"/>
              <w:left w:val="nil"/>
              <w:bottom w:val="single" w:color="auto" w:sz="4" w:space="0"/>
              <w:right w:val="single" w:color="auto" w:sz="4" w:space="0"/>
            </w:tcBorders>
            <w:vAlign w:val="center"/>
          </w:tcPr>
          <w:p w14:paraId="10BA5E7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445" w:type="dxa"/>
            <w:tcBorders>
              <w:top w:val="nil"/>
              <w:left w:val="nil"/>
              <w:bottom w:val="single" w:color="auto" w:sz="4" w:space="0"/>
              <w:right w:val="single" w:color="auto" w:sz="4" w:space="0"/>
            </w:tcBorders>
            <w:vAlign w:val="center"/>
          </w:tcPr>
          <w:p w14:paraId="592A84E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r>
      <w:tr w14:paraId="41372A59">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14:paraId="3A55E67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7</w:t>
            </w:r>
          </w:p>
        </w:tc>
        <w:tc>
          <w:tcPr>
            <w:tcW w:w="3544" w:type="dxa"/>
            <w:tcBorders>
              <w:top w:val="nil"/>
              <w:left w:val="nil"/>
              <w:bottom w:val="single" w:color="auto" w:sz="4" w:space="0"/>
              <w:right w:val="single" w:color="auto" w:sz="4" w:space="0"/>
            </w:tcBorders>
            <w:vAlign w:val="center"/>
          </w:tcPr>
          <w:p w14:paraId="21A9982A">
            <w:pPr>
              <w:keepNext w:val="0"/>
              <w:keepLines w:val="0"/>
              <w:widowControl/>
              <w:suppressLineNumbers w:val="0"/>
              <w:spacing w:before="0" w:beforeAutospacing="0" w:after="0" w:afterAutospacing="0"/>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安全生产适用的新技术、新标准、新工艺、新装备的推广应用支出</w:t>
            </w:r>
          </w:p>
        </w:tc>
        <w:tc>
          <w:tcPr>
            <w:tcW w:w="4311" w:type="dxa"/>
            <w:tcBorders>
              <w:top w:val="nil"/>
              <w:left w:val="nil"/>
              <w:bottom w:val="single" w:color="auto" w:sz="4" w:space="0"/>
              <w:right w:val="single" w:color="auto" w:sz="4" w:space="0"/>
            </w:tcBorders>
            <w:vAlign w:val="center"/>
          </w:tcPr>
          <w:p w14:paraId="35008A0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985" w:type="dxa"/>
            <w:tcBorders>
              <w:top w:val="nil"/>
              <w:left w:val="nil"/>
              <w:bottom w:val="single" w:color="auto" w:sz="4" w:space="0"/>
              <w:right w:val="single" w:color="auto" w:sz="4" w:space="0"/>
            </w:tcBorders>
            <w:vAlign w:val="center"/>
          </w:tcPr>
          <w:p w14:paraId="344E01B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701" w:type="dxa"/>
            <w:tcBorders>
              <w:top w:val="nil"/>
              <w:left w:val="nil"/>
              <w:bottom w:val="single" w:color="auto" w:sz="4" w:space="0"/>
              <w:right w:val="single" w:color="auto" w:sz="4" w:space="0"/>
            </w:tcBorders>
            <w:vAlign w:val="center"/>
          </w:tcPr>
          <w:p w14:paraId="60EC48E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445" w:type="dxa"/>
            <w:tcBorders>
              <w:top w:val="nil"/>
              <w:left w:val="nil"/>
              <w:bottom w:val="single" w:color="auto" w:sz="4" w:space="0"/>
              <w:right w:val="single" w:color="auto" w:sz="4" w:space="0"/>
            </w:tcBorders>
            <w:vAlign w:val="center"/>
          </w:tcPr>
          <w:p w14:paraId="223AC31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r>
      <w:tr w14:paraId="22A338B2">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14:paraId="1FFE990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8</w:t>
            </w:r>
          </w:p>
        </w:tc>
        <w:tc>
          <w:tcPr>
            <w:tcW w:w="3544" w:type="dxa"/>
            <w:tcBorders>
              <w:top w:val="nil"/>
              <w:left w:val="nil"/>
              <w:bottom w:val="single" w:color="auto" w:sz="4" w:space="0"/>
              <w:right w:val="single" w:color="auto" w:sz="4" w:space="0"/>
            </w:tcBorders>
            <w:vAlign w:val="center"/>
          </w:tcPr>
          <w:p w14:paraId="0F9D51F5">
            <w:pPr>
              <w:keepNext w:val="0"/>
              <w:keepLines w:val="0"/>
              <w:widowControl/>
              <w:suppressLineNumbers w:val="0"/>
              <w:spacing w:before="0" w:beforeAutospacing="0" w:after="0" w:afterAutospacing="0"/>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安全设施及特种设备检测检验支出</w:t>
            </w:r>
          </w:p>
        </w:tc>
        <w:tc>
          <w:tcPr>
            <w:tcW w:w="4311" w:type="dxa"/>
            <w:tcBorders>
              <w:top w:val="nil"/>
              <w:left w:val="nil"/>
              <w:bottom w:val="single" w:color="auto" w:sz="4" w:space="0"/>
              <w:right w:val="single" w:color="auto" w:sz="4" w:space="0"/>
            </w:tcBorders>
            <w:vAlign w:val="center"/>
          </w:tcPr>
          <w:p w14:paraId="211A09A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985" w:type="dxa"/>
            <w:tcBorders>
              <w:top w:val="nil"/>
              <w:left w:val="nil"/>
              <w:bottom w:val="single" w:color="auto" w:sz="4" w:space="0"/>
              <w:right w:val="single" w:color="auto" w:sz="4" w:space="0"/>
            </w:tcBorders>
            <w:vAlign w:val="center"/>
          </w:tcPr>
          <w:p w14:paraId="65C9234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701" w:type="dxa"/>
            <w:tcBorders>
              <w:top w:val="nil"/>
              <w:left w:val="nil"/>
              <w:bottom w:val="single" w:color="auto" w:sz="4" w:space="0"/>
              <w:right w:val="single" w:color="auto" w:sz="4" w:space="0"/>
            </w:tcBorders>
            <w:vAlign w:val="center"/>
          </w:tcPr>
          <w:p w14:paraId="08EE371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445" w:type="dxa"/>
            <w:tcBorders>
              <w:top w:val="nil"/>
              <w:left w:val="nil"/>
              <w:bottom w:val="single" w:color="auto" w:sz="4" w:space="0"/>
              <w:right w:val="single" w:color="auto" w:sz="4" w:space="0"/>
            </w:tcBorders>
            <w:vAlign w:val="center"/>
          </w:tcPr>
          <w:p w14:paraId="24F1900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r>
      <w:tr w14:paraId="3E1971F9">
        <w:tblPrEx>
          <w:tblCellMar>
            <w:top w:w="0" w:type="dxa"/>
            <w:left w:w="108" w:type="dxa"/>
            <w:bottom w:w="0" w:type="dxa"/>
            <w:right w:w="108" w:type="dxa"/>
          </w:tblCellMar>
        </w:tblPrEx>
        <w:trPr>
          <w:trHeight w:val="587" w:hRule="atLeast"/>
          <w:jc w:val="right"/>
        </w:trPr>
        <w:tc>
          <w:tcPr>
            <w:tcW w:w="704" w:type="dxa"/>
            <w:tcBorders>
              <w:top w:val="nil"/>
              <w:left w:val="single" w:color="auto" w:sz="4" w:space="0"/>
              <w:bottom w:val="single" w:color="auto" w:sz="4" w:space="0"/>
              <w:right w:val="single" w:color="auto" w:sz="4" w:space="0"/>
            </w:tcBorders>
            <w:vAlign w:val="center"/>
          </w:tcPr>
          <w:p w14:paraId="7B38006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9</w:t>
            </w:r>
          </w:p>
        </w:tc>
        <w:tc>
          <w:tcPr>
            <w:tcW w:w="3544" w:type="dxa"/>
            <w:tcBorders>
              <w:top w:val="nil"/>
              <w:left w:val="nil"/>
              <w:bottom w:val="single" w:color="auto" w:sz="4" w:space="0"/>
              <w:right w:val="single" w:color="auto" w:sz="4" w:space="0"/>
            </w:tcBorders>
            <w:vAlign w:val="center"/>
          </w:tcPr>
          <w:p w14:paraId="66187354">
            <w:pPr>
              <w:keepNext w:val="0"/>
              <w:keepLines w:val="0"/>
              <w:widowControl/>
              <w:suppressLineNumbers w:val="0"/>
              <w:spacing w:before="0" w:beforeAutospacing="0" w:after="0" w:afterAutospacing="0"/>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安全生产责任保险支出</w:t>
            </w:r>
          </w:p>
        </w:tc>
        <w:tc>
          <w:tcPr>
            <w:tcW w:w="4311" w:type="dxa"/>
            <w:tcBorders>
              <w:top w:val="nil"/>
              <w:left w:val="nil"/>
              <w:bottom w:val="single" w:color="auto" w:sz="4" w:space="0"/>
              <w:right w:val="single" w:color="auto" w:sz="4" w:space="0"/>
            </w:tcBorders>
            <w:vAlign w:val="center"/>
          </w:tcPr>
          <w:p w14:paraId="385F297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985" w:type="dxa"/>
            <w:tcBorders>
              <w:top w:val="nil"/>
              <w:left w:val="nil"/>
              <w:bottom w:val="single" w:color="auto" w:sz="4" w:space="0"/>
              <w:right w:val="single" w:color="auto" w:sz="4" w:space="0"/>
            </w:tcBorders>
            <w:vAlign w:val="center"/>
          </w:tcPr>
          <w:p w14:paraId="46047D8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701" w:type="dxa"/>
            <w:tcBorders>
              <w:top w:val="nil"/>
              <w:left w:val="nil"/>
              <w:bottom w:val="single" w:color="auto" w:sz="4" w:space="0"/>
              <w:right w:val="single" w:color="auto" w:sz="4" w:space="0"/>
            </w:tcBorders>
            <w:vAlign w:val="center"/>
          </w:tcPr>
          <w:p w14:paraId="1EC67BC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445" w:type="dxa"/>
            <w:tcBorders>
              <w:top w:val="nil"/>
              <w:left w:val="nil"/>
              <w:bottom w:val="single" w:color="auto" w:sz="4" w:space="0"/>
              <w:right w:val="single" w:color="auto" w:sz="4" w:space="0"/>
            </w:tcBorders>
            <w:vAlign w:val="center"/>
          </w:tcPr>
          <w:p w14:paraId="184CCA4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r>
      <w:tr w14:paraId="121453AE">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14:paraId="7CD90DD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10</w:t>
            </w:r>
          </w:p>
        </w:tc>
        <w:tc>
          <w:tcPr>
            <w:tcW w:w="3544" w:type="dxa"/>
            <w:tcBorders>
              <w:top w:val="nil"/>
              <w:left w:val="nil"/>
              <w:bottom w:val="single" w:color="auto" w:sz="4" w:space="0"/>
              <w:right w:val="single" w:color="auto" w:sz="4" w:space="0"/>
            </w:tcBorders>
            <w:vAlign w:val="center"/>
          </w:tcPr>
          <w:p w14:paraId="1D6D4656">
            <w:pPr>
              <w:keepNext w:val="0"/>
              <w:keepLines w:val="0"/>
              <w:widowControl/>
              <w:suppressLineNumbers w:val="0"/>
              <w:spacing w:before="0" w:beforeAutospacing="0" w:after="0" w:afterAutospacing="0"/>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法律法规及相关标准规定按安全文明施工费计取的其他项目</w:t>
            </w:r>
          </w:p>
        </w:tc>
        <w:tc>
          <w:tcPr>
            <w:tcW w:w="4311" w:type="dxa"/>
            <w:tcBorders>
              <w:top w:val="nil"/>
              <w:left w:val="nil"/>
              <w:bottom w:val="single" w:color="auto" w:sz="4" w:space="0"/>
              <w:right w:val="single" w:color="auto" w:sz="4" w:space="0"/>
            </w:tcBorders>
            <w:vAlign w:val="center"/>
          </w:tcPr>
          <w:p w14:paraId="12E536F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985" w:type="dxa"/>
            <w:tcBorders>
              <w:top w:val="nil"/>
              <w:left w:val="nil"/>
              <w:bottom w:val="single" w:color="auto" w:sz="4" w:space="0"/>
              <w:right w:val="single" w:color="auto" w:sz="4" w:space="0"/>
            </w:tcBorders>
            <w:vAlign w:val="center"/>
          </w:tcPr>
          <w:p w14:paraId="312681A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701" w:type="dxa"/>
            <w:tcBorders>
              <w:top w:val="nil"/>
              <w:left w:val="nil"/>
              <w:bottom w:val="single" w:color="auto" w:sz="4" w:space="0"/>
              <w:right w:val="single" w:color="auto" w:sz="4" w:space="0"/>
            </w:tcBorders>
            <w:vAlign w:val="center"/>
          </w:tcPr>
          <w:p w14:paraId="4D3222C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445" w:type="dxa"/>
            <w:tcBorders>
              <w:top w:val="nil"/>
              <w:left w:val="nil"/>
              <w:bottom w:val="single" w:color="auto" w:sz="4" w:space="0"/>
              <w:right w:val="single" w:color="auto" w:sz="4" w:space="0"/>
            </w:tcBorders>
            <w:vAlign w:val="center"/>
          </w:tcPr>
          <w:p w14:paraId="1FB9168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r>
      <w:tr w14:paraId="0DC09B5A">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nil"/>
              <w:right w:val="single" w:color="auto" w:sz="4" w:space="0"/>
            </w:tcBorders>
            <w:vAlign w:val="center"/>
          </w:tcPr>
          <w:p w14:paraId="3FAF58B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11</w:t>
            </w:r>
          </w:p>
        </w:tc>
        <w:tc>
          <w:tcPr>
            <w:tcW w:w="3544" w:type="dxa"/>
            <w:tcBorders>
              <w:top w:val="nil"/>
              <w:left w:val="nil"/>
              <w:bottom w:val="nil"/>
              <w:right w:val="single" w:color="auto" w:sz="4" w:space="0"/>
            </w:tcBorders>
            <w:vAlign w:val="center"/>
          </w:tcPr>
          <w:p w14:paraId="1F60C817">
            <w:pPr>
              <w:keepNext w:val="0"/>
              <w:keepLines w:val="0"/>
              <w:widowControl/>
              <w:suppressLineNumbers w:val="0"/>
              <w:spacing w:before="0" w:beforeAutospacing="0" w:after="0" w:afterAutospacing="0"/>
              <w:ind w:left="0" w:right="0"/>
              <w:rPr>
                <w:rFonts w:hint="eastAsia" w:ascii="宋体" w:hAnsi="宋体" w:eastAsia="宋体" w:cs="宋体"/>
                <w:color w:val="auto"/>
                <w:kern w:val="0"/>
                <w:highlight w:val="none"/>
              </w:rPr>
            </w:pPr>
            <w:r>
              <w:rPr>
                <w:rFonts w:hint="eastAsia" w:ascii="宋体" w:hAnsi="宋体" w:eastAsia="宋体" w:cs="宋体"/>
                <w:color w:val="auto"/>
                <w:kern w:val="0"/>
                <w:highlight w:val="none"/>
              </w:rPr>
              <w:t>其他与绿色施工、文明施工、环境保护及安全生产直接相关的支出</w:t>
            </w:r>
          </w:p>
        </w:tc>
        <w:tc>
          <w:tcPr>
            <w:tcW w:w="4311" w:type="dxa"/>
            <w:tcBorders>
              <w:top w:val="nil"/>
              <w:left w:val="nil"/>
              <w:bottom w:val="nil"/>
              <w:right w:val="single" w:color="auto" w:sz="4" w:space="0"/>
            </w:tcBorders>
            <w:vAlign w:val="center"/>
          </w:tcPr>
          <w:p w14:paraId="2AB54B3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985" w:type="dxa"/>
            <w:tcBorders>
              <w:top w:val="nil"/>
              <w:left w:val="nil"/>
              <w:bottom w:val="nil"/>
              <w:right w:val="single" w:color="auto" w:sz="4" w:space="0"/>
            </w:tcBorders>
            <w:vAlign w:val="center"/>
          </w:tcPr>
          <w:p w14:paraId="6580196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701" w:type="dxa"/>
            <w:tcBorders>
              <w:top w:val="nil"/>
              <w:left w:val="nil"/>
              <w:bottom w:val="nil"/>
              <w:right w:val="single" w:color="auto" w:sz="4" w:space="0"/>
            </w:tcBorders>
            <w:vAlign w:val="center"/>
          </w:tcPr>
          <w:p w14:paraId="2ADD2C6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445" w:type="dxa"/>
            <w:tcBorders>
              <w:top w:val="nil"/>
              <w:left w:val="nil"/>
              <w:bottom w:val="nil"/>
              <w:right w:val="single" w:color="auto" w:sz="4" w:space="0"/>
            </w:tcBorders>
            <w:vAlign w:val="center"/>
          </w:tcPr>
          <w:p w14:paraId="37D630D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　</w:t>
            </w:r>
          </w:p>
        </w:tc>
      </w:tr>
      <w:tr w14:paraId="2CB690E6">
        <w:tblPrEx>
          <w:tblCellMar>
            <w:top w:w="0" w:type="dxa"/>
            <w:left w:w="108" w:type="dxa"/>
            <w:bottom w:w="0" w:type="dxa"/>
            <w:right w:w="108" w:type="dxa"/>
          </w:tblCellMar>
        </w:tblPrEx>
        <w:trPr>
          <w:trHeight w:val="527" w:hRule="atLeast"/>
          <w:jc w:val="right"/>
        </w:trPr>
        <w:tc>
          <w:tcPr>
            <w:tcW w:w="8559" w:type="dxa"/>
            <w:gridSpan w:val="3"/>
            <w:tcBorders>
              <w:top w:val="nil"/>
              <w:left w:val="single" w:color="auto" w:sz="4" w:space="0"/>
              <w:bottom w:val="single" w:color="auto" w:sz="4" w:space="0"/>
              <w:right w:val="single" w:color="auto" w:sz="4" w:space="0"/>
            </w:tcBorders>
            <w:vAlign w:val="center"/>
          </w:tcPr>
          <w:p w14:paraId="767AA4A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合计</w:t>
            </w:r>
          </w:p>
        </w:tc>
        <w:tc>
          <w:tcPr>
            <w:tcW w:w="1985" w:type="dxa"/>
            <w:tcBorders>
              <w:top w:val="nil"/>
              <w:left w:val="nil"/>
              <w:bottom w:val="single" w:color="auto" w:sz="4" w:space="0"/>
              <w:right w:val="single" w:color="auto" w:sz="4" w:space="0"/>
            </w:tcBorders>
            <w:vAlign w:val="center"/>
          </w:tcPr>
          <w:p w14:paraId="56D945F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highlight w:val="none"/>
              </w:rPr>
            </w:pPr>
          </w:p>
        </w:tc>
        <w:tc>
          <w:tcPr>
            <w:tcW w:w="1701" w:type="dxa"/>
            <w:tcBorders>
              <w:top w:val="nil"/>
              <w:left w:val="nil"/>
              <w:bottom w:val="single" w:color="auto" w:sz="4" w:space="0"/>
              <w:right w:val="single" w:color="auto" w:sz="4" w:space="0"/>
            </w:tcBorders>
            <w:vAlign w:val="center"/>
          </w:tcPr>
          <w:p w14:paraId="0C71687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highlight w:val="none"/>
              </w:rPr>
            </w:pPr>
          </w:p>
        </w:tc>
        <w:tc>
          <w:tcPr>
            <w:tcW w:w="1445" w:type="dxa"/>
            <w:tcBorders>
              <w:top w:val="nil"/>
              <w:left w:val="nil"/>
              <w:bottom w:val="single" w:color="auto" w:sz="4" w:space="0"/>
              <w:right w:val="single" w:color="auto" w:sz="4" w:space="0"/>
            </w:tcBorders>
            <w:vAlign w:val="center"/>
          </w:tcPr>
          <w:p w14:paraId="4AE9929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r>
    </w:tbl>
    <w:p w14:paraId="5E108DBD">
      <w:pPr>
        <w:ind w:firstLine="1260" w:firstLineChars="600"/>
        <w:rPr>
          <w:rFonts w:hint="eastAsia" w:ascii="宋体" w:hAnsi="宋体" w:eastAsia="宋体" w:cs="宋体"/>
          <w:color w:val="auto"/>
          <w:highlight w:val="none"/>
        </w:rPr>
      </w:pPr>
      <w:r>
        <w:rPr>
          <w:rFonts w:hint="eastAsia" w:ascii="宋体" w:hAnsi="宋体" w:eastAsia="宋体" w:cs="宋体"/>
          <w:color w:val="auto"/>
          <w:highlight w:val="none"/>
        </w:rPr>
        <w:t>制表：                  安全经理：                        安全监理：                        总监（安全副总监）：</w:t>
      </w:r>
    </w:p>
    <w:p w14:paraId="096FD154">
      <w:pPr>
        <w:ind w:left="2310" w:leftChars="600" w:hanging="1050" w:hangingChars="500"/>
        <w:rPr>
          <w:rFonts w:hint="eastAsia" w:ascii="宋体" w:hAnsi="宋体" w:eastAsia="宋体" w:cs="宋体"/>
          <w:color w:val="auto"/>
          <w:highlight w:val="none"/>
        </w:rPr>
      </w:pPr>
      <w:r>
        <w:rPr>
          <w:rFonts w:hint="eastAsia" w:ascii="宋体" w:hAnsi="宋体" w:eastAsia="宋体" w:cs="宋体"/>
          <w:color w:val="auto"/>
          <w:highlight w:val="none"/>
        </w:rPr>
        <w:t>填表说明：施工单位在提交本审查表时，请附具“安全投入工程量现场确认单”等当期所完成的安全生产措施项目清单，及必要的证明文件。该部分内容由安全监理审核。</w:t>
      </w:r>
    </w:p>
    <w:p w14:paraId="6C977E30">
      <w:pPr>
        <w:rPr>
          <w:rFonts w:hint="eastAsia" w:ascii="宋体" w:hAnsi="宋体" w:eastAsia="宋体" w:cs="宋体"/>
          <w:color w:val="auto"/>
          <w:highlight w:val="none"/>
        </w:rPr>
      </w:pPr>
    </w:p>
    <w:p w14:paraId="5F426246">
      <w:pPr>
        <w:pStyle w:val="6"/>
        <w:ind w:firstLine="0" w:firstLineChars="0"/>
        <w:rPr>
          <w:rFonts w:hint="eastAsia"/>
          <w:color w:val="auto"/>
          <w:highlight w:val="none"/>
        </w:rPr>
      </w:pPr>
    </w:p>
    <w:sectPr>
      <w:pgSz w:w="16840" w:h="11920" w:orient="landscape"/>
      <w:pgMar w:top="880" w:right="1560" w:bottom="880" w:left="280" w:header="720" w:footer="720"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汉仪楷体简">
    <w:altName w:val="宋体"/>
    <w:panose1 w:val="02010600000101010101"/>
    <w:charset w:val="86"/>
    <w:family w:val="auto"/>
    <w:pitch w:val="default"/>
    <w:sig w:usb0="00000000" w:usb1="00000000" w:usb2="00000002"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69A6E">
    <w:pPr>
      <w:pStyle w:val="28"/>
      <w:jc w:val="center"/>
      <w:rPr>
        <w:rFonts w:hint="eastAsia"/>
      </w:rPr>
    </w:pPr>
  </w:p>
  <w:p w14:paraId="10D645D5">
    <w:pPr>
      <w:pStyle w:val="28"/>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A48EF">
    <w:pPr>
      <w:pStyle w:val="28"/>
      <w:framePr w:wrap="around" w:vAnchor="text" w:hAnchor="margin" w:xAlign="center" w:y="1"/>
      <w:rPr>
        <w:rFonts w:hint="eastAsia"/>
      </w:rPr>
    </w:pPr>
    <w:r>
      <w:fldChar w:fldCharType="begin"/>
    </w:r>
    <w:r>
      <w:rPr>
        <w:rStyle w:val="49"/>
      </w:rPr>
      <w:instrText xml:space="preserve">PAGE  </w:instrText>
    </w:r>
    <w:r>
      <w:fldChar w:fldCharType="separate"/>
    </w:r>
    <w:r>
      <w:rPr>
        <w:rStyle w:val="49"/>
      </w:rPr>
      <w:t>1</w:t>
    </w:r>
    <w:r>
      <w:fldChar w:fldCharType="end"/>
    </w:r>
  </w:p>
  <w:p w14:paraId="02751982">
    <w:pPr>
      <w:pStyle w:val="28"/>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0A5BB">
    <w:pPr>
      <w:pStyle w:val="28"/>
      <w:jc w:val="center"/>
      <w:rPr>
        <w:rFonts w:hint="eastAsia"/>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406400" cy="131445"/>
              <wp:effectExtent l="0" t="0" r="0" b="0"/>
              <wp:wrapNone/>
              <wp:docPr id="4097" name="000274"/>
              <wp:cNvGraphicFramePr/>
              <a:graphic xmlns:a="http://schemas.openxmlformats.org/drawingml/2006/main">
                <a:graphicData uri="http://schemas.microsoft.com/office/word/2010/wordprocessingShape">
                  <wps:wsp>
                    <wps:cNvSpPr/>
                    <wps:spPr>
                      <a:xfrm>
                        <a:off x="0" y="0"/>
                        <a:ext cx="406400" cy="131445"/>
                      </a:xfrm>
                      <a:prstGeom prst="rect">
                        <a:avLst/>
                      </a:prstGeom>
                      <a:ln>
                        <a:noFill/>
                      </a:ln>
                    </wps:spPr>
                    <wps:txbx>
                      <w:txbxContent>
                        <w:p w14:paraId="33F3AF05">
                          <w:pPr>
                            <w:pStyle w:val="28"/>
                            <w:rPr>
                              <w:rFonts w:hint="eastAsia"/>
                            </w:rPr>
                          </w:pPr>
                          <w:r>
                            <w:fldChar w:fldCharType="begin"/>
                          </w:r>
                          <w:r>
                            <w:instrText xml:space="preserve"> PAGE  \* MERGEFORMAT </w:instrText>
                          </w:r>
                          <w:r>
                            <w:fldChar w:fldCharType="separate"/>
                          </w:r>
                          <w:r>
                            <w:t>- 3 -</w:t>
                          </w:r>
                          <w:r>
                            <w:fldChar w:fldCharType="end"/>
                          </w:r>
                        </w:p>
                      </w:txbxContent>
                    </wps:txbx>
                    <wps:bodyPr wrap="square" lIns="0" tIns="0" rIns="0" bIns="0"/>
                  </wps:wsp>
                </a:graphicData>
              </a:graphic>
            </wp:anchor>
          </w:drawing>
        </mc:Choice>
        <mc:Fallback>
          <w:pict>
            <v:rect id="000274" o:spid="_x0000_s1026" o:spt="1" style="position:absolute;left:0pt;margin-top:0pt;height:10.35pt;width:32pt;mso-position-horizontal:center;mso-position-horizontal-relative:margin;z-index:251659264;mso-width-relative:page;mso-height-relative:page;" filled="f" stroked="f" coordsize="21600,21600" o:gfxdata="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7sOC29UAAAADAQAADwAAAAAA&#10;AAABACAAAAAiAAAAZHJzL2Rvd25yZXYueG1sUEsBAhQAFAAAAAgAh07iQEIcQcWkAQAAXAMAAA4A&#10;AAAAAAAAAQAgAAAAJAEAAGRycy9lMm9Eb2MueG1sUEsFBgAAAAAGAAYAWQEAADoFAAAAAA==&#10;">
              <v:fill on="f" focussize="0,0"/>
              <v:stroke on="f"/>
              <v:imagedata o:title=""/>
              <o:lock v:ext="edit" aspectratio="f"/>
              <v:textbox inset="0mm,0mm,0mm,0mm">
                <w:txbxContent>
                  <w:p w14:paraId="33F3AF05">
                    <w:pPr>
                      <w:pStyle w:val="28"/>
                      <w:rPr>
                        <w:rFonts w:hint="eastAsia"/>
                      </w:rPr>
                    </w:pPr>
                    <w:r>
                      <w:fldChar w:fldCharType="begin"/>
                    </w:r>
                    <w:r>
                      <w:instrText xml:space="preserve"> PAGE  \* MERGEFORMAT </w:instrText>
                    </w:r>
                    <w:r>
                      <w:fldChar w:fldCharType="separate"/>
                    </w:r>
                    <w:r>
                      <w:t>- 3 -</w:t>
                    </w:r>
                    <w:r>
                      <w:fldChar w:fldCharType="end"/>
                    </w:r>
                  </w:p>
                </w:txbxContent>
              </v:textbox>
            </v:rect>
          </w:pict>
        </mc:Fallback>
      </mc:AlternateContent>
    </w:r>
  </w:p>
  <w:p w14:paraId="76CA0192">
    <w:pPr>
      <w:pStyle w:val="28"/>
      <w:tabs>
        <w:tab w:val="clear" w:pos="4153"/>
      </w:tabs>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A8A55">
    <w:pPr>
      <w:pStyle w:val="28"/>
      <w:rPr>
        <w:rFonts w:hint="eastAsia"/>
      </w:rP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00027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84A4F0B">
                          <w:pPr>
                            <w:pStyle w:val="28"/>
                            <w:rPr>
                              <w:rFonts w:hint="eastAsia"/>
                            </w:rPr>
                          </w:pPr>
                          <w:r>
                            <w:fldChar w:fldCharType="begin"/>
                          </w:r>
                          <w:r>
                            <w:instrText xml:space="preserve"> PAGE  \* MERGEFORMAT </w:instrText>
                          </w:r>
                          <w:r>
                            <w:fldChar w:fldCharType="separate"/>
                          </w:r>
                          <w:r>
                            <w:t>- 2 -</w:t>
                          </w:r>
                          <w:r>
                            <w:fldChar w:fldCharType="end"/>
                          </w:r>
                        </w:p>
                      </w:txbxContent>
                    </wps:txbx>
                    <wps:bodyPr wrap="none" lIns="0" tIns="0" rIns="0" bIns="0"/>
                  </wps:wsp>
                </a:graphicData>
              </a:graphic>
            </wp:anchor>
          </w:drawing>
        </mc:Choice>
        <mc:Fallback>
          <w:pict>
            <v:rect id="000275"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F1pNZ0gAAAAUBAAAPAAAAAAAAAAEAIAAA&#10;ACIAAABkcnMvZG93bnJldi54bWxQSwECFAAUAAAACACHTuJAVTbe4aABAABcAwAADgAAAAAAAAAB&#10;ACAAAAAhAQAAZHJzL2Uyb0RvYy54bWxQSwUGAAAAAAYABgBZAQAAMwUAAAAA&#10;">
              <v:fill on="f" focussize="0,0"/>
              <v:stroke on="f"/>
              <v:imagedata o:title=""/>
              <o:lock v:ext="edit" aspectratio="f"/>
              <v:textbox inset="0mm,0mm,0mm,0mm">
                <w:txbxContent>
                  <w:p w14:paraId="484A4F0B">
                    <w:pPr>
                      <w:pStyle w:val="28"/>
                      <w:rPr>
                        <w:rFonts w:hint="eastAsia"/>
                      </w:rPr>
                    </w:pPr>
                    <w:r>
                      <w:fldChar w:fldCharType="begin"/>
                    </w:r>
                    <w:r>
                      <w:instrText xml:space="preserve"> PAGE  \* MERGEFORMAT </w:instrText>
                    </w:r>
                    <w:r>
                      <w:fldChar w:fldCharType="separate"/>
                    </w:r>
                    <w:r>
                      <w:t>- 2 -</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4204C">
    <w:pPr>
      <w:tabs>
        <w:tab w:val="left" w:pos="1429"/>
      </w:tabs>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E256D"/>
    <w:multiLevelType w:val="singleLevel"/>
    <w:tmpl w:val="CD7E256D"/>
    <w:lvl w:ilvl="0" w:tentative="0">
      <w:start w:val="1"/>
      <w:numFmt w:val="decimal"/>
      <w:suff w:val="nothing"/>
      <w:lvlText w:val="%1、"/>
      <w:lvlJc w:val="left"/>
      <w:pPr>
        <w:ind w:left="150"/>
      </w:pPr>
    </w:lvl>
  </w:abstractNum>
  <w:abstractNum w:abstractNumId="1">
    <w:nsid w:val="CDB9E527"/>
    <w:multiLevelType w:val="singleLevel"/>
    <w:tmpl w:val="CDB9E527"/>
    <w:lvl w:ilvl="0" w:tentative="0">
      <w:start w:val="1"/>
      <w:numFmt w:val="decimal"/>
      <w:suff w:val="nothing"/>
      <w:lvlText w:val="%1、"/>
      <w:lvlJc w:val="left"/>
    </w:lvl>
  </w:abstractNum>
  <w:abstractNum w:abstractNumId="2">
    <w:nsid w:val="EC7EC066"/>
    <w:multiLevelType w:val="singleLevel"/>
    <w:tmpl w:val="EC7EC066"/>
    <w:lvl w:ilvl="0" w:tentative="0">
      <w:start w:val="17"/>
      <w:numFmt w:val="chineseCounting"/>
      <w:suff w:val="space"/>
      <w:lvlText w:val="第%1条"/>
      <w:lvlJc w:val="left"/>
      <w:rPr>
        <w:rFonts w:hint="eastAsia"/>
      </w:rPr>
    </w:lvl>
  </w:abstractNum>
  <w:abstractNum w:abstractNumId="3">
    <w:nsid w:val="F3FBF59A"/>
    <w:multiLevelType w:val="singleLevel"/>
    <w:tmpl w:val="F3FBF59A"/>
    <w:lvl w:ilvl="0" w:tentative="0">
      <w:start w:val="2"/>
      <w:numFmt w:val="decimal"/>
      <w:suff w:val="nothing"/>
      <w:lvlText w:val="%1、"/>
      <w:lvlJc w:val="left"/>
    </w:lvl>
  </w:abstractNum>
  <w:abstractNum w:abstractNumId="4">
    <w:nsid w:val="00000001"/>
    <w:multiLevelType w:val="multilevel"/>
    <w:tmpl w:val="00000001"/>
    <w:lvl w:ilvl="0" w:tentative="0">
      <w:start w:val="25"/>
      <w:numFmt w:val="decimal"/>
      <w:pStyle w:val="130"/>
      <w:lvlText w:val="%1"/>
      <w:lvlJc w:val="left"/>
      <w:pPr>
        <w:tabs>
          <w:tab w:val="left" w:pos="360"/>
        </w:tabs>
        <w:ind w:left="360" w:hanging="360"/>
      </w:pPr>
      <w:rPr>
        <w:rFonts w:hint="default" w:ascii="Times New Roman" w:cs="Times New Roman"/>
        <w:sz w:val="24"/>
      </w:rPr>
    </w:lvl>
    <w:lvl w:ilvl="1" w:tentative="0">
      <w:start w:val="2"/>
      <w:numFmt w:val="decimal"/>
      <w:lvlText w:val="%1.%2"/>
      <w:lvlJc w:val="left"/>
      <w:pPr>
        <w:tabs>
          <w:tab w:val="left" w:pos="448"/>
        </w:tabs>
        <w:ind w:left="448" w:hanging="360"/>
      </w:pPr>
      <w:rPr>
        <w:rFonts w:hint="default" w:ascii="Times New Roman" w:cs="Times New Roman"/>
        <w:sz w:val="24"/>
      </w:rPr>
    </w:lvl>
    <w:lvl w:ilvl="2" w:tentative="0">
      <w:start w:val="1"/>
      <w:numFmt w:val="decimal"/>
      <w:lvlText w:val="%1.%2.%3"/>
      <w:lvlJc w:val="left"/>
      <w:pPr>
        <w:tabs>
          <w:tab w:val="left" w:pos="896"/>
        </w:tabs>
        <w:ind w:left="896" w:hanging="720"/>
      </w:pPr>
      <w:rPr>
        <w:rFonts w:hint="default" w:ascii="Times New Roman" w:cs="Times New Roman"/>
        <w:sz w:val="24"/>
      </w:rPr>
    </w:lvl>
    <w:lvl w:ilvl="3" w:tentative="0">
      <w:start w:val="1"/>
      <w:numFmt w:val="decimal"/>
      <w:lvlText w:val="%1.%2.%3.%4"/>
      <w:lvlJc w:val="left"/>
      <w:pPr>
        <w:tabs>
          <w:tab w:val="left" w:pos="1344"/>
        </w:tabs>
        <w:ind w:left="1344" w:hanging="1080"/>
      </w:pPr>
      <w:rPr>
        <w:rFonts w:hint="default" w:ascii="Times New Roman" w:cs="Times New Roman"/>
        <w:sz w:val="24"/>
      </w:rPr>
    </w:lvl>
    <w:lvl w:ilvl="4" w:tentative="0">
      <w:start w:val="1"/>
      <w:numFmt w:val="decimal"/>
      <w:lvlText w:val="%1.%2.%3.%4.%5"/>
      <w:lvlJc w:val="left"/>
      <w:pPr>
        <w:tabs>
          <w:tab w:val="left" w:pos="1432"/>
        </w:tabs>
        <w:ind w:left="1432" w:hanging="1080"/>
      </w:pPr>
      <w:rPr>
        <w:rFonts w:hint="default" w:ascii="Times New Roman" w:cs="Times New Roman"/>
        <w:sz w:val="24"/>
      </w:rPr>
    </w:lvl>
    <w:lvl w:ilvl="5" w:tentative="0">
      <w:start w:val="1"/>
      <w:numFmt w:val="decimal"/>
      <w:lvlText w:val="%1.%2.%3.%4.%5.%6"/>
      <w:lvlJc w:val="left"/>
      <w:pPr>
        <w:tabs>
          <w:tab w:val="left" w:pos="1880"/>
        </w:tabs>
        <w:ind w:left="1880" w:hanging="1440"/>
      </w:pPr>
      <w:rPr>
        <w:rFonts w:hint="default" w:ascii="Times New Roman" w:cs="Times New Roman"/>
        <w:sz w:val="24"/>
      </w:rPr>
    </w:lvl>
    <w:lvl w:ilvl="6" w:tentative="0">
      <w:start w:val="1"/>
      <w:numFmt w:val="decimal"/>
      <w:lvlText w:val="%1.%2.%3.%4.%5.%6.%7"/>
      <w:lvlJc w:val="left"/>
      <w:pPr>
        <w:tabs>
          <w:tab w:val="left" w:pos="2328"/>
        </w:tabs>
        <w:ind w:left="2328" w:hanging="1800"/>
      </w:pPr>
      <w:rPr>
        <w:rFonts w:hint="default" w:ascii="Times New Roman" w:cs="Times New Roman"/>
        <w:sz w:val="24"/>
      </w:rPr>
    </w:lvl>
    <w:lvl w:ilvl="7" w:tentative="0">
      <w:start w:val="1"/>
      <w:numFmt w:val="decimal"/>
      <w:lvlText w:val="%1.%2.%3.%4.%5.%6.%7.%8"/>
      <w:lvlJc w:val="left"/>
      <w:pPr>
        <w:tabs>
          <w:tab w:val="left" w:pos="2416"/>
        </w:tabs>
        <w:ind w:left="2416" w:hanging="1800"/>
      </w:pPr>
      <w:rPr>
        <w:rFonts w:hint="default" w:ascii="Times New Roman" w:cs="Times New Roman"/>
        <w:sz w:val="24"/>
      </w:rPr>
    </w:lvl>
    <w:lvl w:ilvl="8" w:tentative="0">
      <w:start w:val="1"/>
      <w:numFmt w:val="decimal"/>
      <w:lvlText w:val="%1.%2.%3.%4.%5.%6.%7.%8.%9"/>
      <w:lvlJc w:val="left"/>
      <w:pPr>
        <w:tabs>
          <w:tab w:val="left" w:pos="2864"/>
        </w:tabs>
        <w:ind w:left="2864" w:hanging="2160"/>
      </w:pPr>
      <w:rPr>
        <w:rFonts w:hint="default" w:ascii="Times New Roman" w:cs="Times New Roman"/>
        <w:sz w:val="24"/>
      </w:rPr>
    </w:lvl>
  </w:abstractNum>
  <w:abstractNum w:abstractNumId="5">
    <w:nsid w:val="00000003"/>
    <w:multiLevelType w:val="multilevel"/>
    <w:tmpl w:val="00000003"/>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5"/>
      <w:suff w:val="space"/>
      <w:lvlText w:val="_x0002_.%3._x0004_%2%4"/>
      <w:lvlJc w:val="left"/>
      <w:pPr>
        <w:ind w:left="284" w:hanging="284"/>
      </w:pPr>
      <w:rPr>
        <w:rFonts w:hint="eastAsia" w:ascii="宋体" w:eastAsia="宋体"/>
        <w:b/>
        <w:i w:val="0"/>
        <w:sz w:val="28"/>
      </w:rPr>
    </w:lvl>
    <w:lvl w:ilvl="4" w:tentative="0">
      <w:start w:val="1"/>
      <w:numFmt w:val="decimal"/>
      <w:isLgl/>
      <w:suff w:val="space"/>
      <w:lvlText w:val="%2.%3.%4.%5"/>
      <w:lvlJc w:val="left"/>
      <w:pPr>
        <w:ind w:left="284" w:hanging="284"/>
      </w:pPr>
      <w:rPr>
        <w:rFonts w:hint="eastAsia" w:ascii="宋体" w:eastAsia="宋体"/>
        <w:b/>
        <w:i w:val="0"/>
        <w:sz w:val="28"/>
      </w:rPr>
    </w:lvl>
    <w:lvl w:ilvl="5" w:tentative="0">
      <w:start w:val="1"/>
      <w:numFmt w:val="decimal"/>
      <w:suff w:val="space"/>
      <w:lvlText w:val="1.1.1.1.1.%6%5"/>
      <w:lvlJc w:val="left"/>
      <w:pPr>
        <w:ind w:left="0" w:firstLine="0"/>
      </w:pPr>
      <w:rPr>
        <w:rFonts w:hint="eastAsia" w:ascii="宋体" w:eastAsia="宋体"/>
        <w:b/>
        <w:i w:val="0"/>
        <w:sz w:val="28"/>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6">
    <w:nsid w:val="00000004"/>
    <w:multiLevelType w:val="multilevel"/>
    <w:tmpl w:val="00000004"/>
    <w:lvl w:ilvl="0" w:tentative="0">
      <w:start w:val="1"/>
      <w:numFmt w:val="decimalEnclosedCircle"/>
      <w:lvlText w:val="%1"/>
      <w:lvlJc w:val="left"/>
      <w:pPr>
        <w:ind w:left="780" w:hanging="360"/>
      </w:pPr>
      <w:rPr>
        <w:rFonts w:hint="default"/>
        <w:color w:val="00000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00000005"/>
    <w:multiLevelType w:val="multilevel"/>
    <w:tmpl w:val="00000005"/>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0000006"/>
    <w:multiLevelType w:val="multilevel"/>
    <w:tmpl w:val="00000006"/>
    <w:lvl w:ilvl="0" w:tentative="0">
      <w:start w:val="1"/>
      <w:numFmt w:val="decimal"/>
      <w:lvlText w:val="（%1）"/>
      <w:lvlJc w:val="left"/>
      <w:pPr>
        <w:tabs>
          <w:tab w:val="left" w:pos="2339"/>
        </w:tabs>
        <w:ind w:left="2339" w:hanging="720"/>
      </w:pPr>
    </w:lvl>
    <w:lvl w:ilvl="1" w:tentative="0">
      <w:start w:val="1"/>
      <w:numFmt w:val="lowerLetter"/>
      <w:lvlText w:val="%2)"/>
      <w:lvlJc w:val="left"/>
      <w:pPr>
        <w:tabs>
          <w:tab w:val="left" w:pos="2459"/>
        </w:tabs>
        <w:ind w:left="2459"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00000007"/>
    <w:multiLevelType w:val="multilevel"/>
    <w:tmpl w:val="00000007"/>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620"/>
        </w:tabs>
        <w:ind w:left="16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00000008"/>
    <w:multiLevelType w:val="multilevel"/>
    <w:tmpl w:val="00000008"/>
    <w:lvl w:ilvl="0" w:tentative="0">
      <w:start w:val="1"/>
      <w:numFmt w:val="decimal"/>
      <w:lvlText w:val="（%1）"/>
      <w:lvlJc w:val="left"/>
      <w:pPr>
        <w:tabs>
          <w:tab w:val="left" w:pos="2609"/>
        </w:tabs>
        <w:ind w:left="2609"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00000009"/>
    <w:multiLevelType w:val="multilevel"/>
    <w:tmpl w:val="00000009"/>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0000000A"/>
    <w:multiLevelType w:val="multilevel"/>
    <w:tmpl w:val="0000000A"/>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0000000B"/>
    <w:multiLevelType w:val="multilevel"/>
    <w:tmpl w:val="0000000B"/>
    <w:lvl w:ilvl="0" w:tentative="0">
      <w:start w:val="1"/>
      <w:numFmt w:val="decimal"/>
      <w:lvlText w:val="(%1)"/>
      <w:lvlJc w:val="left"/>
      <w:pPr>
        <w:tabs>
          <w:tab w:val="left" w:pos="1560"/>
        </w:tabs>
        <w:ind w:left="156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0000000C"/>
    <w:multiLevelType w:val="multilevel"/>
    <w:tmpl w:val="0000000C"/>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0000000D"/>
    <w:multiLevelType w:val="singleLevel"/>
    <w:tmpl w:val="0000000D"/>
    <w:lvl w:ilvl="0" w:tentative="0">
      <w:start w:val="2"/>
      <w:numFmt w:val="decimal"/>
      <w:suff w:val="nothing"/>
      <w:lvlText w:val="%1、"/>
      <w:lvlJc w:val="left"/>
    </w:lvl>
  </w:abstractNum>
  <w:abstractNum w:abstractNumId="16">
    <w:nsid w:val="0000000E"/>
    <w:multiLevelType w:val="multilevel"/>
    <w:tmpl w:val="0000000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620"/>
        </w:tabs>
        <w:ind w:left="1620" w:hanging="720"/>
      </w:pPr>
      <w:rPr>
        <w:rFonts w:ascii="宋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0000000F"/>
    <w:multiLevelType w:val="multilevel"/>
    <w:tmpl w:val="0000000F"/>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00000011"/>
    <w:multiLevelType w:val="multilevel"/>
    <w:tmpl w:val="00000011"/>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00000012"/>
    <w:multiLevelType w:val="multilevel"/>
    <w:tmpl w:val="00000012"/>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00000013"/>
    <w:multiLevelType w:val="multilevel"/>
    <w:tmpl w:val="00000013"/>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00000014"/>
    <w:multiLevelType w:val="multilevel"/>
    <w:tmpl w:val="00000014"/>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00000015"/>
    <w:multiLevelType w:val="singleLevel"/>
    <w:tmpl w:val="00000015"/>
    <w:lvl w:ilvl="0" w:tentative="0">
      <w:start w:val="10"/>
      <w:numFmt w:val="chineseCounting"/>
      <w:suff w:val="nothing"/>
      <w:lvlText w:val="%1、"/>
      <w:lvlJc w:val="left"/>
    </w:lvl>
  </w:abstractNum>
  <w:abstractNum w:abstractNumId="23">
    <w:nsid w:val="00000016"/>
    <w:multiLevelType w:val="multilevel"/>
    <w:tmpl w:val="00000016"/>
    <w:lvl w:ilvl="0" w:tentative="0">
      <w:start w:val="1"/>
      <w:numFmt w:val="decimal"/>
      <w:lvlText w:val="(%1)"/>
      <w:lvlJc w:val="left"/>
      <w:pPr>
        <w:tabs>
          <w:tab w:val="left" w:pos="1560"/>
        </w:tabs>
        <w:ind w:left="1560" w:hanging="1080"/>
      </w:pPr>
    </w:lvl>
    <w:lvl w:ilvl="1" w:tentative="0">
      <w:start w:val="4"/>
      <w:numFmt w:val="decimal"/>
      <w:lvlText w:val="(%2)"/>
      <w:lvlJc w:val="left"/>
      <w:pPr>
        <w:tabs>
          <w:tab w:val="left" w:pos="1410"/>
        </w:tabs>
        <w:ind w:left="1410" w:hanging="5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00000017"/>
    <w:multiLevelType w:val="multilevel"/>
    <w:tmpl w:val="00000017"/>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00000018"/>
    <w:multiLevelType w:val="multilevel"/>
    <w:tmpl w:val="00000018"/>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980"/>
        </w:tabs>
        <w:ind w:left="1980" w:hanging="108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0000001A"/>
    <w:multiLevelType w:val="multilevel"/>
    <w:tmpl w:val="0000001A"/>
    <w:lvl w:ilvl="0" w:tentative="0">
      <w:start w:val="1"/>
      <w:numFmt w:val="decimal"/>
      <w:lvlText w:val="(%1)"/>
      <w:lvlJc w:val="left"/>
      <w:pPr>
        <w:tabs>
          <w:tab w:val="left" w:pos="1350"/>
        </w:tabs>
        <w:ind w:left="1350" w:hanging="87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0000001B"/>
    <w:multiLevelType w:val="multilevel"/>
    <w:tmpl w:val="0000001B"/>
    <w:lvl w:ilvl="0" w:tentative="0">
      <w:start w:val="1"/>
      <w:numFmt w:val="decimal"/>
      <w:lvlText w:val="(%1)"/>
      <w:lvlJc w:val="left"/>
      <w:pPr>
        <w:tabs>
          <w:tab w:val="left" w:pos="990"/>
        </w:tabs>
        <w:ind w:left="990" w:hanging="99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0000001C"/>
    <w:multiLevelType w:val="multilevel"/>
    <w:tmpl w:val="0000001C"/>
    <w:lvl w:ilvl="0" w:tentative="0">
      <w:start w:val="1"/>
      <w:numFmt w:val="decimal"/>
      <w:lvlText w:val="(%1)"/>
      <w:lvlJc w:val="left"/>
      <w:pPr>
        <w:tabs>
          <w:tab w:val="left" w:pos="1110"/>
        </w:tabs>
        <w:ind w:left="1110" w:hanging="510"/>
      </w:pPr>
      <w:rPr>
        <w:color w:val="auto"/>
      </w:rPr>
    </w:lvl>
    <w:lvl w:ilvl="1" w:tentative="0">
      <w:start w:val="1"/>
      <w:numFmt w:val="decimal"/>
      <w:lvlText w:val="(%2)"/>
      <w:lvlJc w:val="left"/>
      <w:pPr>
        <w:tabs>
          <w:tab w:val="left" w:pos="1410"/>
        </w:tabs>
        <w:ind w:left="1410" w:hanging="390"/>
      </w:pPr>
    </w:lvl>
    <w:lvl w:ilvl="2" w:tentative="0">
      <w:start w:val="1"/>
      <w:numFmt w:val="decimal"/>
      <w:lvlText w:val="%3."/>
      <w:lvlJc w:val="left"/>
      <w:pPr>
        <w:tabs>
          <w:tab w:val="left" w:pos="2280"/>
        </w:tabs>
        <w:ind w:left="2280" w:hanging="360"/>
      </w:pPr>
    </w:lvl>
    <w:lvl w:ilvl="3" w:tentative="0">
      <w:start w:val="1"/>
      <w:numFmt w:val="decimal"/>
      <w:lvlText w:val="%4."/>
      <w:lvlJc w:val="left"/>
      <w:pPr>
        <w:tabs>
          <w:tab w:val="left" w:pos="3000"/>
        </w:tabs>
        <w:ind w:left="3000" w:hanging="360"/>
      </w:pPr>
    </w:lvl>
    <w:lvl w:ilvl="4" w:tentative="0">
      <w:start w:val="1"/>
      <w:numFmt w:val="decimal"/>
      <w:lvlText w:val="%5."/>
      <w:lvlJc w:val="left"/>
      <w:pPr>
        <w:tabs>
          <w:tab w:val="left" w:pos="3720"/>
        </w:tabs>
        <w:ind w:left="3720" w:hanging="360"/>
      </w:pPr>
    </w:lvl>
    <w:lvl w:ilvl="5" w:tentative="0">
      <w:start w:val="1"/>
      <w:numFmt w:val="decimal"/>
      <w:lvlText w:val="%6."/>
      <w:lvlJc w:val="left"/>
      <w:pPr>
        <w:tabs>
          <w:tab w:val="left" w:pos="4440"/>
        </w:tabs>
        <w:ind w:left="4440" w:hanging="360"/>
      </w:pPr>
    </w:lvl>
    <w:lvl w:ilvl="6" w:tentative="0">
      <w:start w:val="1"/>
      <w:numFmt w:val="decimal"/>
      <w:lvlText w:val="%7."/>
      <w:lvlJc w:val="left"/>
      <w:pPr>
        <w:tabs>
          <w:tab w:val="left" w:pos="5160"/>
        </w:tabs>
        <w:ind w:left="5160" w:hanging="360"/>
      </w:pPr>
    </w:lvl>
    <w:lvl w:ilvl="7" w:tentative="0">
      <w:start w:val="1"/>
      <w:numFmt w:val="decimal"/>
      <w:lvlText w:val="%8."/>
      <w:lvlJc w:val="left"/>
      <w:pPr>
        <w:tabs>
          <w:tab w:val="left" w:pos="5880"/>
        </w:tabs>
        <w:ind w:left="5880" w:hanging="360"/>
      </w:pPr>
    </w:lvl>
    <w:lvl w:ilvl="8" w:tentative="0">
      <w:start w:val="1"/>
      <w:numFmt w:val="decimal"/>
      <w:lvlText w:val="%9."/>
      <w:lvlJc w:val="left"/>
      <w:pPr>
        <w:tabs>
          <w:tab w:val="left" w:pos="6600"/>
        </w:tabs>
        <w:ind w:left="6600" w:hanging="360"/>
      </w:pPr>
    </w:lvl>
  </w:abstractNum>
  <w:abstractNum w:abstractNumId="29">
    <w:nsid w:val="0000001D"/>
    <w:multiLevelType w:val="multilevel"/>
    <w:tmpl w:val="0000001D"/>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0000001E"/>
    <w:multiLevelType w:val="multilevel"/>
    <w:tmpl w:val="0000001E"/>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0000001F"/>
    <w:multiLevelType w:val="multilevel"/>
    <w:tmpl w:val="0000001F"/>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00000020"/>
    <w:multiLevelType w:val="multilevel"/>
    <w:tmpl w:val="00000020"/>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33">
    <w:nsid w:val="00000021"/>
    <w:multiLevelType w:val="singleLevel"/>
    <w:tmpl w:val="00000021"/>
    <w:lvl w:ilvl="0" w:tentative="0">
      <w:start w:val="1"/>
      <w:numFmt w:val="decimal"/>
      <w:suff w:val="nothing"/>
      <w:lvlText w:val="%1、"/>
      <w:lvlJc w:val="left"/>
    </w:lvl>
  </w:abstractNum>
  <w:abstractNum w:abstractNumId="34">
    <w:nsid w:val="00000022"/>
    <w:multiLevelType w:val="multilevel"/>
    <w:tmpl w:val="00000022"/>
    <w:lvl w:ilvl="0" w:tentative="0">
      <w:start w:val="1"/>
      <w:numFmt w:val="decimal"/>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5">
    <w:nsid w:val="33FE1097"/>
    <w:multiLevelType w:val="singleLevel"/>
    <w:tmpl w:val="33FE1097"/>
    <w:lvl w:ilvl="0" w:tentative="0">
      <w:start w:val="1"/>
      <w:numFmt w:val="ideographTraditional"/>
      <w:suff w:val="nothing"/>
      <w:lvlText w:val="%1、"/>
      <w:lvlJc w:val="left"/>
      <w:rPr>
        <w:rFonts w:hint="eastAsia"/>
      </w:rPr>
    </w:lvl>
  </w:abstractNum>
  <w:abstractNum w:abstractNumId="36">
    <w:nsid w:val="7C246926"/>
    <w:multiLevelType w:val="singleLevel"/>
    <w:tmpl w:val="7C246926"/>
    <w:lvl w:ilvl="0" w:tentative="0">
      <w:start w:val="1"/>
      <w:numFmt w:val="decimal"/>
      <w:suff w:val="nothing"/>
      <w:lvlText w:val="%1、"/>
      <w:lvlJc w:val="left"/>
      <w:pPr>
        <w:ind w:left="481" w:firstLine="0"/>
      </w:pPr>
    </w:lvl>
  </w:abstractNum>
  <w:abstractNum w:abstractNumId="37">
    <w:nsid w:val="7D9F97AC"/>
    <w:multiLevelType w:val="singleLevel"/>
    <w:tmpl w:val="7D9F97AC"/>
    <w:lvl w:ilvl="0" w:tentative="0">
      <w:start w:val="3"/>
      <w:numFmt w:val="decimal"/>
      <w:suff w:val="nothing"/>
      <w:lvlText w:val="%1、"/>
      <w:lvlJc w:val="left"/>
    </w:lvl>
  </w:abstractNum>
  <w:num w:numId="1">
    <w:abstractNumId w:val="5"/>
  </w:num>
  <w:num w:numId="2">
    <w:abstractNumId w:val="4"/>
  </w:num>
  <w:num w:numId="3">
    <w:abstractNumId w:val="3"/>
  </w:num>
  <w:num w:numId="4">
    <w:abstractNumId w:val="15"/>
  </w:num>
  <w:num w:numId="5">
    <w:abstractNumId w:val="2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6"/>
  </w:num>
  <w:num w:numId="32">
    <w:abstractNumId w:val="35"/>
  </w:num>
  <w:num w:numId="33">
    <w:abstractNumId w:val="37"/>
  </w:num>
  <w:num w:numId="34">
    <w:abstractNumId w:val="1"/>
  </w:num>
  <w:num w:numId="35">
    <w:abstractNumId w:val="2"/>
  </w:num>
  <w:num w:numId="36">
    <w:abstractNumId w:val="0"/>
  </w:num>
  <w:num w:numId="37">
    <w:abstractNumId w:val="36"/>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2"/>
  <w:bordersDoNotSurroundHeader w:val="0"/>
  <w:bordersDoNotSurroundFooter w:val="0"/>
  <w:trackRevisions w:val="1"/>
  <w:documentProtection w:enforcement="0"/>
  <w:defaultTabStop w:val="720"/>
  <w:drawingGridHorizontalSpacing w:val="105"/>
  <w:drawingGridVerticalSpacing w:val="156"/>
  <w:displayHorizontalDrawingGridEvery w:val="1"/>
  <w:displayVerticalDrawingGridEvery w:val="1"/>
  <w:doNotShadeFormData w:val="1"/>
  <w:noPunctuationKerning w:val="1"/>
  <w:characterSpacingControl w:val="doNotCompress"/>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U4NzA3MTVmNjRjM2UyMzQ4MDczNzZhZmJiOWVmOGQifQ=="/>
    <w:docVar w:name="KSO_WPS_MARK_KEY" w:val="fe8ba438-fefd-4d4e-8c9e-78b623054c5f"/>
  </w:docVars>
  <w:rsids>
    <w:rsidRoot w:val="00383888"/>
    <w:rsid w:val="00121E2C"/>
    <w:rsid w:val="00383888"/>
    <w:rsid w:val="0062068F"/>
    <w:rsid w:val="0089225B"/>
    <w:rsid w:val="0090289A"/>
    <w:rsid w:val="00C41095"/>
    <w:rsid w:val="00DB2850"/>
    <w:rsid w:val="010160B5"/>
    <w:rsid w:val="010613D8"/>
    <w:rsid w:val="01457E60"/>
    <w:rsid w:val="0153288A"/>
    <w:rsid w:val="02073CC6"/>
    <w:rsid w:val="041451D4"/>
    <w:rsid w:val="06BE0353"/>
    <w:rsid w:val="07B753DE"/>
    <w:rsid w:val="07F64C8E"/>
    <w:rsid w:val="086102ED"/>
    <w:rsid w:val="09066B34"/>
    <w:rsid w:val="097162B2"/>
    <w:rsid w:val="09B65EE7"/>
    <w:rsid w:val="09FA4418"/>
    <w:rsid w:val="0A5D6BAA"/>
    <w:rsid w:val="0BB12978"/>
    <w:rsid w:val="0DED1F17"/>
    <w:rsid w:val="0E711752"/>
    <w:rsid w:val="0FFC1B8E"/>
    <w:rsid w:val="1060012B"/>
    <w:rsid w:val="10D5577C"/>
    <w:rsid w:val="12306040"/>
    <w:rsid w:val="12D940FB"/>
    <w:rsid w:val="1451290C"/>
    <w:rsid w:val="16CB6C8C"/>
    <w:rsid w:val="180715CC"/>
    <w:rsid w:val="1879641B"/>
    <w:rsid w:val="19604957"/>
    <w:rsid w:val="1BAD5B3A"/>
    <w:rsid w:val="1C301721"/>
    <w:rsid w:val="1D541D4B"/>
    <w:rsid w:val="1E0930FC"/>
    <w:rsid w:val="1E9F4BDB"/>
    <w:rsid w:val="1F7D2B08"/>
    <w:rsid w:val="1FEF2131"/>
    <w:rsid w:val="1FFBF2DF"/>
    <w:rsid w:val="20FF7332"/>
    <w:rsid w:val="21F2266A"/>
    <w:rsid w:val="228310D2"/>
    <w:rsid w:val="2339405E"/>
    <w:rsid w:val="23945D9E"/>
    <w:rsid w:val="23D231D6"/>
    <w:rsid w:val="246A6045"/>
    <w:rsid w:val="24893149"/>
    <w:rsid w:val="24DB65A6"/>
    <w:rsid w:val="25E726E0"/>
    <w:rsid w:val="25F27EC8"/>
    <w:rsid w:val="26BC205D"/>
    <w:rsid w:val="27F8533E"/>
    <w:rsid w:val="29BD1592"/>
    <w:rsid w:val="29C7651C"/>
    <w:rsid w:val="29F03B59"/>
    <w:rsid w:val="2A1C1654"/>
    <w:rsid w:val="2B3B6EA3"/>
    <w:rsid w:val="2B4D00B7"/>
    <w:rsid w:val="2C3B3ECC"/>
    <w:rsid w:val="2C6F5F60"/>
    <w:rsid w:val="2D26713E"/>
    <w:rsid w:val="2D7E4BF2"/>
    <w:rsid w:val="2E6D7F83"/>
    <w:rsid w:val="2EA1120D"/>
    <w:rsid w:val="2EBA2A9C"/>
    <w:rsid w:val="2EDB2CF9"/>
    <w:rsid w:val="2F5705C4"/>
    <w:rsid w:val="2FFB85F7"/>
    <w:rsid w:val="32B334C8"/>
    <w:rsid w:val="32C87D5D"/>
    <w:rsid w:val="337D5C05"/>
    <w:rsid w:val="339C0FD4"/>
    <w:rsid w:val="33D440B6"/>
    <w:rsid w:val="343A59BA"/>
    <w:rsid w:val="344722F2"/>
    <w:rsid w:val="34BC7AF8"/>
    <w:rsid w:val="36097C58"/>
    <w:rsid w:val="371D25A8"/>
    <w:rsid w:val="37B7690B"/>
    <w:rsid w:val="388A4E9E"/>
    <w:rsid w:val="38D556D1"/>
    <w:rsid w:val="39655B1E"/>
    <w:rsid w:val="39A178D7"/>
    <w:rsid w:val="39D3650A"/>
    <w:rsid w:val="3A6C6B82"/>
    <w:rsid w:val="3A7A0B70"/>
    <w:rsid w:val="3A7F9298"/>
    <w:rsid w:val="3B1208F6"/>
    <w:rsid w:val="3B566CBF"/>
    <w:rsid w:val="3BB363FE"/>
    <w:rsid w:val="3BE64680"/>
    <w:rsid w:val="3C1822ED"/>
    <w:rsid w:val="3CC77858"/>
    <w:rsid w:val="3DC416F1"/>
    <w:rsid w:val="3E516FC5"/>
    <w:rsid w:val="3E652CD0"/>
    <w:rsid w:val="3EBB3632"/>
    <w:rsid w:val="3F294063"/>
    <w:rsid w:val="3F600774"/>
    <w:rsid w:val="3FB6A775"/>
    <w:rsid w:val="40264C35"/>
    <w:rsid w:val="40B8783E"/>
    <w:rsid w:val="40F923BC"/>
    <w:rsid w:val="411E57C2"/>
    <w:rsid w:val="41A86CA0"/>
    <w:rsid w:val="41BD4425"/>
    <w:rsid w:val="42081A6E"/>
    <w:rsid w:val="424075AB"/>
    <w:rsid w:val="42AD4B94"/>
    <w:rsid w:val="42F93045"/>
    <w:rsid w:val="431A5E05"/>
    <w:rsid w:val="431A602C"/>
    <w:rsid w:val="43CE6DE6"/>
    <w:rsid w:val="44626E8D"/>
    <w:rsid w:val="4474431C"/>
    <w:rsid w:val="45126E65"/>
    <w:rsid w:val="45185CFE"/>
    <w:rsid w:val="45876A7F"/>
    <w:rsid w:val="45AA33DB"/>
    <w:rsid w:val="461A1858"/>
    <w:rsid w:val="48381E94"/>
    <w:rsid w:val="48DA3950"/>
    <w:rsid w:val="4ABB6007"/>
    <w:rsid w:val="4B020F06"/>
    <w:rsid w:val="4B83046D"/>
    <w:rsid w:val="4BDBC903"/>
    <w:rsid w:val="4C582886"/>
    <w:rsid w:val="4DB0533F"/>
    <w:rsid w:val="4E500D63"/>
    <w:rsid w:val="4E627438"/>
    <w:rsid w:val="4E70151F"/>
    <w:rsid w:val="4E8D0003"/>
    <w:rsid w:val="4F071D01"/>
    <w:rsid w:val="4F3178D8"/>
    <w:rsid w:val="4F4F32AA"/>
    <w:rsid w:val="503917A4"/>
    <w:rsid w:val="5061315D"/>
    <w:rsid w:val="50EF7605"/>
    <w:rsid w:val="528F24AC"/>
    <w:rsid w:val="53717B52"/>
    <w:rsid w:val="53A037EB"/>
    <w:rsid w:val="543B61F1"/>
    <w:rsid w:val="547F4FD0"/>
    <w:rsid w:val="54AD1E61"/>
    <w:rsid w:val="55575999"/>
    <w:rsid w:val="557B7167"/>
    <w:rsid w:val="55AF30CD"/>
    <w:rsid w:val="5681216E"/>
    <w:rsid w:val="56953FCA"/>
    <w:rsid w:val="56A77EC7"/>
    <w:rsid w:val="56DB4737"/>
    <w:rsid w:val="56FC31FD"/>
    <w:rsid w:val="5732117A"/>
    <w:rsid w:val="577FFC51"/>
    <w:rsid w:val="59320004"/>
    <w:rsid w:val="5A26116B"/>
    <w:rsid w:val="5D1062D0"/>
    <w:rsid w:val="5D9B6F2A"/>
    <w:rsid w:val="5DE7D7B6"/>
    <w:rsid w:val="5E6A5BAB"/>
    <w:rsid w:val="5EB74847"/>
    <w:rsid w:val="5EC12347"/>
    <w:rsid w:val="5F3519DA"/>
    <w:rsid w:val="5F7DD465"/>
    <w:rsid w:val="5FDD2028"/>
    <w:rsid w:val="5FEFAD73"/>
    <w:rsid w:val="60102F8E"/>
    <w:rsid w:val="64051BFB"/>
    <w:rsid w:val="642C1638"/>
    <w:rsid w:val="64BE2F6F"/>
    <w:rsid w:val="64D008E7"/>
    <w:rsid w:val="66500252"/>
    <w:rsid w:val="66C63A4B"/>
    <w:rsid w:val="68386205"/>
    <w:rsid w:val="69C33836"/>
    <w:rsid w:val="6A8440E2"/>
    <w:rsid w:val="6AD23873"/>
    <w:rsid w:val="6AF44752"/>
    <w:rsid w:val="6B8E5B2A"/>
    <w:rsid w:val="6C0A4F8E"/>
    <w:rsid w:val="6CFFE25D"/>
    <w:rsid w:val="6D19501D"/>
    <w:rsid w:val="6D9508EE"/>
    <w:rsid w:val="6DD0467E"/>
    <w:rsid w:val="6DEE3FBB"/>
    <w:rsid w:val="6DF194FF"/>
    <w:rsid w:val="6E5D0773"/>
    <w:rsid w:val="6EA75ED2"/>
    <w:rsid w:val="6ED3EAF4"/>
    <w:rsid w:val="6F195642"/>
    <w:rsid w:val="6F580E94"/>
    <w:rsid w:val="6F792287"/>
    <w:rsid w:val="709D754D"/>
    <w:rsid w:val="714A751D"/>
    <w:rsid w:val="717E67AC"/>
    <w:rsid w:val="72081573"/>
    <w:rsid w:val="7255673E"/>
    <w:rsid w:val="7260004D"/>
    <w:rsid w:val="736267F0"/>
    <w:rsid w:val="747CD79C"/>
    <w:rsid w:val="74AF0AB7"/>
    <w:rsid w:val="74C043BE"/>
    <w:rsid w:val="75667669"/>
    <w:rsid w:val="75A44ED9"/>
    <w:rsid w:val="77420E4E"/>
    <w:rsid w:val="77BFDB99"/>
    <w:rsid w:val="77D41D3D"/>
    <w:rsid w:val="77DB1EA0"/>
    <w:rsid w:val="77F44BC7"/>
    <w:rsid w:val="787300E3"/>
    <w:rsid w:val="78FBC8E5"/>
    <w:rsid w:val="78FE1DF7"/>
    <w:rsid w:val="798E7332"/>
    <w:rsid w:val="7AEB5D0D"/>
    <w:rsid w:val="7B2D58BA"/>
    <w:rsid w:val="7B759C40"/>
    <w:rsid w:val="7BDD3467"/>
    <w:rsid w:val="7BFD2F1D"/>
    <w:rsid w:val="7D7E53EC"/>
    <w:rsid w:val="7D7FF7FA"/>
    <w:rsid w:val="7D84DFB3"/>
    <w:rsid w:val="7DEC0600"/>
    <w:rsid w:val="7E7F7D73"/>
    <w:rsid w:val="7EF4B2A1"/>
    <w:rsid w:val="7F472BF7"/>
    <w:rsid w:val="7F691BFD"/>
    <w:rsid w:val="7F7EEC86"/>
    <w:rsid w:val="7F925160"/>
    <w:rsid w:val="7FC7ADD8"/>
    <w:rsid w:val="7FEEDF59"/>
    <w:rsid w:val="87EF026A"/>
    <w:rsid w:val="8EFF8419"/>
    <w:rsid w:val="8FBA7CD5"/>
    <w:rsid w:val="9D2C7790"/>
    <w:rsid w:val="AEF500D5"/>
    <w:rsid w:val="BBFDADC6"/>
    <w:rsid w:val="BEE1E8E7"/>
    <w:rsid w:val="BF2F7122"/>
    <w:rsid w:val="BFEDA976"/>
    <w:rsid w:val="BFF7BE6B"/>
    <w:rsid w:val="CA75536F"/>
    <w:rsid w:val="CDDFFE08"/>
    <w:rsid w:val="CF5F9BE8"/>
    <w:rsid w:val="CFCFA59F"/>
    <w:rsid w:val="D1BFAF91"/>
    <w:rsid w:val="D77F882B"/>
    <w:rsid w:val="DDDF827F"/>
    <w:rsid w:val="DF7B2394"/>
    <w:rsid w:val="DFD9A3E4"/>
    <w:rsid w:val="DFF50DBC"/>
    <w:rsid w:val="E627C39A"/>
    <w:rsid w:val="EBF6EC94"/>
    <w:rsid w:val="EBF7926A"/>
    <w:rsid w:val="EE69FEF8"/>
    <w:rsid w:val="EFFFFE3B"/>
    <w:rsid w:val="F1F5B8C1"/>
    <w:rsid w:val="F52996C3"/>
    <w:rsid w:val="F55F6596"/>
    <w:rsid w:val="F58F0ECD"/>
    <w:rsid w:val="F5DF702E"/>
    <w:rsid w:val="F7EBCC4C"/>
    <w:rsid w:val="FA7FF082"/>
    <w:rsid w:val="FAFEFA74"/>
    <w:rsid w:val="FB7C6402"/>
    <w:rsid w:val="FBB77478"/>
    <w:rsid w:val="FBFF1183"/>
    <w:rsid w:val="FBFF838E"/>
    <w:rsid w:val="FED7BFDE"/>
    <w:rsid w:val="FEE5C219"/>
    <w:rsid w:val="FFBF2E30"/>
    <w:rsid w:val="FFDEDE03"/>
    <w:rsid w:val="FFE87C51"/>
    <w:rsid w:val="FFEF2100"/>
    <w:rsid w:val="FFF3FA0E"/>
    <w:rsid w:val="FFFF6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99"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4"/>
      <w:lang w:val="en-US" w:eastAsia="zh-CN" w:bidi="ar-SA"/>
    </w:rPr>
  </w:style>
  <w:style w:type="paragraph" w:styleId="2">
    <w:name w:val="heading 1"/>
    <w:basedOn w:val="1"/>
    <w:next w:val="1"/>
    <w:link w:val="55"/>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56"/>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7"/>
    <w:qFormat/>
    <w:uiPriority w:val="99"/>
    <w:pPr>
      <w:keepNext/>
      <w:keepLines/>
      <w:spacing w:before="260" w:after="260" w:line="416" w:lineRule="auto"/>
      <w:outlineLvl w:val="2"/>
    </w:pPr>
    <w:rPr>
      <w:b/>
      <w:bCs/>
      <w:sz w:val="32"/>
      <w:szCs w:val="32"/>
    </w:rPr>
  </w:style>
  <w:style w:type="paragraph" w:styleId="5">
    <w:name w:val="heading 4"/>
    <w:basedOn w:val="4"/>
    <w:next w:val="6"/>
    <w:link w:val="58"/>
    <w:qFormat/>
    <w:uiPriority w:val="99"/>
    <w:pPr>
      <w:keepNext w:val="0"/>
      <w:keepLines w:val="0"/>
      <w:numPr>
        <w:ilvl w:val="3"/>
        <w:numId w:val="1"/>
      </w:numPr>
      <w:tabs>
        <w:tab w:val="left" w:pos="900"/>
        <w:tab w:val="left" w:pos="1080"/>
      </w:tabs>
      <w:spacing w:before="156" w:beforeLines="50" w:after="156" w:afterLines="50" w:line="360" w:lineRule="auto"/>
      <w:ind w:firstLine="200" w:firstLineChars="200"/>
      <w:jc w:val="center"/>
      <w:outlineLvl w:val="3"/>
    </w:pPr>
    <w:rPr>
      <w:rFonts w:ascii="Arial" w:hAnsi="Arial" w:eastAsia="黑体"/>
      <w:sz w:val="24"/>
      <w:szCs w:val="24"/>
    </w:rPr>
  </w:style>
  <w:style w:type="paragraph" w:styleId="7">
    <w:name w:val="heading 5"/>
    <w:basedOn w:val="5"/>
    <w:next w:val="6"/>
    <w:link w:val="59"/>
    <w:qFormat/>
    <w:uiPriority w:val="99"/>
    <w:pPr>
      <w:numPr>
        <w:ilvl w:val="4"/>
        <w:numId w:val="0"/>
      </w:numPr>
      <w:spacing w:line="240" w:lineRule="exact"/>
      <w:outlineLvl w:val="4"/>
    </w:pPr>
  </w:style>
  <w:style w:type="paragraph" w:styleId="8">
    <w:name w:val="heading 6"/>
    <w:basedOn w:val="1"/>
    <w:next w:val="1"/>
    <w:link w:val="60"/>
    <w:qFormat/>
    <w:uiPriority w:val="99"/>
    <w:pPr>
      <w:keepNext/>
      <w:keepLines/>
      <w:widowControl/>
      <w:tabs>
        <w:tab w:val="left" w:pos="1152"/>
      </w:tabs>
      <w:spacing w:before="240" w:after="64" w:line="320" w:lineRule="auto"/>
      <w:ind w:left="1152" w:hanging="1152"/>
      <w:jc w:val="left"/>
      <w:outlineLvl w:val="5"/>
    </w:pPr>
    <w:rPr>
      <w:rFonts w:ascii="Arial" w:hAnsi="Arial" w:eastAsia="黑体"/>
      <w:b/>
      <w:bCs/>
      <w:kern w:val="0"/>
      <w:sz w:val="24"/>
      <w:lang w:eastAsia="en-US"/>
    </w:rPr>
  </w:style>
  <w:style w:type="paragraph" w:styleId="9">
    <w:name w:val="heading 7"/>
    <w:basedOn w:val="1"/>
    <w:next w:val="6"/>
    <w:link w:val="61"/>
    <w:qFormat/>
    <w:uiPriority w:val="99"/>
    <w:pPr>
      <w:keepNext/>
      <w:keepLines/>
      <w:numPr>
        <w:ilvl w:val="6"/>
        <w:numId w:val="1"/>
      </w:numPr>
      <w:spacing w:before="240" w:after="64" w:line="320" w:lineRule="auto"/>
      <w:outlineLvl w:val="6"/>
    </w:pPr>
    <w:rPr>
      <w:b/>
      <w:sz w:val="24"/>
      <w:szCs w:val="20"/>
    </w:rPr>
  </w:style>
  <w:style w:type="paragraph" w:styleId="10">
    <w:name w:val="heading 8"/>
    <w:basedOn w:val="1"/>
    <w:next w:val="6"/>
    <w:link w:val="62"/>
    <w:qFormat/>
    <w:uiPriority w:val="99"/>
    <w:pPr>
      <w:keepNext/>
      <w:keepLines/>
      <w:numPr>
        <w:ilvl w:val="7"/>
        <w:numId w:val="1"/>
      </w:numPr>
      <w:spacing w:before="240" w:after="64" w:line="320" w:lineRule="auto"/>
      <w:outlineLvl w:val="7"/>
    </w:pPr>
    <w:rPr>
      <w:rFonts w:ascii="Arial" w:hAnsi="Arial" w:eastAsia="黑体"/>
      <w:sz w:val="24"/>
      <w:szCs w:val="20"/>
    </w:rPr>
  </w:style>
  <w:style w:type="paragraph" w:styleId="11">
    <w:name w:val="heading 9"/>
    <w:basedOn w:val="1"/>
    <w:next w:val="6"/>
    <w:link w:val="63"/>
    <w:qFormat/>
    <w:uiPriority w:val="99"/>
    <w:pPr>
      <w:keepNext/>
      <w:keepLines/>
      <w:numPr>
        <w:ilvl w:val="8"/>
        <w:numId w:val="1"/>
      </w:numPr>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style>
  <w:style w:type="paragraph" w:styleId="12">
    <w:name w:val="toc 7"/>
    <w:basedOn w:val="1"/>
    <w:next w:val="1"/>
    <w:qFormat/>
    <w:uiPriority w:val="39"/>
    <w:pPr>
      <w:ind w:left="1260"/>
      <w:jc w:val="left"/>
    </w:pPr>
    <w:rPr>
      <w:rFonts w:ascii="Calibri" w:hAnsi="Calibri" w:cs="Calibri"/>
      <w:sz w:val="18"/>
      <w:szCs w:val="18"/>
    </w:rPr>
  </w:style>
  <w:style w:type="paragraph" w:styleId="13">
    <w:name w:val="List Bullet"/>
    <w:basedOn w:val="1"/>
    <w:qFormat/>
    <w:uiPriority w:val="99"/>
    <w:pPr>
      <w:tabs>
        <w:tab w:val="left" w:pos="360"/>
      </w:tabs>
      <w:ind w:left="360" w:hanging="360"/>
    </w:pPr>
    <w:rPr>
      <w:kern w:val="0"/>
      <w:sz w:val="24"/>
      <w:lang w:eastAsia="en-US"/>
    </w:rPr>
  </w:style>
  <w:style w:type="paragraph" w:styleId="14">
    <w:name w:val="Document Map"/>
    <w:basedOn w:val="1"/>
    <w:link w:val="64"/>
    <w:qFormat/>
    <w:uiPriority w:val="99"/>
    <w:pPr>
      <w:shd w:val="clear" w:color="auto" w:fill="000080"/>
    </w:pPr>
  </w:style>
  <w:style w:type="paragraph" w:styleId="15">
    <w:name w:val="annotation text"/>
    <w:basedOn w:val="1"/>
    <w:link w:val="65"/>
    <w:qFormat/>
    <w:uiPriority w:val="99"/>
    <w:pPr>
      <w:jc w:val="left"/>
    </w:pPr>
  </w:style>
  <w:style w:type="paragraph" w:styleId="16">
    <w:name w:val="Body Text 3"/>
    <w:basedOn w:val="1"/>
    <w:link w:val="67"/>
    <w:qFormat/>
    <w:uiPriority w:val="99"/>
    <w:pPr>
      <w:spacing w:after="120"/>
    </w:pPr>
    <w:rPr>
      <w:kern w:val="0"/>
      <w:sz w:val="16"/>
      <w:szCs w:val="16"/>
    </w:rPr>
  </w:style>
  <w:style w:type="paragraph" w:styleId="17">
    <w:name w:val="Body Text"/>
    <w:basedOn w:val="1"/>
    <w:link w:val="68"/>
    <w:qFormat/>
    <w:uiPriority w:val="99"/>
    <w:pPr>
      <w:spacing w:after="120"/>
    </w:pPr>
  </w:style>
  <w:style w:type="paragraph" w:styleId="18">
    <w:name w:val="Body Text Indent"/>
    <w:basedOn w:val="1"/>
    <w:link w:val="69"/>
    <w:qFormat/>
    <w:uiPriority w:val="99"/>
    <w:pPr>
      <w:ind w:firstLine="630"/>
    </w:pPr>
    <w:rPr>
      <w:rFonts w:ascii="宋体"/>
      <w:kern w:val="0"/>
      <w:sz w:val="32"/>
      <w:szCs w:val="20"/>
    </w:rPr>
  </w:style>
  <w:style w:type="paragraph" w:styleId="19">
    <w:name w:val="List Bullet 2"/>
    <w:basedOn w:val="13"/>
    <w:qFormat/>
    <w:uiPriority w:val="99"/>
    <w:pPr>
      <w:widowControl/>
      <w:tabs>
        <w:tab w:val="left" w:pos="432"/>
      </w:tabs>
      <w:spacing w:after="220" w:line="220" w:lineRule="atLeast"/>
      <w:ind w:left="2160" w:right="720" w:hanging="432"/>
      <w:jc w:val="left"/>
    </w:pPr>
    <w:rPr>
      <w:szCs w:val="20"/>
    </w:rPr>
  </w:style>
  <w:style w:type="paragraph" w:styleId="20">
    <w:name w:val="toc 5"/>
    <w:basedOn w:val="1"/>
    <w:next w:val="1"/>
    <w:qFormat/>
    <w:uiPriority w:val="39"/>
    <w:pPr>
      <w:ind w:left="840"/>
      <w:jc w:val="left"/>
    </w:pPr>
    <w:rPr>
      <w:rFonts w:ascii="Calibri" w:hAnsi="Calibri" w:cs="Calibri"/>
      <w:sz w:val="18"/>
      <w:szCs w:val="18"/>
    </w:rPr>
  </w:style>
  <w:style w:type="paragraph" w:styleId="21">
    <w:name w:val="toc 3"/>
    <w:basedOn w:val="1"/>
    <w:next w:val="1"/>
    <w:qFormat/>
    <w:uiPriority w:val="39"/>
    <w:pPr>
      <w:ind w:left="840" w:leftChars="400"/>
    </w:pPr>
  </w:style>
  <w:style w:type="paragraph" w:styleId="22">
    <w:name w:val="Plain Text"/>
    <w:basedOn w:val="1"/>
    <w:next w:val="1"/>
    <w:link w:val="70"/>
    <w:qFormat/>
    <w:uiPriority w:val="0"/>
    <w:rPr>
      <w:rFonts w:ascii="宋体" w:hAnsi="Courier New" w:eastAsia="楷体_GB2312"/>
      <w:szCs w:val="20"/>
    </w:rPr>
  </w:style>
  <w:style w:type="paragraph" w:styleId="23">
    <w:name w:val="toc 8"/>
    <w:basedOn w:val="1"/>
    <w:next w:val="1"/>
    <w:qFormat/>
    <w:uiPriority w:val="39"/>
    <w:pPr>
      <w:ind w:left="1470"/>
      <w:jc w:val="left"/>
    </w:pPr>
    <w:rPr>
      <w:rFonts w:ascii="Calibri" w:hAnsi="Calibri" w:cs="Calibri"/>
      <w:sz w:val="18"/>
      <w:szCs w:val="18"/>
    </w:rPr>
  </w:style>
  <w:style w:type="paragraph" w:styleId="24">
    <w:name w:val="Date"/>
    <w:basedOn w:val="1"/>
    <w:next w:val="1"/>
    <w:link w:val="71"/>
    <w:qFormat/>
    <w:uiPriority w:val="99"/>
    <w:pPr>
      <w:ind w:left="100" w:leftChars="2500"/>
    </w:pPr>
  </w:style>
  <w:style w:type="paragraph" w:styleId="25">
    <w:name w:val="Body Text Indent 2"/>
    <w:basedOn w:val="1"/>
    <w:link w:val="72"/>
    <w:qFormat/>
    <w:uiPriority w:val="99"/>
    <w:pPr>
      <w:tabs>
        <w:tab w:val="left" w:pos="4970"/>
      </w:tabs>
      <w:spacing w:line="360" w:lineRule="auto"/>
      <w:ind w:firstLine="480" w:firstLineChars="200"/>
    </w:pPr>
    <w:rPr>
      <w:kern w:val="0"/>
      <w:sz w:val="24"/>
    </w:rPr>
  </w:style>
  <w:style w:type="paragraph" w:styleId="26">
    <w:name w:val="endnote text"/>
    <w:basedOn w:val="1"/>
    <w:link w:val="73"/>
    <w:qFormat/>
    <w:uiPriority w:val="0"/>
    <w:pPr>
      <w:snapToGrid w:val="0"/>
      <w:jc w:val="left"/>
    </w:pPr>
    <w:rPr>
      <w:kern w:val="0"/>
      <w:sz w:val="20"/>
    </w:rPr>
  </w:style>
  <w:style w:type="paragraph" w:styleId="27">
    <w:name w:val="Balloon Text"/>
    <w:basedOn w:val="1"/>
    <w:link w:val="66"/>
    <w:qFormat/>
    <w:uiPriority w:val="99"/>
    <w:rPr>
      <w:sz w:val="18"/>
      <w:szCs w:val="18"/>
    </w:rPr>
  </w:style>
  <w:style w:type="paragraph" w:styleId="28">
    <w:name w:val="footer"/>
    <w:basedOn w:val="1"/>
    <w:link w:val="74"/>
    <w:qFormat/>
    <w:uiPriority w:val="99"/>
    <w:pPr>
      <w:tabs>
        <w:tab w:val="center" w:pos="4153"/>
        <w:tab w:val="right" w:pos="8306"/>
      </w:tabs>
      <w:snapToGrid w:val="0"/>
      <w:jc w:val="left"/>
    </w:pPr>
    <w:rPr>
      <w:sz w:val="18"/>
      <w:szCs w:val="18"/>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style>
  <w:style w:type="paragraph" w:styleId="31">
    <w:name w:val="toc 4"/>
    <w:basedOn w:val="1"/>
    <w:next w:val="1"/>
    <w:qFormat/>
    <w:uiPriority w:val="39"/>
    <w:pPr>
      <w:ind w:left="630"/>
      <w:jc w:val="left"/>
    </w:pPr>
    <w:rPr>
      <w:rFonts w:ascii="Calibri" w:hAnsi="Calibri" w:cs="Calibri"/>
      <w:sz w:val="18"/>
      <w:szCs w:val="18"/>
    </w:rPr>
  </w:style>
  <w:style w:type="paragraph" w:styleId="32">
    <w:name w:val="Subtitle"/>
    <w:basedOn w:val="1"/>
    <w:next w:val="1"/>
    <w:link w:val="54"/>
    <w:qFormat/>
    <w:uiPriority w:val="99"/>
    <w:pPr>
      <w:widowControl/>
      <w:spacing w:before="240" w:after="60" w:line="312" w:lineRule="auto"/>
      <w:jc w:val="center"/>
      <w:outlineLvl w:val="1"/>
    </w:pPr>
    <w:rPr>
      <w:rFonts w:ascii="Calibri Light" w:hAnsi="Calibri Light" w:cs="Calibri Light"/>
      <w:b/>
      <w:bCs/>
      <w:kern w:val="28"/>
      <w:sz w:val="32"/>
      <w:szCs w:val="32"/>
    </w:rPr>
  </w:style>
  <w:style w:type="paragraph" w:styleId="33">
    <w:name w:val="footnote text"/>
    <w:basedOn w:val="1"/>
    <w:link w:val="76"/>
    <w:qFormat/>
    <w:uiPriority w:val="0"/>
    <w:pPr>
      <w:snapToGrid w:val="0"/>
      <w:jc w:val="left"/>
    </w:pPr>
    <w:rPr>
      <w:kern w:val="0"/>
      <w:sz w:val="18"/>
      <w:szCs w:val="18"/>
    </w:rPr>
  </w:style>
  <w:style w:type="paragraph" w:styleId="34">
    <w:name w:val="toc 6"/>
    <w:basedOn w:val="1"/>
    <w:next w:val="1"/>
    <w:qFormat/>
    <w:uiPriority w:val="39"/>
    <w:pPr>
      <w:ind w:left="1050"/>
      <w:jc w:val="left"/>
    </w:pPr>
    <w:rPr>
      <w:rFonts w:ascii="Calibri" w:hAnsi="Calibri" w:cs="Calibri"/>
      <w:sz w:val="18"/>
      <w:szCs w:val="18"/>
    </w:rPr>
  </w:style>
  <w:style w:type="paragraph" w:styleId="35">
    <w:name w:val="Body Text Indent 3"/>
    <w:basedOn w:val="1"/>
    <w:link w:val="77"/>
    <w:qFormat/>
    <w:uiPriority w:val="99"/>
    <w:pPr>
      <w:spacing w:line="360" w:lineRule="auto"/>
      <w:ind w:left="1978" w:leftChars="942"/>
    </w:pPr>
    <w:rPr>
      <w:rFonts w:hAnsi="宋体"/>
      <w:kern w:val="0"/>
      <w:sz w:val="24"/>
    </w:rPr>
  </w:style>
  <w:style w:type="paragraph" w:styleId="36">
    <w:name w:val="table of figures"/>
    <w:basedOn w:val="1"/>
    <w:next w:val="1"/>
    <w:qFormat/>
    <w:uiPriority w:val="0"/>
    <w:pPr>
      <w:ind w:left="840" w:leftChars="200" w:hanging="420" w:hangingChars="200"/>
    </w:pPr>
  </w:style>
  <w:style w:type="paragraph" w:styleId="37">
    <w:name w:val="toc 2"/>
    <w:basedOn w:val="1"/>
    <w:next w:val="1"/>
    <w:qFormat/>
    <w:uiPriority w:val="39"/>
    <w:pPr>
      <w:ind w:left="420" w:leftChars="200"/>
    </w:pPr>
  </w:style>
  <w:style w:type="paragraph" w:styleId="38">
    <w:name w:val="toc 9"/>
    <w:basedOn w:val="1"/>
    <w:next w:val="1"/>
    <w:qFormat/>
    <w:uiPriority w:val="39"/>
    <w:pPr>
      <w:ind w:left="1680"/>
      <w:jc w:val="left"/>
    </w:pPr>
    <w:rPr>
      <w:rFonts w:ascii="Calibri" w:hAnsi="Calibri" w:cs="Calibri"/>
      <w:sz w:val="18"/>
      <w:szCs w:val="18"/>
    </w:rPr>
  </w:style>
  <w:style w:type="paragraph" w:styleId="39">
    <w:name w:val="Body Text 2"/>
    <w:basedOn w:val="1"/>
    <w:link w:val="78"/>
    <w:qFormat/>
    <w:uiPriority w:val="99"/>
    <w:rPr>
      <w:rFonts w:eastAsia="楷体_GB2312"/>
      <w:b/>
      <w:bCs/>
      <w:kern w:val="0"/>
      <w:sz w:val="20"/>
    </w:rPr>
  </w:style>
  <w:style w:type="paragraph" w:styleId="40">
    <w:name w:val="Normal (Web)"/>
    <w:basedOn w:val="1"/>
    <w:qFormat/>
    <w:uiPriority w:val="99"/>
    <w:pPr>
      <w:widowControl/>
      <w:spacing w:before="100" w:beforeAutospacing="1" w:after="100" w:afterAutospacing="1"/>
      <w:jc w:val="left"/>
    </w:pPr>
    <w:rPr>
      <w:rFonts w:ascii="宋体" w:hAnsi="宋体"/>
      <w:kern w:val="0"/>
      <w:sz w:val="24"/>
    </w:rPr>
  </w:style>
  <w:style w:type="paragraph" w:styleId="41">
    <w:name w:val="Title"/>
    <w:basedOn w:val="1"/>
    <w:next w:val="1"/>
    <w:link w:val="79"/>
    <w:qFormat/>
    <w:uiPriority w:val="99"/>
    <w:pPr>
      <w:spacing w:before="240" w:after="60"/>
      <w:jc w:val="center"/>
      <w:outlineLvl w:val="0"/>
    </w:pPr>
    <w:rPr>
      <w:rFonts w:ascii="Arial" w:hAnsi="Arial" w:cs="Arial"/>
      <w:b/>
      <w:bCs/>
      <w:sz w:val="32"/>
      <w:szCs w:val="32"/>
    </w:rPr>
  </w:style>
  <w:style w:type="paragraph" w:styleId="42">
    <w:name w:val="annotation subject"/>
    <w:basedOn w:val="15"/>
    <w:next w:val="15"/>
    <w:link w:val="80"/>
    <w:qFormat/>
    <w:uiPriority w:val="99"/>
    <w:rPr>
      <w:b/>
      <w:bCs/>
    </w:rPr>
  </w:style>
  <w:style w:type="paragraph" w:styleId="43">
    <w:name w:val="Body Text First Indent"/>
    <w:basedOn w:val="17"/>
    <w:qFormat/>
    <w:uiPriority w:val="0"/>
    <w:pPr>
      <w:ind w:firstLine="420" w:firstLineChars="100"/>
    </w:pPr>
  </w:style>
  <w:style w:type="paragraph" w:styleId="44">
    <w:name w:val="Body Text First Indent 2"/>
    <w:basedOn w:val="18"/>
    <w:qFormat/>
    <w:uiPriority w:val="0"/>
    <w:pPr>
      <w:spacing w:after="120"/>
      <w:ind w:left="420" w:leftChars="200" w:firstLine="420" w:firstLineChars="200"/>
    </w:pPr>
    <w:rPr>
      <w:rFonts w:ascii="Calibri" w:hAnsi="Calibri"/>
      <w:kern w:val="2"/>
      <w:sz w:val="21"/>
      <w:szCs w:val="24"/>
    </w:rPr>
  </w:style>
  <w:style w:type="table" w:styleId="46">
    <w:name w:val="Table Grid"/>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99"/>
  </w:style>
  <w:style w:type="character" w:styleId="50">
    <w:name w:val="FollowedHyperlink"/>
    <w:qFormat/>
    <w:uiPriority w:val="99"/>
    <w:rPr>
      <w:color w:val="800080"/>
      <w:u w:val="single"/>
    </w:rPr>
  </w:style>
  <w:style w:type="character" w:styleId="51">
    <w:name w:val="Emphasis"/>
    <w:qFormat/>
    <w:uiPriority w:val="0"/>
    <w:rPr>
      <w:i/>
      <w:iCs/>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customStyle="1" w:styleId="54">
    <w:name w:val="副标题 字符"/>
    <w:link w:val="32"/>
    <w:qFormat/>
    <w:uiPriority w:val="99"/>
    <w:rPr>
      <w:rFonts w:ascii="Calibri Light" w:hAnsi="Calibri Light" w:cs="Calibri Light"/>
      <w:b/>
      <w:bCs/>
      <w:kern w:val="28"/>
      <w:sz w:val="32"/>
      <w:szCs w:val="32"/>
    </w:rPr>
  </w:style>
  <w:style w:type="character" w:customStyle="1" w:styleId="55">
    <w:name w:val="标题 1 字符"/>
    <w:link w:val="2"/>
    <w:qFormat/>
    <w:uiPriority w:val="99"/>
    <w:rPr>
      <w:rFonts w:eastAsia="宋体"/>
      <w:b/>
      <w:bCs/>
      <w:kern w:val="44"/>
      <w:sz w:val="44"/>
      <w:szCs w:val="44"/>
      <w:lang w:val="en-US" w:eastAsia="zh-CN" w:bidi="ar-SA"/>
    </w:rPr>
  </w:style>
  <w:style w:type="character" w:customStyle="1" w:styleId="56">
    <w:name w:val="标题 2 字符"/>
    <w:link w:val="3"/>
    <w:qFormat/>
    <w:uiPriority w:val="99"/>
    <w:rPr>
      <w:rFonts w:ascii="Arial" w:hAnsi="Arial" w:eastAsia="黑体"/>
      <w:b/>
      <w:bCs/>
      <w:kern w:val="2"/>
      <w:sz w:val="32"/>
      <w:szCs w:val="32"/>
      <w:lang w:val="en-US" w:eastAsia="zh-CN" w:bidi="ar-SA"/>
    </w:rPr>
  </w:style>
  <w:style w:type="character" w:customStyle="1" w:styleId="57">
    <w:name w:val="标题 3 字符"/>
    <w:link w:val="4"/>
    <w:qFormat/>
    <w:uiPriority w:val="99"/>
    <w:rPr>
      <w:rFonts w:eastAsia="宋体"/>
      <w:b/>
      <w:bCs/>
      <w:kern w:val="2"/>
      <w:sz w:val="32"/>
      <w:szCs w:val="32"/>
      <w:lang w:val="en-US" w:eastAsia="zh-CN" w:bidi="ar-SA"/>
    </w:rPr>
  </w:style>
  <w:style w:type="character" w:customStyle="1" w:styleId="58">
    <w:name w:val="标题 4 字符"/>
    <w:link w:val="5"/>
    <w:qFormat/>
    <w:uiPriority w:val="99"/>
    <w:rPr>
      <w:rFonts w:ascii="Arial" w:hAnsi="Arial" w:eastAsia="黑体"/>
      <w:b/>
      <w:bCs/>
      <w:kern w:val="2"/>
      <w:sz w:val="24"/>
      <w:szCs w:val="24"/>
      <w:lang w:val="en-US" w:eastAsia="zh-CN" w:bidi="ar-SA"/>
    </w:rPr>
  </w:style>
  <w:style w:type="character" w:customStyle="1" w:styleId="59">
    <w:name w:val="标题 5 字符"/>
    <w:link w:val="7"/>
    <w:qFormat/>
    <w:uiPriority w:val="99"/>
    <w:rPr>
      <w:rFonts w:ascii="Arial" w:hAnsi="Arial" w:eastAsia="黑体"/>
      <w:b/>
      <w:bCs/>
      <w:kern w:val="2"/>
      <w:sz w:val="24"/>
      <w:szCs w:val="24"/>
      <w:lang w:val="en-US" w:eastAsia="zh-CN" w:bidi="ar-SA"/>
    </w:rPr>
  </w:style>
  <w:style w:type="character" w:customStyle="1" w:styleId="60">
    <w:name w:val="标题 6 字符"/>
    <w:link w:val="8"/>
    <w:qFormat/>
    <w:uiPriority w:val="99"/>
    <w:rPr>
      <w:rFonts w:ascii="Arial" w:hAnsi="Arial" w:eastAsia="黑体"/>
      <w:b/>
      <w:bCs/>
      <w:sz w:val="24"/>
      <w:szCs w:val="24"/>
      <w:lang w:val="en-US" w:eastAsia="en-US" w:bidi="ar-SA"/>
    </w:rPr>
  </w:style>
  <w:style w:type="character" w:customStyle="1" w:styleId="61">
    <w:name w:val="标题 7 字符"/>
    <w:link w:val="9"/>
    <w:qFormat/>
    <w:uiPriority w:val="99"/>
    <w:rPr>
      <w:rFonts w:eastAsia="宋体"/>
      <w:b/>
      <w:kern w:val="2"/>
      <w:sz w:val="24"/>
      <w:lang w:val="en-US" w:eastAsia="zh-CN" w:bidi="ar-SA"/>
    </w:rPr>
  </w:style>
  <w:style w:type="character" w:customStyle="1" w:styleId="62">
    <w:name w:val="标题 8 字符"/>
    <w:link w:val="10"/>
    <w:qFormat/>
    <w:uiPriority w:val="99"/>
    <w:rPr>
      <w:rFonts w:ascii="Arial" w:hAnsi="Arial" w:eastAsia="黑体"/>
      <w:kern w:val="2"/>
      <w:sz w:val="24"/>
      <w:lang w:val="en-US" w:eastAsia="zh-CN" w:bidi="ar-SA"/>
    </w:rPr>
  </w:style>
  <w:style w:type="character" w:customStyle="1" w:styleId="63">
    <w:name w:val="标题 9 字符"/>
    <w:link w:val="11"/>
    <w:qFormat/>
    <w:uiPriority w:val="99"/>
    <w:rPr>
      <w:rFonts w:ascii="Arial" w:hAnsi="Arial" w:eastAsia="黑体"/>
      <w:kern w:val="2"/>
      <w:sz w:val="21"/>
      <w:lang w:val="en-US" w:eastAsia="zh-CN" w:bidi="ar-SA"/>
    </w:rPr>
  </w:style>
  <w:style w:type="character" w:customStyle="1" w:styleId="64">
    <w:name w:val="文档结构图 字符"/>
    <w:link w:val="14"/>
    <w:qFormat/>
    <w:uiPriority w:val="99"/>
    <w:rPr>
      <w:rFonts w:eastAsia="宋体"/>
      <w:kern w:val="2"/>
      <w:sz w:val="21"/>
      <w:szCs w:val="24"/>
      <w:lang w:val="en-US" w:eastAsia="zh-CN" w:bidi="ar-SA"/>
    </w:rPr>
  </w:style>
  <w:style w:type="character" w:customStyle="1" w:styleId="65">
    <w:name w:val="批注文字 字符"/>
    <w:link w:val="15"/>
    <w:qFormat/>
    <w:uiPriority w:val="99"/>
    <w:rPr>
      <w:kern w:val="2"/>
      <w:sz w:val="21"/>
      <w:szCs w:val="24"/>
    </w:rPr>
  </w:style>
  <w:style w:type="character" w:customStyle="1" w:styleId="66">
    <w:name w:val="批注框文本 字符"/>
    <w:link w:val="27"/>
    <w:qFormat/>
    <w:uiPriority w:val="99"/>
    <w:rPr>
      <w:kern w:val="2"/>
      <w:sz w:val="18"/>
      <w:szCs w:val="18"/>
    </w:rPr>
  </w:style>
  <w:style w:type="character" w:customStyle="1" w:styleId="67">
    <w:name w:val="正文文本 3 字符"/>
    <w:link w:val="16"/>
    <w:qFormat/>
    <w:uiPriority w:val="99"/>
    <w:rPr>
      <w:sz w:val="16"/>
      <w:szCs w:val="16"/>
    </w:rPr>
  </w:style>
  <w:style w:type="character" w:customStyle="1" w:styleId="68">
    <w:name w:val="正文文本 字符"/>
    <w:link w:val="17"/>
    <w:qFormat/>
    <w:uiPriority w:val="99"/>
    <w:rPr>
      <w:rFonts w:eastAsia="宋体"/>
      <w:kern w:val="2"/>
      <w:sz w:val="21"/>
      <w:szCs w:val="24"/>
      <w:lang w:val="en-US" w:eastAsia="zh-CN" w:bidi="ar-SA"/>
    </w:rPr>
  </w:style>
  <w:style w:type="character" w:customStyle="1" w:styleId="69">
    <w:name w:val="正文文本缩进 字符"/>
    <w:link w:val="18"/>
    <w:qFormat/>
    <w:uiPriority w:val="99"/>
    <w:rPr>
      <w:rFonts w:ascii="宋体" w:eastAsia="宋体"/>
      <w:sz w:val="32"/>
      <w:lang w:bidi="ar-SA"/>
    </w:rPr>
  </w:style>
  <w:style w:type="character" w:customStyle="1" w:styleId="70">
    <w:name w:val="纯文本 字符"/>
    <w:link w:val="22"/>
    <w:qFormat/>
    <w:uiPriority w:val="0"/>
    <w:rPr>
      <w:rFonts w:ascii="宋体" w:hAnsi="Courier New" w:eastAsia="楷体_GB2312"/>
      <w:kern w:val="2"/>
      <w:sz w:val="21"/>
      <w:lang w:val="en-US" w:eastAsia="zh-CN" w:bidi="ar-SA"/>
    </w:rPr>
  </w:style>
  <w:style w:type="character" w:customStyle="1" w:styleId="71">
    <w:name w:val="日期 字符"/>
    <w:link w:val="24"/>
    <w:qFormat/>
    <w:uiPriority w:val="99"/>
    <w:rPr>
      <w:kern w:val="2"/>
      <w:sz w:val="21"/>
      <w:szCs w:val="24"/>
    </w:rPr>
  </w:style>
  <w:style w:type="character" w:customStyle="1" w:styleId="72">
    <w:name w:val="正文文本缩进 2 字符"/>
    <w:link w:val="25"/>
    <w:qFormat/>
    <w:uiPriority w:val="99"/>
    <w:rPr>
      <w:sz w:val="24"/>
      <w:szCs w:val="24"/>
    </w:rPr>
  </w:style>
  <w:style w:type="character" w:customStyle="1" w:styleId="73">
    <w:name w:val="尾注文本 字符"/>
    <w:link w:val="26"/>
    <w:qFormat/>
    <w:uiPriority w:val="0"/>
    <w:rPr>
      <w:rFonts w:eastAsia="宋体"/>
      <w:szCs w:val="24"/>
      <w:lang w:bidi="ar-SA"/>
    </w:rPr>
  </w:style>
  <w:style w:type="character" w:customStyle="1" w:styleId="74">
    <w:name w:val="页脚 字符"/>
    <w:link w:val="28"/>
    <w:qFormat/>
    <w:uiPriority w:val="99"/>
    <w:rPr>
      <w:kern w:val="2"/>
      <w:sz w:val="18"/>
      <w:szCs w:val="18"/>
    </w:rPr>
  </w:style>
  <w:style w:type="character" w:customStyle="1" w:styleId="75">
    <w:name w:val="页眉 字符"/>
    <w:link w:val="29"/>
    <w:qFormat/>
    <w:uiPriority w:val="99"/>
    <w:rPr>
      <w:kern w:val="2"/>
      <w:sz w:val="18"/>
      <w:szCs w:val="18"/>
    </w:rPr>
  </w:style>
  <w:style w:type="character" w:customStyle="1" w:styleId="76">
    <w:name w:val="脚注文本 字符"/>
    <w:link w:val="33"/>
    <w:qFormat/>
    <w:uiPriority w:val="0"/>
    <w:rPr>
      <w:rFonts w:eastAsia="宋体"/>
      <w:sz w:val="18"/>
      <w:szCs w:val="18"/>
      <w:lang w:bidi="ar-SA"/>
    </w:rPr>
  </w:style>
  <w:style w:type="character" w:customStyle="1" w:styleId="77">
    <w:name w:val="正文文本缩进 3 字符"/>
    <w:link w:val="35"/>
    <w:qFormat/>
    <w:uiPriority w:val="99"/>
    <w:rPr>
      <w:rFonts w:hAnsi="宋体"/>
      <w:sz w:val="24"/>
      <w:szCs w:val="24"/>
    </w:rPr>
  </w:style>
  <w:style w:type="character" w:customStyle="1" w:styleId="78">
    <w:name w:val="正文文本 2 字符"/>
    <w:link w:val="39"/>
    <w:qFormat/>
    <w:uiPriority w:val="99"/>
    <w:rPr>
      <w:rFonts w:eastAsia="楷体_GB2312"/>
      <w:b/>
      <w:bCs/>
      <w:szCs w:val="24"/>
    </w:rPr>
  </w:style>
  <w:style w:type="character" w:customStyle="1" w:styleId="79">
    <w:name w:val="标题 字符"/>
    <w:link w:val="41"/>
    <w:qFormat/>
    <w:uiPriority w:val="99"/>
    <w:rPr>
      <w:rFonts w:ascii="Arial" w:hAnsi="Arial" w:cs="Arial"/>
      <w:b/>
      <w:bCs/>
      <w:kern w:val="2"/>
      <w:sz w:val="32"/>
      <w:szCs w:val="32"/>
    </w:rPr>
  </w:style>
  <w:style w:type="character" w:customStyle="1" w:styleId="80">
    <w:name w:val="批注主题 字符"/>
    <w:link w:val="42"/>
    <w:qFormat/>
    <w:uiPriority w:val="99"/>
    <w:rPr>
      <w:b/>
      <w:bCs/>
      <w:kern w:val="2"/>
      <w:sz w:val="21"/>
      <w:szCs w:val="24"/>
    </w:rPr>
  </w:style>
  <w:style w:type="paragraph" w:customStyle="1" w:styleId="81">
    <w:name w:val="合同一级标题"/>
    <w:basedOn w:val="2"/>
    <w:next w:val="2"/>
    <w:qFormat/>
    <w:uiPriority w:val="0"/>
    <w:pPr>
      <w:spacing w:before="0" w:after="0" w:line="240" w:lineRule="auto"/>
      <w:jc w:val="center"/>
    </w:pPr>
    <w:rPr>
      <w:rFonts w:ascii="黑体" w:hAnsi="黑体" w:eastAsia="黑体"/>
      <w:b w:val="0"/>
      <w:kern w:val="0"/>
      <w:sz w:val="36"/>
    </w:rPr>
  </w:style>
  <w:style w:type="character" w:customStyle="1" w:styleId="82">
    <w:name w:val="Char Char14"/>
    <w:qFormat/>
    <w:uiPriority w:val="0"/>
    <w:rPr>
      <w:rFonts w:ascii="宋体" w:hAnsi="Times New Roman" w:eastAsia="宋体" w:cs="Times New Roman"/>
      <w:sz w:val="32"/>
      <w:szCs w:val="20"/>
    </w:rPr>
  </w:style>
  <w:style w:type="paragraph" w:customStyle="1" w:styleId="83">
    <w:name w:val="font0"/>
    <w:basedOn w:val="1"/>
    <w:qFormat/>
    <w:uiPriority w:val="99"/>
    <w:pPr>
      <w:widowControl/>
      <w:spacing w:before="100" w:beforeAutospacing="1" w:after="100" w:afterAutospacing="1"/>
      <w:jc w:val="left"/>
    </w:pPr>
    <w:rPr>
      <w:rFonts w:hint="eastAsia" w:ascii="宋体" w:hAnsi="宋体"/>
      <w:kern w:val="0"/>
      <w:sz w:val="24"/>
      <w:lang w:eastAsia="en-US"/>
    </w:rPr>
  </w:style>
  <w:style w:type="paragraph" w:customStyle="1" w:styleId="84">
    <w:name w:val="合同二级标题"/>
    <w:basedOn w:val="3"/>
    <w:qFormat/>
    <w:uiPriority w:val="0"/>
    <w:pPr>
      <w:autoSpaceDE w:val="0"/>
      <w:autoSpaceDN w:val="0"/>
      <w:adjustRightInd w:val="0"/>
      <w:spacing w:before="100" w:beforeAutospacing="1" w:after="100" w:afterAutospacing="1" w:line="240" w:lineRule="auto"/>
      <w:jc w:val="center"/>
    </w:pPr>
    <w:rPr>
      <w:rFonts w:ascii="宋体" w:cs="宋体"/>
      <w:b w:val="0"/>
      <w:kern w:val="0"/>
    </w:rPr>
  </w:style>
  <w:style w:type="paragraph" w:customStyle="1" w:styleId="85">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86">
    <w:name w:val="CM6"/>
    <w:basedOn w:val="87"/>
    <w:next w:val="87"/>
    <w:qFormat/>
    <w:uiPriority w:val="99"/>
    <w:pPr>
      <w:spacing w:line="428" w:lineRule="atLeast"/>
    </w:pPr>
    <w:rPr>
      <w:rFonts w:ascii="Times New Roman" w:cs="Times New Roman"/>
      <w:color w:val="auto"/>
    </w:rPr>
  </w:style>
  <w:style w:type="paragraph" w:customStyle="1" w:styleId="87">
    <w:name w:val="Default"/>
    <w:next w:val="29"/>
    <w:qFormat/>
    <w:uiPriority w:val="0"/>
    <w:pPr>
      <w:widowControl w:val="0"/>
      <w:autoSpaceDE w:val="0"/>
      <w:autoSpaceDN w:val="0"/>
      <w:adjustRightInd w:val="0"/>
    </w:pPr>
    <w:rPr>
      <w:rFonts w:ascii="宋体" w:hAnsi="等线" w:eastAsia="等线" w:cs="宋体"/>
      <w:color w:val="000000"/>
      <w:kern w:val="2"/>
      <w:sz w:val="24"/>
      <w:szCs w:val="24"/>
      <w:lang w:val="en-US" w:eastAsia="zh-CN" w:bidi="ar-SA"/>
    </w:rPr>
  </w:style>
  <w:style w:type="paragraph" w:customStyle="1" w:styleId="88">
    <w:name w:val="p0"/>
    <w:basedOn w:val="1"/>
    <w:next w:val="1"/>
    <w:link w:val="89"/>
    <w:qFormat/>
    <w:uiPriority w:val="99"/>
    <w:pPr>
      <w:widowControl/>
    </w:pPr>
    <w:rPr>
      <w:kern w:val="0"/>
      <w:szCs w:val="21"/>
    </w:rPr>
  </w:style>
  <w:style w:type="character" w:customStyle="1" w:styleId="89">
    <w:name w:val="p0 Char Char"/>
    <w:link w:val="88"/>
    <w:qFormat/>
    <w:uiPriority w:val="99"/>
    <w:rPr>
      <w:sz w:val="21"/>
      <w:szCs w:val="21"/>
    </w:rPr>
  </w:style>
  <w:style w:type="paragraph" w:customStyle="1" w:styleId="90">
    <w:name w:val="正文 New"/>
    <w:qFormat/>
    <w:uiPriority w:val="0"/>
    <w:pPr>
      <w:widowControl w:val="0"/>
      <w:jc w:val="both"/>
    </w:pPr>
    <w:rPr>
      <w:rFonts w:ascii="等线" w:hAnsi="等线" w:eastAsia="等线" w:cs="Times New Roman"/>
      <w:kern w:val="2"/>
      <w:sz w:val="21"/>
      <w:szCs w:val="22"/>
      <w:lang w:val="en-US" w:eastAsia="zh-CN" w:bidi="ar-SA"/>
    </w:rPr>
  </w:style>
  <w:style w:type="paragraph" w:customStyle="1" w:styleId="91">
    <w:name w:val="文二"/>
    <w:basedOn w:val="1"/>
    <w:qFormat/>
    <w:uiPriority w:val="0"/>
    <w:pPr>
      <w:jc w:val="left"/>
    </w:pPr>
    <w:rPr>
      <w:rFonts w:ascii="宋体" w:hAnsi="宋体"/>
      <w:szCs w:val="21"/>
    </w:rPr>
  </w:style>
  <w:style w:type="paragraph" w:customStyle="1" w:styleId="92">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lang w:eastAsia="en-US"/>
    </w:rPr>
  </w:style>
  <w:style w:type="paragraph" w:customStyle="1" w:styleId="93">
    <w:name w:val="正文 New New"/>
    <w:qFormat/>
    <w:uiPriority w:val="0"/>
    <w:pPr>
      <w:widowControl w:val="0"/>
      <w:jc w:val="both"/>
    </w:pPr>
    <w:rPr>
      <w:rFonts w:ascii="等线" w:hAnsi="等线" w:eastAsia="等线" w:cs="Times New Roman"/>
      <w:kern w:val="2"/>
      <w:sz w:val="21"/>
      <w:szCs w:val="24"/>
      <w:lang w:val="en-US" w:eastAsia="zh-CN" w:bidi="ar-SA"/>
    </w:rPr>
  </w:style>
  <w:style w:type="paragraph" w:customStyle="1" w:styleId="94">
    <w:name w:val="CM5"/>
    <w:basedOn w:val="87"/>
    <w:next w:val="87"/>
    <w:qFormat/>
    <w:uiPriority w:val="99"/>
    <w:pPr>
      <w:spacing w:line="428" w:lineRule="atLeast"/>
    </w:pPr>
    <w:rPr>
      <w:rFonts w:ascii="Times New Roman" w:cs="Times New Roman"/>
      <w:color w:val="auto"/>
    </w:rPr>
  </w:style>
  <w:style w:type="paragraph" w:customStyle="1" w:styleId="95">
    <w:name w:val="修订1"/>
    <w:qFormat/>
    <w:uiPriority w:val="99"/>
    <w:rPr>
      <w:rFonts w:ascii="等线" w:hAnsi="等线" w:eastAsia="等线" w:cs="Times New Roman"/>
      <w:kern w:val="2"/>
      <w:sz w:val="21"/>
      <w:szCs w:val="24"/>
      <w:lang w:val="en-US" w:eastAsia="zh-CN" w:bidi="ar-SA"/>
    </w:rPr>
  </w:style>
  <w:style w:type="paragraph" w:customStyle="1" w:styleId="96">
    <w:name w:val="List Paragraph1"/>
    <w:basedOn w:val="1"/>
    <w:qFormat/>
    <w:uiPriority w:val="99"/>
    <w:pPr>
      <w:ind w:firstLine="420" w:firstLineChars="200"/>
    </w:pPr>
    <w:rPr>
      <w:rFonts w:ascii="Calibri" w:hAnsi="Calibri" w:cs="Calibri"/>
      <w:szCs w:val="21"/>
    </w:rPr>
  </w:style>
  <w:style w:type="character" w:customStyle="1" w:styleId="97">
    <w:name w:val="textcontents"/>
    <w:qFormat/>
    <w:uiPriority w:val="99"/>
  </w:style>
  <w:style w:type="paragraph" w:customStyle="1" w:styleId="98">
    <w:name w:val="Char1"/>
    <w:basedOn w:val="1"/>
    <w:qFormat/>
    <w:uiPriority w:val="0"/>
  </w:style>
  <w:style w:type="paragraph" w:customStyle="1" w:styleId="99">
    <w:name w:val="Char Char Char Char Char Char Char"/>
    <w:basedOn w:val="1"/>
    <w:next w:val="1"/>
    <w:qFormat/>
    <w:uiPriority w:val="99"/>
    <w:pPr>
      <w:widowControl/>
      <w:spacing w:after="160" w:line="240" w:lineRule="exact"/>
      <w:jc w:val="left"/>
    </w:pPr>
    <w:rPr>
      <w:rFonts w:ascii="Arial" w:hAnsi="Arial" w:cs="Arial"/>
      <w:b/>
      <w:bCs/>
      <w:kern w:val="0"/>
      <w:sz w:val="24"/>
      <w:lang w:eastAsia="en-US"/>
    </w:rPr>
  </w:style>
  <w:style w:type="paragraph" w:customStyle="1" w:styleId="100">
    <w:name w:val="Normal_0"/>
    <w:qFormat/>
    <w:uiPriority w:val="0"/>
    <w:rPr>
      <w:rFonts w:ascii="等线" w:hAnsi="等线" w:eastAsia="等线" w:cs="Times New Roman"/>
      <w:kern w:val="2"/>
      <w:sz w:val="24"/>
      <w:szCs w:val="24"/>
      <w:lang w:val="en-US" w:eastAsia="en-US" w:bidi="ar-SA"/>
    </w:rPr>
  </w:style>
  <w:style w:type="character" w:customStyle="1" w:styleId="101">
    <w:name w:val="Char Char10"/>
    <w:qFormat/>
    <w:uiPriority w:val="99"/>
    <w:rPr>
      <w:rFonts w:ascii="宋体" w:hAnsi="Courier New" w:eastAsia="宋体" w:cs="宋体"/>
      <w:kern w:val="2"/>
      <w:sz w:val="24"/>
      <w:szCs w:val="24"/>
      <w:lang w:val="en-US" w:eastAsia="zh-CN"/>
    </w:rPr>
  </w:style>
  <w:style w:type="character" w:customStyle="1" w:styleId="102">
    <w:name w:val="Char Char9"/>
    <w:qFormat/>
    <w:uiPriority w:val="0"/>
    <w:rPr>
      <w:rFonts w:ascii="Times New Roman" w:hAnsi="Times New Roman" w:eastAsia="宋体" w:cs="Times New Roman"/>
      <w:sz w:val="18"/>
      <w:szCs w:val="18"/>
    </w:rPr>
  </w:style>
  <w:style w:type="paragraph" w:customStyle="1" w:styleId="103">
    <w:name w:val="标题3-个人"/>
    <w:basedOn w:val="4"/>
    <w:qFormat/>
    <w:uiPriority w:val="0"/>
    <w:pPr>
      <w:spacing w:before="0" w:after="0" w:line="360" w:lineRule="auto"/>
      <w:ind w:right="238"/>
    </w:pPr>
  </w:style>
  <w:style w:type="character" w:customStyle="1" w:styleId="104">
    <w:name w:val="text_neiye_31"/>
    <w:qFormat/>
    <w:uiPriority w:val="0"/>
    <w:rPr>
      <w:rFonts w:hint="eastAsia" w:ascii="仿宋_GB2312" w:eastAsia="仿宋_GB2312"/>
      <w:color w:val="000000"/>
      <w:sz w:val="30"/>
      <w:szCs w:val="30"/>
    </w:rPr>
  </w:style>
  <w:style w:type="character" w:customStyle="1" w:styleId="105">
    <w:name w:val="Intense Quote Char_b0194978-bce0-428d-ac92-e0b1990ec4c4"/>
    <w:link w:val="106"/>
    <w:qFormat/>
    <w:uiPriority w:val="99"/>
    <w:rPr>
      <w:b/>
      <w:bCs/>
      <w:i/>
      <w:iCs/>
      <w:color w:val="4F81BD"/>
      <w:sz w:val="22"/>
      <w:szCs w:val="22"/>
    </w:rPr>
  </w:style>
  <w:style w:type="paragraph" w:customStyle="1" w:styleId="106">
    <w:name w:val="明显引用1"/>
    <w:basedOn w:val="1"/>
    <w:next w:val="1"/>
    <w:link w:val="105"/>
    <w:qFormat/>
    <w:uiPriority w:val="99"/>
    <w:pPr>
      <w:pBdr>
        <w:bottom w:val="single" w:color="4F81BD" w:sz="4" w:space="4"/>
      </w:pBdr>
      <w:spacing w:before="200" w:after="280"/>
      <w:ind w:left="936" w:right="936"/>
    </w:pPr>
    <w:rPr>
      <w:b/>
      <w:bCs/>
      <w:i/>
      <w:iCs/>
      <w:color w:val="4F81BD"/>
      <w:kern w:val="0"/>
      <w:sz w:val="22"/>
      <w:szCs w:val="22"/>
    </w:rPr>
  </w:style>
  <w:style w:type="character" w:customStyle="1" w:styleId="107">
    <w:name w:val="text_neiye_21"/>
    <w:qFormat/>
    <w:uiPriority w:val="0"/>
    <w:rPr>
      <w:rFonts w:hint="eastAsia" w:ascii="方正小标宋简体" w:eastAsia="方正小标宋简体"/>
      <w:color w:val="000000"/>
      <w:sz w:val="42"/>
      <w:szCs w:val="42"/>
    </w:rPr>
  </w:style>
  <w:style w:type="paragraph" w:customStyle="1" w:styleId="108">
    <w:name w:val="默认段落字体 Para Char"/>
    <w:basedOn w:val="1"/>
    <w:qFormat/>
    <w:uiPriority w:val="0"/>
  </w:style>
  <w:style w:type="character" w:customStyle="1" w:styleId="109">
    <w:name w:val="text_neiye_32"/>
    <w:qFormat/>
    <w:uiPriority w:val="0"/>
    <w:rPr>
      <w:rFonts w:hint="eastAsia" w:ascii="仿宋_GB2312" w:eastAsia="仿宋_GB2312"/>
      <w:color w:val="000000"/>
      <w:sz w:val="30"/>
      <w:szCs w:val="30"/>
    </w:rPr>
  </w:style>
  <w:style w:type="paragraph" w:customStyle="1" w:styleId="110">
    <w:name w:val="章节三"/>
    <w:basedOn w:val="1"/>
    <w:next w:val="1"/>
    <w:qFormat/>
    <w:uiPriority w:val="0"/>
    <w:pPr>
      <w:topLinePunct/>
      <w:adjustRightInd w:val="0"/>
      <w:snapToGrid w:val="0"/>
      <w:spacing w:beforeLines="50" w:afterLines="50"/>
      <w:jc w:val="left"/>
      <w:outlineLvl w:val="2"/>
    </w:pPr>
    <w:rPr>
      <w:rFonts w:ascii="黑体" w:hAnsi="宋体" w:eastAsia="黑体" w:cs="黑体"/>
      <w:b/>
      <w:bCs/>
      <w:spacing w:val="4"/>
      <w:kern w:val="0"/>
      <w:sz w:val="24"/>
    </w:rPr>
  </w:style>
  <w:style w:type="paragraph" w:customStyle="1" w:styleId="111">
    <w:name w:val="CM35"/>
    <w:basedOn w:val="87"/>
    <w:next w:val="87"/>
    <w:qFormat/>
    <w:uiPriority w:val="99"/>
    <w:rPr>
      <w:rFonts w:ascii="Times New Roman" w:cs="Times New Roman"/>
      <w:color w:val="auto"/>
    </w:rPr>
  </w:style>
  <w:style w:type="paragraph" w:customStyle="1" w:styleId="112">
    <w:name w:val="zhang"/>
    <w:basedOn w:val="1"/>
    <w:next w:val="1"/>
    <w:qFormat/>
    <w:uiPriority w:val="99"/>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113">
    <w:name w:val="TOC 标题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114">
    <w:name w:val="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character" w:customStyle="1" w:styleId="115">
    <w:name w:val="15"/>
    <w:qFormat/>
    <w:uiPriority w:val="99"/>
    <w:rPr>
      <w:rFonts w:ascii="Times New Roman" w:hAnsi="Times New Roman" w:cs="Times New Roman"/>
      <w:color w:val="auto"/>
      <w:u w:val="none"/>
    </w:rPr>
  </w:style>
  <w:style w:type="paragraph" w:customStyle="1" w:styleId="116">
    <w:name w:val="合同三级标题"/>
    <w:basedOn w:val="4"/>
    <w:qFormat/>
    <w:uiPriority w:val="0"/>
    <w:pPr>
      <w:tabs>
        <w:tab w:val="left" w:pos="284"/>
      </w:tabs>
      <w:autoSpaceDE w:val="0"/>
      <w:autoSpaceDN w:val="0"/>
      <w:adjustRightInd w:val="0"/>
      <w:spacing w:before="0" w:after="0" w:line="240" w:lineRule="auto"/>
      <w:jc w:val="left"/>
    </w:pPr>
    <w:rPr>
      <w:rFonts w:eastAsia="黑体"/>
      <w:b w:val="0"/>
      <w:kern w:val="0"/>
      <w:position w:val="-1"/>
      <w:sz w:val="24"/>
      <w:szCs w:val="30"/>
    </w:rPr>
  </w:style>
  <w:style w:type="character" w:customStyle="1" w:styleId="117">
    <w:name w:val="apple-converted-space"/>
    <w:qFormat/>
    <w:uiPriority w:val="0"/>
  </w:style>
  <w:style w:type="character" w:customStyle="1" w:styleId="118">
    <w:name w:val="apple-style-span"/>
    <w:qFormat/>
    <w:uiPriority w:val="0"/>
  </w:style>
  <w:style w:type="character" w:customStyle="1" w:styleId="119">
    <w:name w:val="Char Char11"/>
    <w:qFormat/>
    <w:uiPriority w:val="0"/>
    <w:rPr>
      <w:rFonts w:ascii="Times New Roman" w:hAnsi="Times New Roman" w:eastAsia="宋体" w:cs="Times New Roman"/>
      <w:sz w:val="18"/>
      <w:szCs w:val="18"/>
    </w:rPr>
  </w:style>
  <w:style w:type="paragraph" w:customStyle="1" w:styleId="120">
    <w:name w:val="p15"/>
    <w:basedOn w:val="1"/>
    <w:qFormat/>
    <w:uiPriority w:val="0"/>
    <w:pPr>
      <w:widowControl/>
    </w:pPr>
    <w:rPr>
      <w:rFonts w:ascii="宋体" w:hAnsi="宋体" w:cs="宋体"/>
      <w:kern w:val="0"/>
      <w:szCs w:val="21"/>
    </w:rPr>
  </w:style>
  <w:style w:type="character" w:customStyle="1" w:styleId="121">
    <w:name w:val="Char Char7"/>
    <w:qFormat/>
    <w:uiPriority w:val="0"/>
    <w:rPr>
      <w:kern w:val="2"/>
      <w:sz w:val="18"/>
      <w:szCs w:val="18"/>
    </w:rPr>
  </w:style>
  <w:style w:type="paragraph" w:styleId="122">
    <w:name w:val="List Paragraph"/>
    <w:basedOn w:val="1"/>
    <w:qFormat/>
    <w:uiPriority w:val="34"/>
    <w:pPr>
      <w:ind w:firstLine="420" w:firstLineChars="200"/>
    </w:pPr>
  </w:style>
  <w:style w:type="paragraph" w:customStyle="1" w:styleId="123">
    <w:name w:val="_Style 4"/>
    <w:basedOn w:val="2"/>
    <w:next w:val="1"/>
    <w:qFormat/>
    <w:uiPriority w:val="99"/>
    <w:pPr>
      <w:spacing w:line="576" w:lineRule="auto"/>
      <w:outlineLvl w:val="9"/>
    </w:pPr>
    <w:rPr>
      <w:rFonts w:ascii="Calibri" w:hAnsi="Calibri" w:cs="Calibri"/>
    </w:rPr>
  </w:style>
  <w:style w:type="character" w:customStyle="1" w:styleId="124">
    <w:name w:val="Char Char3"/>
    <w:qFormat/>
    <w:uiPriority w:val="99"/>
    <w:rPr>
      <w:rFonts w:ascii="宋体" w:hAnsi="宋体" w:eastAsia="宋体" w:cs="宋体"/>
      <w:sz w:val="18"/>
      <w:szCs w:val="18"/>
      <w:lang w:val="en-US" w:eastAsia="zh-CN"/>
    </w:rPr>
  </w:style>
  <w:style w:type="paragraph" w:customStyle="1" w:styleId="125">
    <w:name w:val="表内容"/>
    <w:basedOn w:val="1"/>
    <w:qFormat/>
    <w:uiPriority w:val="0"/>
    <w:pPr>
      <w:spacing w:line="480" w:lineRule="auto"/>
      <w:jc w:val="center"/>
    </w:pPr>
    <w:rPr>
      <w:rFonts w:eastAsia="楷体"/>
      <w:sz w:val="24"/>
      <w:szCs w:val="20"/>
    </w:rPr>
  </w:style>
  <w:style w:type="paragraph" w:customStyle="1" w:styleId="126">
    <w:name w:val="文一"/>
    <w:basedOn w:val="1"/>
    <w:next w:val="1"/>
    <w:qFormat/>
    <w:uiPriority w:val="99"/>
    <w:pPr>
      <w:topLinePunct/>
      <w:adjustRightInd w:val="0"/>
      <w:snapToGrid w:val="0"/>
      <w:spacing w:line="360" w:lineRule="auto"/>
      <w:ind w:firstLine="200" w:firstLineChars="200"/>
    </w:pPr>
    <w:rPr>
      <w:spacing w:val="4"/>
      <w:kern w:val="0"/>
      <w:sz w:val="24"/>
    </w:rPr>
  </w:style>
  <w:style w:type="paragraph" w:customStyle="1" w:styleId="127">
    <w:name w:val="CM25"/>
    <w:basedOn w:val="87"/>
    <w:next w:val="87"/>
    <w:qFormat/>
    <w:uiPriority w:val="99"/>
    <w:pPr>
      <w:spacing w:line="426" w:lineRule="atLeast"/>
    </w:pPr>
    <w:rPr>
      <w:rFonts w:ascii="Times New Roman" w:cs="Times New Roman"/>
      <w:color w:val="auto"/>
    </w:rPr>
  </w:style>
  <w:style w:type="paragraph" w:customStyle="1" w:styleId="128">
    <w:name w:val="Normal_1"/>
    <w:qFormat/>
    <w:uiPriority w:val="0"/>
    <w:rPr>
      <w:rFonts w:ascii="等线" w:hAnsi="等线" w:eastAsia="等线" w:cs="Times New Roman"/>
      <w:kern w:val="2"/>
      <w:sz w:val="24"/>
      <w:szCs w:val="24"/>
      <w:lang w:val="en-US" w:eastAsia="en-US" w:bidi="ar-SA"/>
    </w:rPr>
  </w:style>
  <w:style w:type="paragraph" w:customStyle="1" w:styleId="129">
    <w:name w:val="CM39"/>
    <w:basedOn w:val="87"/>
    <w:next w:val="87"/>
    <w:qFormat/>
    <w:uiPriority w:val="99"/>
    <w:rPr>
      <w:rFonts w:ascii="Times New Roman" w:cs="Times New Roman"/>
      <w:color w:val="auto"/>
    </w:rPr>
  </w:style>
  <w:style w:type="paragraph" w:customStyle="1" w:styleId="130">
    <w:name w:val="Char"/>
    <w:basedOn w:val="1"/>
    <w:qFormat/>
    <w:uiPriority w:val="0"/>
    <w:pPr>
      <w:numPr>
        <w:ilvl w:val="0"/>
        <w:numId w:val="2"/>
      </w:numPr>
    </w:pPr>
    <w:rPr>
      <w:sz w:val="24"/>
    </w:rPr>
  </w:style>
  <w:style w:type="paragraph" w:customStyle="1" w:styleId="131">
    <w:name w:val="正文_1"/>
    <w:qFormat/>
    <w:uiPriority w:val="0"/>
    <w:pPr>
      <w:widowControl w:val="0"/>
      <w:jc w:val="both"/>
    </w:pPr>
    <w:rPr>
      <w:rFonts w:ascii="等线" w:hAnsi="等线" w:eastAsia="楷体_GB2312" w:cs="Times New Roman"/>
      <w:kern w:val="2"/>
      <w:sz w:val="21"/>
      <w:szCs w:val="22"/>
      <w:lang w:val="en-US" w:eastAsia="zh-CN" w:bidi="ar-SA"/>
    </w:rPr>
  </w:style>
  <w:style w:type="paragraph" w:customStyle="1" w:styleId="132">
    <w:name w:val="_Style 8"/>
    <w:basedOn w:val="1"/>
    <w:next w:val="122"/>
    <w:qFormat/>
    <w:uiPriority w:val="34"/>
    <w:pPr>
      <w:adjustRightInd w:val="0"/>
      <w:snapToGrid w:val="0"/>
      <w:spacing w:line="312" w:lineRule="auto"/>
      <w:ind w:firstLine="420" w:firstLineChars="200"/>
    </w:pPr>
    <w:rPr>
      <w:sz w:val="20"/>
      <w:szCs w:val="20"/>
    </w:rPr>
  </w:style>
  <w:style w:type="character" w:customStyle="1" w:styleId="133">
    <w:name w:val="textcontents1"/>
    <w:qFormat/>
    <w:uiPriority w:val="99"/>
    <w:rPr>
      <w:color w:val="000000"/>
      <w:sz w:val="22"/>
      <w:szCs w:val="22"/>
    </w:rPr>
  </w:style>
  <w:style w:type="paragraph" w:customStyle="1" w:styleId="134">
    <w:name w:val="CM31"/>
    <w:basedOn w:val="87"/>
    <w:next w:val="87"/>
    <w:qFormat/>
    <w:uiPriority w:val="99"/>
    <w:pPr>
      <w:spacing w:line="426" w:lineRule="atLeast"/>
    </w:pPr>
    <w:rPr>
      <w:rFonts w:ascii="Times New Roman" w:cs="Times New Roman"/>
      <w:color w:val="auto"/>
    </w:rPr>
  </w:style>
  <w:style w:type="character" w:customStyle="1" w:styleId="135">
    <w:name w:val="纯文本 Char"/>
    <w:qFormat/>
    <w:uiPriority w:val="0"/>
    <w:rPr>
      <w:rFonts w:ascii="宋体" w:hAnsi="Courier New" w:eastAsia="宋体" w:cs="Times New Roman"/>
      <w:szCs w:val="20"/>
    </w:rPr>
  </w:style>
  <w:style w:type="paragraph" w:customStyle="1" w:styleId="136">
    <w:name w:val="正文首行缩进 21"/>
    <w:basedOn w:val="18"/>
    <w:qFormat/>
    <w:uiPriority w:val="0"/>
    <w:pPr>
      <w:spacing w:before="100" w:beforeAutospacing="1" w:after="120"/>
      <w:ind w:left="420" w:leftChars="200" w:firstLine="420" w:firstLineChars="200"/>
    </w:pPr>
    <w:rPr>
      <w:rFonts w:hAnsi="宋体" w:cs="宋体"/>
      <w:kern w:val="2"/>
      <w:sz w:val="21"/>
      <w:szCs w:val="21"/>
    </w:rPr>
  </w:style>
  <w:style w:type="paragraph" w:customStyle="1" w:styleId="137">
    <w:name w:val="_Style 6"/>
    <w:basedOn w:val="1"/>
    <w:next w:val="122"/>
    <w:qFormat/>
    <w:uiPriority w:val="34"/>
    <w:pPr>
      <w:adjustRightInd w:val="0"/>
      <w:snapToGrid w:val="0"/>
      <w:spacing w:line="312" w:lineRule="auto"/>
      <w:ind w:firstLine="420" w:firstLineChars="200"/>
    </w:pPr>
    <w:rPr>
      <w:sz w:val="20"/>
      <w:szCs w:val="20"/>
    </w:rPr>
  </w:style>
  <w:style w:type="paragraph" w:customStyle="1" w:styleId="138">
    <w:name w:val="Body Text First Indent1"/>
    <w:basedOn w:val="17"/>
    <w:qFormat/>
    <w:uiPriority w:val="0"/>
    <w:pPr>
      <w:ind w:firstLine="420"/>
    </w:pPr>
    <w:rPr>
      <w:kern w:val="0"/>
      <w:sz w:val="20"/>
    </w:rPr>
  </w:style>
  <w:style w:type="paragraph" w:customStyle="1" w:styleId="139">
    <w:name w:val="x_msonormal"/>
    <w:basedOn w:val="1"/>
    <w:qFormat/>
    <w:uiPriority w:val="99"/>
    <w:pPr>
      <w:widowControl/>
      <w:spacing w:before="100" w:beforeAutospacing="1" w:after="100" w:afterAutospacing="1"/>
      <w:jc w:val="left"/>
    </w:pPr>
    <w:rPr>
      <w:rFonts w:ascii="宋体" w:hAnsi="宋体" w:cs="宋体"/>
      <w:kern w:val="0"/>
      <w:sz w:val="24"/>
    </w:rPr>
  </w:style>
  <w:style w:type="paragraph" w:customStyle="1" w:styleId="140">
    <w:name w:val="Char2"/>
    <w:basedOn w:val="1"/>
    <w:qFormat/>
    <w:uiPriority w:val="0"/>
    <w:pPr>
      <w:widowControl/>
      <w:spacing w:after="160" w:line="240" w:lineRule="exact"/>
      <w:ind w:left="-109" w:leftChars="-52"/>
      <w:jc w:val="left"/>
    </w:pPr>
  </w:style>
  <w:style w:type="paragraph" w:customStyle="1" w:styleId="141">
    <w:name w:val="Revision_8f946cd6-2ee4-4991-9d2a-940cea9464d3"/>
    <w:qFormat/>
    <w:uiPriority w:val="99"/>
    <w:rPr>
      <w:rFonts w:ascii="等线" w:hAnsi="等线" w:eastAsia="等线" w:cs="Times New Roman"/>
      <w:kern w:val="2"/>
      <w:sz w:val="21"/>
      <w:szCs w:val="24"/>
      <w:lang w:val="en-US" w:eastAsia="zh-CN" w:bidi="ar-SA"/>
    </w:rPr>
  </w:style>
  <w:style w:type="paragraph" w:customStyle="1" w:styleId="142">
    <w:name w:val="使用正文"/>
    <w:basedOn w:val="1"/>
    <w:qFormat/>
    <w:uiPriority w:val="0"/>
    <w:pPr>
      <w:spacing w:line="360" w:lineRule="auto"/>
      <w:ind w:firstLine="480" w:firstLineChars="200"/>
    </w:pPr>
    <w:rPr>
      <w:rFonts w:ascii="宋体" w:hAnsi="宋体" w:cs="Calibri"/>
      <w:kern w:val="0"/>
      <w:sz w:val="24"/>
    </w:rPr>
  </w:style>
  <w:style w:type="character" w:customStyle="1" w:styleId="143">
    <w:name w:val="font41"/>
    <w:qFormat/>
    <w:uiPriority w:val="0"/>
    <w:rPr>
      <w:rFonts w:hint="eastAsia" w:ascii="宋体" w:hAnsi="宋体" w:eastAsia="宋体" w:cs="宋体"/>
      <w:b/>
      <w:bCs/>
      <w:color w:val="000000"/>
      <w:sz w:val="24"/>
      <w:szCs w:val="24"/>
      <w:u w:val="none"/>
    </w:rPr>
  </w:style>
  <w:style w:type="character" w:customStyle="1" w:styleId="144">
    <w:name w:val="font01"/>
    <w:qFormat/>
    <w:uiPriority w:val="0"/>
    <w:rPr>
      <w:rFonts w:hint="eastAsia" w:ascii="宋体" w:hAnsi="宋体" w:eastAsia="宋体" w:cs="宋体"/>
      <w:color w:val="000000"/>
      <w:sz w:val="24"/>
      <w:szCs w:val="24"/>
      <w:u w:val="none"/>
    </w:rPr>
  </w:style>
  <w:style w:type="character" w:customStyle="1" w:styleId="145">
    <w:name w:val="font21"/>
    <w:qFormat/>
    <w:uiPriority w:val="0"/>
    <w:rPr>
      <w:rFonts w:hint="default" w:ascii="Times New Roman" w:hAnsi="Times New Roman" w:cs="Times New Roman"/>
      <w:color w:val="000000"/>
      <w:sz w:val="24"/>
      <w:szCs w:val="24"/>
      <w:u w:val="none"/>
    </w:rPr>
  </w:style>
  <w:style w:type="character" w:customStyle="1" w:styleId="146">
    <w:name w:val="font71"/>
    <w:qFormat/>
    <w:uiPriority w:val="0"/>
    <w:rPr>
      <w:rFonts w:hint="eastAsia" w:ascii="宋体" w:hAnsi="宋体" w:eastAsia="宋体" w:cs="宋体"/>
      <w:color w:val="000000"/>
      <w:sz w:val="18"/>
      <w:szCs w:val="18"/>
      <w:u w:val="none"/>
    </w:rPr>
  </w:style>
  <w:style w:type="character" w:customStyle="1" w:styleId="147">
    <w:name w:val="font51"/>
    <w:qFormat/>
    <w:uiPriority w:val="0"/>
    <w:rPr>
      <w:rFonts w:hint="default" w:ascii="Times New Roman" w:hAnsi="Times New Roman" w:cs="Times New Roman"/>
      <w:color w:val="000000"/>
      <w:sz w:val="18"/>
      <w:szCs w:val="18"/>
      <w:u w:val="none"/>
    </w:rPr>
  </w:style>
  <w:style w:type="character" w:customStyle="1" w:styleId="148">
    <w:name w:val="font31"/>
    <w:qFormat/>
    <w:uiPriority w:val="0"/>
    <w:rPr>
      <w:rFonts w:hint="eastAsia" w:ascii="宋体" w:hAnsi="宋体" w:eastAsia="宋体" w:cs="宋体"/>
      <w:b/>
      <w:bCs/>
      <w:color w:val="000000"/>
      <w:sz w:val="22"/>
      <w:szCs w:val="22"/>
      <w:u w:val="none"/>
    </w:rPr>
  </w:style>
  <w:style w:type="character" w:customStyle="1" w:styleId="149">
    <w:name w:val="font61"/>
    <w:qFormat/>
    <w:uiPriority w:val="0"/>
    <w:rPr>
      <w:rFonts w:hint="eastAsia" w:ascii="宋体" w:hAnsi="宋体" w:eastAsia="宋体" w:cs="宋体"/>
      <w:color w:val="000000"/>
      <w:sz w:val="20"/>
      <w:szCs w:val="20"/>
      <w:u w:val="none"/>
    </w:rPr>
  </w:style>
  <w:style w:type="character" w:customStyle="1" w:styleId="150">
    <w:name w:val="font11"/>
    <w:qFormat/>
    <w:uiPriority w:val="0"/>
    <w:rPr>
      <w:rFonts w:hint="eastAsia" w:ascii="黑体" w:hAnsi="宋体" w:eastAsia="黑体" w:cs="黑体"/>
      <w:b/>
      <w:bCs/>
      <w:color w:val="000000"/>
      <w:sz w:val="22"/>
      <w:szCs w:val="22"/>
      <w:u w:val="none"/>
    </w:rPr>
  </w:style>
  <w:style w:type="character" w:customStyle="1" w:styleId="151">
    <w:name w:val="font81"/>
    <w:qFormat/>
    <w:uiPriority w:val="0"/>
    <w:rPr>
      <w:rFonts w:hint="eastAsia" w:ascii="黑体" w:hAnsi="宋体" w:eastAsia="黑体" w:cs="黑体"/>
      <w:color w:val="FF0000"/>
      <w:sz w:val="24"/>
      <w:szCs w:val="24"/>
      <w:u w:val="none"/>
    </w:rPr>
  </w:style>
  <w:style w:type="paragraph" w:customStyle="1" w:styleId="152">
    <w:name w:val="Normal_9"/>
    <w:qFormat/>
    <w:uiPriority w:val="0"/>
    <w:pPr>
      <w:spacing w:before="120" w:after="240"/>
      <w:jc w:val="both"/>
    </w:pPr>
    <w:rPr>
      <w:rFonts w:ascii="Calibri" w:hAnsi="Calibri" w:eastAsia="宋体" w:cs="Times New Roman"/>
      <w:sz w:val="22"/>
      <w:szCs w:val="22"/>
      <w:lang w:val="en-US" w:eastAsia="en-US" w:bidi="ar-SA"/>
    </w:rPr>
  </w:style>
  <w:style w:type="paragraph" w:customStyle="1" w:styleId="153">
    <w:name w:val="Body text|1"/>
    <w:basedOn w:val="1"/>
    <w:qFormat/>
    <w:uiPriority w:val="0"/>
    <w:pPr>
      <w:spacing w:line="480" w:lineRule="auto"/>
    </w:pPr>
    <w:rPr>
      <w:rFonts w:ascii="宋体" w:hAnsi="宋体" w:eastAsia="宋体" w:cs="宋体"/>
      <w:sz w:val="17"/>
      <w:szCs w:val="17"/>
      <w:lang w:val="zh-TW" w:eastAsia="zh-TW" w:bidi="zh-TW"/>
    </w:rPr>
  </w:style>
  <w:style w:type="paragraph" w:customStyle="1" w:styleId="154">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5">
    <w:name w:val="Revision"/>
    <w:hidden/>
    <w:unhideWhenUsed/>
    <w:qFormat/>
    <w:uiPriority w:val="99"/>
    <w:rPr>
      <w:rFonts w:ascii="等线" w:hAnsi="等线"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260</Pages>
  <Words>23135</Words>
  <Characters>24016</Characters>
  <Lines>1558</Lines>
  <Paragraphs>438</Paragraphs>
  <TotalTime>12</TotalTime>
  <ScaleCrop>false</ScaleCrop>
  <LinksUpToDate>false</LinksUpToDate>
  <CharactersWithSpaces>25964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2025-02-27T17:09:00Z</dcterms:created>
  <dc:creator>Acer</dc:creator>
  <cp:lastModifiedBy>阿May</cp:lastModifiedBy>
  <cp:lastPrinted>2024-08-27T15:52:00Z</cp:lastPrinted>
  <dcterms:modified xsi:type="dcterms:W3CDTF">2025-12-05T06:16:34Z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EF7F05D2469044BD8CED61F45FDBD9D6_13</vt:lpwstr>
  </property>
  <property fmtid="{D5CDD505-2E9C-101B-9397-08002B2CF9AE}" pid="4" name="KSOTemplateDocerSaveRecord">
    <vt:lpwstr>eyJoZGlkIjoiYjFlN2ZkZThhYTUyYTFjNTVhN2NhNTA1ZjEwY2M2YjAiLCJ1c2VySWQiOiIyMjM5MDg2MTgifQ==</vt:lpwstr>
  </property>
</Properties>
</file>