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18"/>
        </w:tabs>
        <w:spacing w:before="307" w:line="360" w:lineRule="auto"/>
        <w:ind w:right="453"/>
        <w:jc w:val="center"/>
        <w:rPr>
          <w:b/>
          <w:color w:val="auto"/>
          <w:sz w:val="48"/>
          <w:szCs w:val="48"/>
          <w:highlight w:val="none"/>
        </w:rPr>
      </w:pPr>
      <w:r>
        <w:rPr>
          <w:rFonts w:hint="eastAsia"/>
          <w:b/>
          <w:color w:val="auto"/>
          <w:sz w:val="44"/>
          <w:szCs w:val="44"/>
          <w:highlight w:val="none"/>
        </w:rPr>
        <w:t>从化区全域土地综合整治试点鳌头万亩良田示范项目第三方检测和监测</w:t>
      </w:r>
    </w:p>
    <w:p>
      <w:pPr>
        <w:tabs>
          <w:tab w:val="left" w:pos="1118"/>
        </w:tabs>
        <w:spacing w:before="307" w:line="360" w:lineRule="auto"/>
        <w:ind w:right="453"/>
        <w:jc w:val="center"/>
        <w:rPr>
          <w:b/>
          <w:color w:val="auto"/>
          <w:sz w:val="44"/>
          <w:szCs w:val="44"/>
          <w:highlight w:val="none"/>
        </w:rPr>
      </w:pPr>
    </w:p>
    <w:p>
      <w:pPr>
        <w:tabs>
          <w:tab w:val="left" w:pos="1118"/>
        </w:tabs>
        <w:spacing w:before="307" w:line="360" w:lineRule="auto"/>
        <w:ind w:right="453"/>
        <w:jc w:val="center"/>
        <w:rPr>
          <w:b/>
          <w:color w:val="auto"/>
          <w:sz w:val="44"/>
          <w:szCs w:val="44"/>
          <w:highlight w:val="none"/>
        </w:rPr>
      </w:pPr>
    </w:p>
    <w:p>
      <w:pPr>
        <w:tabs>
          <w:tab w:val="left" w:pos="1118"/>
        </w:tabs>
        <w:spacing w:before="307" w:line="360" w:lineRule="auto"/>
        <w:ind w:right="453"/>
        <w:rPr>
          <w:b/>
          <w:color w:val="auto"/>
          <w:sz w:val="44"/>
          <w:szCs w:val="44"/>
          <w:highlight w:val="none"/>
        </w:rPr>
      </w:pPr>
    </w:p>
    <w:p>
      <w:pPr>
        <w:tabs>
          <w:tab w:val="left" w:pos="1118"/>
        </w:tabs>
        <w:spacing w:before="307" w:line="360" w:lineRule="auto"/>
        <w:ind w:right="453"/>
        <w:jc w:val="center"/>
        <w:rPr>
          <w:b/>
          <w:color w:val="auto"/>
          <w:spacing w:val="26"/>
          <w:sz w:val="110"/>
          <w:highlight w:val="none"/>
        </w:rPr>
      </w:pPr>
      <w:r>
        <w:rPr>
          <w:rFonts w:hint="eastAsia"/>
          <w:b/>
          <w:color w:val="auto"/>
          <w:spacing w:val="26"/>
          <w:sz w:val="110"/>
          <w:highlight w:val="none"/>
        </w:rPr>
        <w:t>招标文件</w:t>
      </w:r>
    </w:p>
    <w:p>
      <w:pPr>
        <w:tabs>
          <w:tab w:val="left" w:pos="1118"/>
        </w:tabs>
        <w:spacing w:before="307" w:line="360" w:lineRule="auto"/>
        <w:ind w:right="453"/>
        <w:jc w:val="center"/>
        <w:rPr>
          <w:b/>
          <w:color w:val="auto"/>
          <w:spacing w:val="26"/>
          <w:sz w:val="110"/>
          <w:highlight w:val="none"/>
        </w:rPr>
      </w:pPr>
    </w:p>
    <w:p>
      <w:pPr>
        <w:tabs>
          <w:tab w:val="left" w:pos="1118"/>
        </w:tabs>
        <w:spacing w:before="307" w:line="360" w:lineRule="auto"/>
        <w:ind w:right="453"/>
        <w:jc w:val="center"/>
        <w:rPr>
          <w:b/>
          <w:color w:val="auto"/>
          <w:spacing w:val="26"/>
          <w:sz w:val="110"/>
          <w:highlight w:val="none"/>
        </w:rPr>
      </w:pPr>
    </w:p>
    <w:p>
      <w:pPr>
        <w:spacing w:line="360" w:lineRule="auto"/>
        <w:ind w:firstLine="945"/>
        <w:rPr>
          <w:color w:val="auto"/>
          <w:sz w:val="30"/>
          <w:highlight w:val="none"/>
        </w:rPr>
      </w:pPr>
    </w:p>
    <w:p>
      <w:pPr>
        <w:spacing w:line="360" w:lineRule="auto"/>
        <w:ind w:firstLine="945"/>
        <w:rPr>
          <w:color w:val="auto"/>
          <w:sz w:val="30"/>
          <w:highlight w:val="none"/>
          <w:u w:val="single"/>
        </w:rPr>
      </w:pPr>
      <w:r>
        <w:rPr>
          <w:rFonts w:hint="eastAsia"/>
          <w:color w:val="auto"/>
          <w:sz w:val="30"/>
          <w:highlight w:val="none"/>
        </w:rPr>
        <w:t>招  标 单 位：</w:t>
      </w:r>
      <w:r>
        <w:rPr>
          <w:rFonts w:hint="eastAsia"/>
          <w:color w:val="auto"/>
          <w:sz w:val="30"/>
          <w:highlight w:val="none"/>
          <w:u w:val="single"/>
        </w:rPr>
        <w:t>广州市从化区鳌头镇人民政府</w:t>
      </w:r>
    </w:p>
    <w:p>
      <w:pPr>
        <w:spacing w:line="360" w:lineRule="auto"/>
        <w:ind w:firstLine="945"/>
        <w:rPr>
          <w:color w:val="auto"/>
          <w:sz w:val="30"/>
          <w:highlight w:val="none"/>
          <w:u w:val="single"/>
        </w:rPr>
      </w:pPr>
      <w:r>
        <w:rPr>
          <w:rFonts w:hint="eastAsia"/>
          <w:color w:val="auto"/>
          <w:sz w:val="30"/>
          <w:highlight w:val="none"/>
        </w:rPr>
        <w:t>招标代理单位：</w:t>
      </w:r>
      <w:r>
        <w:rPr>
          <w:rFonts w:hint="eastAsia"/>
          <w:color w:val="auto"/>
          <w:sz w:val="30"/>
          <w:highlight w:val="none"/>
          <w:u w:val="single"/>
          <w:lang w:eastAsia="zh-CN"/>
        </w:rPr>
        <w:t>广东竣泰建设监理有限公司</w:t>
      </w:r>
      <w:r>
        <w:rPr>
          <w:rFonts w:hint="eastAsia"/>
          <w:color w:val="auto"/>
          <w:sz w:val="30"/>
          <w:highlight w:val="none"/>
          <w:u w:val="single"/>
        </w:rPr>
        <w:t xml:space="preserve"> </w:t>
      </w:r>
    </w:p>
    <w:p>
      <w:pPr>
        <w:spacing w:line="360" w:lineRule="auto"/>
        <w:ind w:firstLine="945"/>
        <w:rPr>
          <w:b/>
          <w:color w:val="auto"/>
          <w:spacing w:val="26"/>
          <w:sz w:val="110"/>
          <w:highlight w:val="none"/>
        </w:rPr>
      </w:pPr>
      <w:r>
        <w:rPr>
          <w:rFonts w:hint="eastAsia"/>
          <w:color w:val="auto"/>
          <w:sz w:val="32"/>
          <w:highlight w:val="none"/>
        </w:rPr>
        <w:t>日       期：</w:t>
      </w:r>
      <w:r>
        <w:rPr>
          <w:rFonts w:hint="eastAsia"/>
          <w:color w:val="auto"/>
          <w:sz w:val="30"/>
          <w:highlight w:val="none"/>
          <w:u w:val="single"/>
        </w:rPr>
        <w:t>202</w:t>
      </w:r>
      <w:r>
        <w:rPr>
          <w:color w:val="auto"/>
          <w:sz w:val="30"/>
          <w:highlight w:val="none"/>
          <w:u w:val="single"/>
        </w:rPr>
        <w:t>3</w:t>
      </w:r>
      <w:r>
        <w:rPr>
          <w:rFonts w:hint="eastAsia"/>
          <w:color w:val="auto"/>
          <w:sz w:val="30"/>
          <w:highlight w:val="none"/>
          <w:u w:val="single"/>
        </w:rPr>
        <w:t xml:space="preserve"> 年 </w:t>
      </w:r>
      <w:r>
        <w:rPr>
          <w:rFonts w:hint="eastAsia"/>
          <w:color w:val="auto"/>
          <w:sz w:val="30"/>
          <w:highlight w:val="none"/>
          <w:u w:val="single"/>
          <w:lang w:eastAsia="zh-CN"/>
        </w:rPr>
        <w:t>3</w:t>
      </w:r>
      <w:r>
        <w:rPr>
          <w:rFonts w:hint="eastAsia"/>
          <w:color w:val="auto"/>
          <w:sz w:val="30"/>
          <w:highlight w:val="none"/>
          <w:u w:val="single"/>
        </w:rPr>
        <w:t xml:space="preserve"> 月</w:t>
      </w:r>
    </w:p>
    <w:p>
      <w:pPr>
        <w:pStyle w:val="3"/>
        <w:spacing w:line="360" w:lineRule="auto"/>
        <w:jc w:val="center"/>
        <w:rPr>
          <w:b/>
          <w:color w:val="auto"/>
          <w:sz w:val="32"/>
          <w:szCs w:val="32"/>
          <w:highlight w:val="none"/>
        </w:rPr>
        <w:sectPr>
          <w:pgSz w:w="11906" w:h="16838"/>
          <w:pgMar w:top="1440" w:right="1440" w:bottom="1440" w:left="1440" w:header="851" w:footer="992" w:gutter="0"/>
          <w:cols w:space="720" w:num="1"/>
          <w:docGrid w:type="lines" w:linePitch="312" w:charSpace="0"/>
        </w:sect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pPr>
        <w:pStyle w:val="2"/>
        <w:ind w:firstLine="210"/>
        <w:rPr>
          <w:color w:val="auto"/>
          <w:highlight w:val="none"/>
        </w:rPr>
      </w:pPr>
    </w:p>
    <w:p>
      <w:pPr>
        <w:pStyle w:val="24"/>
        <w:tabs>
          <w:tab w:val="right" w:leader="dot" w:pos="8296"/>
        </w:tabs>
        <w:spacing w:line="48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"1-4" \h \z \u </w:instrText>
      </w:r>
      <w:r>
        <w:rPr>
          <w:rFonts w:hint="eastAsia" w:ascii="宋体" w:hAnsi="宋体" w:cs="宋体"/>
          <w:color w:val="auto"/>
          <w:sz w:val="24"/>
          <w:highlight w:val="none"/>
        </w:rPr>
        <w:fldChar w:fldCharType="separate"/>
      </w:r>
      <w:r>
        <w:rPr>
          <w:color w:val="auto"/>
          <w:highlight w:val="none"/>
        </w:rPr>
        <w:fldChar w:fldCharType="begin"/>
      </w:r>
      <w:r>
        <w:rPr>
          <w:color w:val="auto"/>
          <w:highlight w:val="none"/>
        </w:rPr>
        <w:instrText xml:space="preserve"> HYPERLINK \l "_Toc535834432" </w:instrText>
      </w:r>
      <w:r>
        <w:rPr>
          <w:color w:val="auto"/>
          <w:highlight w:val="none"/>
        </w:rPr>
        <w:fldChar w:fldCharType="separate"/>
      </w:r>
      <w:r>
        <w:rPr>
          <w:rStyle w:val="27"/>
          <w:rFonts w:hint="eastAsia" w:ascii="宋体" w:hAnsi="宋体" w:cs="宋体"/>
          <w:color w:val="auto"/>
          <w:sz w:val="24"/>
          <w:highlight w:val="none"/>
        </w:rPr>
        <w:t>第一卷</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_Toc535834432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"_Toc535834433" </w:instrText>
      </w:r>
      <w:r>
        <w:rPr>
          <w:color w:val="auto"/>
          <w:highlight w:val="none"/>
        </w:rPr>
        <w:fldChar w:fldCharType="separate"/>
      </w:r>
      <w:r>
        <w:rPr>
          <w:rStyle w:val="27"/>
          <w:rFonts w:hint="eastAsia" w:ascii="宋体" w:hAnsi="宋体" w:cs="宋体"/>
          <w:color w:val="auto"/>
          <w:sz w:val="24"/>
          <w:highlight w:val="none"/>
        </w:rPr>
        <w:t>第一章 招标公告（适用于公开招标）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_Toc535834433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"_Toc535834434" </w:instrText>
      </w:r>
      <w:r>
        <w:rPr>
          <w:color w:val="auto"/>
          <w:highlight w:val="none"/>
        </w:rPr>
        <w:fldChar w:fldCharType="separate"/>
      </w:r>
      <w:r>
        <w:rPr>
          <w:rStyle w:val="27"/>
          <w:rFonts w:hint="eastAsia" w:ascii="宋体" w:hAnsi="宋体" w:cs="宋体"/>
          <w:color w:val="auto"/>
          <w:sz w:val="24"/>
          <w:highlight w:val="none"/>
        </w:rPr>
        <w:t>第二章 投标人须知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_Toc535834434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5"/>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"_Toc535834435" </w:instrText>
      </w:r>
      <w:r>
        <w:rPr>
          <w:color w:val="auto"/>
          <w:highlight w:val="none"/>
        </w:rPr>
        <w:fldChar w:fldCharType="separate"/>
      </w:r>
      <w:r>
        <w:rPr>
          <w:rStyle w:val="27"/>
          <w:rFonts w:hint="eastAsia" w:ascii="宋体" w:hAnsi="宋体" w:cs="宋体"/>
          <w:color w:val="auto"/>
          <w:sz w:val="24"/>
          <w:highlight w:val="none"/>
        </w:rPr>
        <w:t>投标人须知前附表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_Toc535834435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"_Toc535834495" </w:instrText>
      </w:r>
      <w:r>
        <w:rPr>
          <w:color w:val="auto"/>
          <w:highlight w:val="none"/>
        </w:rPr>
        <w:fldChar w:fldCharType="separate"/>
      </w:r>
      <w:r>
        <w:rPr>
          <w:rStyle w:val="27"/>
          <w:rFonts w:hint="eastAsia" w:ascii="宋体" w:hAnsi="宋体" w:cs="宋体"/>
          <w:color w:val="auto"/>
          <w:sz w:val="24"/>
          <w:highlight w:val="none"/>
        </w:rPr>
        <w:t>第三章 评标办法（综合评估法）</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_Toc535834495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"_Toc535834506" </w:instrText>
      </w:r>
      <w:r>
        <w:rPr>
          <w:color w:val="auto"/>
          <w:highlight w:val="none"/>
        </w:rPr>
        <w:fldChar w:fldCharType="separate"/>
      </w:r>
      <w:r>
        <w:rPr>
          <w:rStyle w:val="27"/>
          <w:rFonts w:hint="eastAsia" w:ascii="宋体" w:hAnsi="宋体" w:cs="宋体"/>
          <w:color w:val="auto"/>
          <w:sz w:val="24"/>
          <w:highlight w:val="none"/>
        </w:rPr>
        <w:t>第四章 合同条款及格式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"_Toc535834507" </w:instrText>
      </w:r>
      <w:r>
        <w:rPr>
          <w:color w:val="auto"/>
          <w:highlight w:val="none"/>
        </w:rPr>
        <w:fldChar w:fldCharType="separate"/>
      </w:r>
      <w:r>
        <w:rPr>
          <w:rStyle w:val="27"/>
          <w:rFonts w:hint="eastAsia" w:ascii="宋体" w:hAnsi="宋体" w:cs="宋体"/>
          <w:color w:val="auto"/>
          <w:sz w:val="24"/>
          <w:highlight w:val="none"/>
        </w:rPr>
        <w:t>第二卷</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_Toc535834507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"_Toc535834508" </w:instrText>
      </w:r>
      <w:r>
        <w:rPr>
          <w:color w:val="auto"/>
          <w:highlight w:val="none"/>
        </w:rPr>
        <w:fldChar w:fldCharType="separate"/>
      </w:r>
      <w:r>
        <w:rPr>
          <w:rStyle w:val="27"/>
          <w:rFonts w:hint="eastAsia" w:ascii="宋体" w:hAnsi="宋体" w:cs="宋体"/>
          <w:color w:val="auto"/>
          <w:sz w:val="24"/>
          <w:highlight w:val="none"/>
        </w:rPr>
        <w:t>第五章 委托人要求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_Toc535834508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"_Toc535834509" </w:instrText>
      </w:r>
      <w:r>
        <w:rPr>
          <w:color w:val="auto"/>
          <w:highlight w:val="none"/>
        </w:rPr>
        <w:fldChar w:fldCharType="separate"/>
      </w:r>
      <w:r>
        <w:rPr>
          <w:rStyle w:val="27"/>
          <w:rFonts w:hint="eastAsia" w:ascii="宋体" w:hAnsi="宋体" w:cs="宋体"/>
          <w:color w:val="auto"/>
          <w:sz w:val="24"/>
          <w:highlight w:val="none"/>
        </w:rPr>
        <w:t>第三卷</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_Toc535834509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4"/>
        <w:tabs>
          <w:tab w:val="right" w:leader="dot" w:pos="8296"/>
        </w:tabs>
        <w:spacing w:line="48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"_Toc535834510" </w:instrText>
      </w:r>
      <w:r>
        <w:rPr>
          <w:color w:val="auto"/>
          <w:highlight w:val="none"/>
        </w:rPr>
        <w:fldChar w:fldCharType="separate"/>
      </w:r>
      <w:r>
        <w:rPr>
          <w:rStyle w:val="27"/>
          <w:rFonts w:hint="eastAsia" w:ascii="宋体" w:hAnsi="宋体" w:cs="宋体"/>
          <w:color w:val="auto"/>
          <w:sz w:val="24"/>
          <w:highlight w:val="none"/>
        </w:rPr>
        <w:t>第六章 投标文件格式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_Toc535834510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spacing w:line="480" w:lineRule="auto"/>
        <w:rPr>
          <w:rFonts w:ascii="宋体" w:hAnsi="宋体" w:cs="宋体"/>
          <w:color w:val="auto"/>
          <w:highlight w:val="none"/>
        </w:rPr>
      </w:pPr>
      <w:r>
        <w:rPr>
          <w:rFonts w:hint="eastAsia" w:ascii="宋体" w:hAnsi="宋体" w:cs="宋体"/>
          <w:color w:val="auto"/>
          <w:sz w:val="24"/>
          <w:highlight w:val="none"/>
        </w:rPr>
        <w:fldChar w:fldCharType="end"/>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5"/>
        <w:spacing w:before="62" w:beforeLines="20" w:after="62" w:afterLines="20" w:line="360" w:lineRule="auto"/>
        <w:jc w:val="center"/>
        <w:rPr>
          <w:rFonts w:ascii="宋体" w:hAnsi="宋体" w:cs="宋体"/>
          <w:color w:val="auto"/>
          <w:highlight w:val="none"/>
        </w:rPr>
      </w:pPr>
      <w:bookmarkStart w:id="0" w:name="_Toc535834432"/>
      <w:r>
        <w:rPr>
          <w:rFonts w:hint="eastAsia" w:ascii="宋体" w:hAnsi="宋体" w:cs="宋体"/>
          <w:color w:val="auto"/>
          <w:highlight w:val="none"/>
        </w:rPr>
        <w:t>第一卷</w:t>
      </w:r>
      <w:bookmarkEnd w:id="0"/>
    </w:p>
    <w:p>
      <w:pPr>
        <w:pStyle w:val="5"/>
        <w:spacing w:before="62" w:beforeLines="20" w:after="62"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1" w:name="_Toc535834433"/>
      <w:r>
        <w:rPr>
          <w:rFonts w:hint="eastAsia" w:ascii="宋体" w:hAnsi="宋体" w:cs="宋体"/>
          <w:color w:val="auto"/>
          <w:highlight w:val="none"/>
        </w:rPr>
        <w:t>第一章 招标公告（适用于公开招标）</w:t>
      </w:r>
      <w:bookmarkEnd w:id="1"/>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（另册）</w:t>
      </w:r>
    </w:p>
    <w:p>
      <w:pPr>
        <w:pStyle w:val="5"/>
        <w:spacing w:before="62" w:beforeLines="20" w:after="62"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2" w:name="_Toc535834434"/>
      <w:r>
        <w:rPr>
          <w:rFonts w:hint="eastAsia" w:ascii="宋体" w:hAnsi="宋体" w:cs="宋体"/>
          <w:color w:val="auto"/>
          <w:highlight w:val="none"/>
        </w:rPr>
        <w:t>第二章 投标人须知</w:t>
      </w:r>
      <w:bookmarkEnd w:id="2"/>
    </w:p>
    <w:p>
      <w:pPr>
        <w:pStyle w:val="6"/>
        <w:jc w:val="center"/>
        <w:rPr>
          <w:rFonts w:ascii="宋体" w:hAnsi="宋体" w:eastAsia="宋体" w:cs="宋体"/>
          <w:color w:val="auto"/>
          <w:highlight w:val="none"/>
        </w:rPr>
      </w:pPr>
      <w:bookmarkStart w:id="3" w:name="_Toc535834435"/>
      <w:r>
        <w:rPr>
          <w:rFonts w:hint="eastAsia" w:ascii="宋体" w:hAnsi="宋体" w:eastAsia="宋体" w:cs="宋体"/>
          <w:color w:val="auto"/>
          <w:highlight w:val="none"/>
        </w:rPr>
        <w:t>投标人须知前附表</w:t>
      </w:r>
      <w:bookmarkEnd w:id="3"/>
    </w:p>
    <w:tbl>
      <w:tblPr>
        <w:tblStyle w:val="29"/>
        <w:tblW w:w="9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07"/>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blHeader/>
          <w:jc w:val="center"/>
        </w:trPr>
        <w:tc>
          <w:tcPr>
            <w:tcW w:w="1168" w:type="dxa"/>
          </w:tcPr>
          <w:p>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2407" w:type="dxa"/>
          </w:tcPr>
          <w:p>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5926" w:type="dxa"/>
          </w:tcPr>
          <w:p>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1.1.2</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招标人</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rPr>
              <w:t>名称：</w:t>
            </w:r>
            <w:r>
              <w:rPr>
                <w:rFonts w:hint="eastAsia" w:ascii="宋体" w:hAnsi="宋体" w:cs="宋体"/>
                <w:color w:val="000000"/>
                <w:szCs w:val="21"/>
                <w:highlight w:val="none"/>
                <w:u w:val="single"/>
              </w:rPr>
              <w:t>广州市从化区鳌头镇人民政府</w:t>
            </w:r>
          </w:p>
          <w:p>
            <w:pPr>
              <w:spacing w:line="400" w:lineRule="exact"/>
              <w:ind w:left="40" w:leftChars="19" w:right="107" w:rightChars="51"/>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广州市从化区鳌头镇新城西路9号</w:t>
            </w:r>
          </w:p>
          <w:p>
            <w:pPr>
              <w:spacing w:line="400" w:lineRule="exact"/>
              <w:ind w:left="40" w:leftChars="19" w:right="107" w:rightChars="51"/>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廖工</w:t>
            </w:r>
          </w:p>
          <w:p>
            <w:pPr>
              <w:spacing w:line="400" w:lineRule="exact"/>
              <w:rPr>
                <w:rFonts w:ascii="宋体" w:hAnsi="宋体" w:cs="宋体"/>
                <w:color w:val="000000"/>
                <w:szCs w:val="21"/>
                <w:highlight w:val="none"/>
              </w:rPr>
            </w:pPr>
            <w:r>
              <w:rPr>
                <w:rFonts w:hint="eastAsia" w:ascii="宋体" w:hAnsi="宋体" w:eastAsia="等线"/>
                <w:color w:val="auto"/>
                <w:szCs w:val="21"/>
                <w:highlight w:val="none"/>
              </w:rPr>
              <w:t>电话：</w:t>
            </w:r>
            <w:r>
              <w:rPr>
                <w:rFonts w:hint="eastAsia" w:ascii="宋体" w:hAnsi="宋体" w:eastAsia="等线"/>
                <w:color w:val="auto"/>
                <w:szCs w:val="21"/>
                <w:highlight w:val="none"/>
                <w:u w:val="single"/>
              </w:rPr>
              <w:t xml:space="preserve"> 020-87876682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1.1.3</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招标代理机构</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名称：</w:t>
            </w:r>
            <w:r>
              <w:rPr>
                <w:rFonts w:hint="eastAsia" w:ascii="宋体" w:hAnsi="宋体" w:cs="宋体"/>
                <w:color w:val="000000"/>
                <w:szCs w:val="21"/>
                <w:highlight w:val="none"/>
                <w:u w:val="single"/>
                <w:lang w:eastAsia="zh-CN"/>
              </w:rPr>
              <w:t>广东竣泰建设监理有限公司</w:t>
            </w:r>
            <w:r>
              <w:rPr>
                <w:rFonts w:hint="eastAsia" w:ascii="宋体" w:hAnsi="宋体" w:cs="宋体"/>
                <w:color w:val="000000"/>
                <w:szCs w:val="21"/>
                <w:highlight w:val="none"/>
              </w:rPr>
              <w:t xml:space="preserve">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地址：</w:t>
            </w:r>
            <w:r>
              <w:rPr>
                <w:rFonts w:hint="eastAsia" w:ascii="宋体" w:hAnsi="宋体" w:cs="宋体"/>
                <w:color w:val="auto"/>
                <w:sz w:val="21"/>
                <w:szCs w:val="21"/>
                <w:highlight w:val="none"/>
                <w:u w:val="single"/>
              </w:rPr>
              <w:t>广州市从化区城郊街上横北路四巷17号301室</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联系人：</w:t>
            </w:r>
            <w:r>
              <w:rPr>
                <w:rFonts w:hint="eastAsia" w:ascii="宋体" w:hAnsi="宋体" w:cs="宋体"/>
                <w:color w:val="000000"/>
                <w:szCs w:val="21"/>
                <w:highlight w:val="none"/>
                <w:u w:val="single"/>
              </w:rPr>
              <w:t>朱工</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电话：13602219118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1.1.4</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招标项目名称</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从化区全域土地综合整治试点鳌头万亩良田示范项目第三方检测和监测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1.1.5</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项目建设地点</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1.1.6</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项目建设规模</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1.1.7</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工程项目施工预计开工日期</w:t>
            </w:r>
          </w:p>
        </w:tc>
        <w:tc>
          <w:tcPr>
            <w:tcW w:w="5926" w:type="dxa"/>
            <w:vAlign w:val="center"/>
          </w:tcPr>
          <w:p>
            <w:pPr>
              <w:spacing w:line="400" w:lineRule="exact"/>
              <w:rPr>
                <w:color w:val="000000"/>
                <w:highlight w:val="none"/>
              </w:rPr>
            </w:pPr>
            <w:r>
              <w:rPr>
                <w:rFonts w:hint="eastAsia"/>
                <w:color w:val="000000"/>
                <w:highlight w:val="none"/>
              </w:rPr>
              <w:t>工程项目预计开工日期：</w:t>
            </w:r>
            <w:r>
              <w:rPr>
                <w:rFonts w:hint="eastAsia"/>
                <w:color w:val="000000"/>
                <w:highlight w:val="none"/>
                <w:u w:val="single"/>
              </w:rPr>
              <w:t>开工时间以甲方通知为准</w:t>
            </w:r>
            <w:r>
              <w:rPr>
                <w:rFonts w:hint="eastAsia"/>
                <w:color w:val="000000"/>
                <w:highlight w:val="none"/>
              </w:rPr>
              <w:t>。</w:t>
            </w:r>
          </w:p>
          <w:p>
            <w:pPr>
              <w:pStyle w:val="22"/>
              <w:ind w:left="0" w:leftChars="0" w:firstLine="0" w:firstLineChars="0"/>
              <w:rPr>
                <w:color w:val="000000"/>
                <w:highlight w:val="none"/>
              </w:rPr>
            </w:pPr>
            <w:r>
              <w:rPr>
                <w:rFonts w:hint="eastAsia"/>
                <w:highlight w:val="none"/>
              </w:rPr>
              <w:t>建设周期：</w:t>
            </w:r>
            <w:r>
              <w:rPr>
                <w:rFonts w:hint="eastAsia"/>
                <w:highlight w:val="none"/>
                <w:u w:val="single"/>
              </w:rPr>
              <w:t>从中标单位进场至本项目顺利完成竣工验收备案，且所有服务项目完成为止，服务周期必须满足实际施工要求。进场日期以发包人通知时间为准。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1.1.8</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建筑安装工程费/工程概算</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1.2.1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资金来源及比例</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1.2.2</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资金落实情况</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1.3.1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招标范围</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1.3.2</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服务期限</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从中标单位进场至本项目顺利完成竣工验收备案，且所有服务项目完成为止，服务周期必须满足实际施工要求。进场日期以发包人通知时间为准。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1.3.3</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质量标准</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olor w:val="000000"/>
                <w:szCs w:val="21"/>
                <w:highlight w:val="none"/>
                <w:u w:val="single"/>
              </w:rPr>
              <w:t>符合</w:t>
            </w:r>
            <w:r>
              <w:rPr>
                <w:rFonts w:ascii="宋体" w:hAnsi="宋体"/>
                <w:color w:val="000000"/>
                <w:szCs w:val="21"/>
                <w:highlight w:val="none"/>
                <w:u w:val="single"/>
              </w:rPr>
              <w:t>国家</w:t>
            </w:r>
            <w:r>
              <w:rPr>
                <w:rFonts w:hint="eastAsia" w:ascii="宋体" w:hAnsi="宋体"/>
                <w:color w:val="000000"/>
                <w:szCs w:val="21"/>
                <w:highlight w:val="none"/>
                <w:u w:val="single"/>
              </w:rPr>
              <w:t>及省、市</w:t>
            </w:r>
            <w:r>
              <w:rPr>
                <w:rFonts w:ascii="宋体" w:hAnsi="宋体"/>
                <w:color w:val="000000"/>
                <w:szCs w:val="21"/>
                <w:highlight w:val="none"/>
                <w:u w:val="single"/>
              </w:rPr>
              <w:t>有关</w:t>
            </w:r>
            <w:r>
              <w:rPr>
                <w:rFonts w:hint="eastAsia" w:ascii="宋体" w:hAnsi="宋体"/>
                <w:color w:val="000000"/>
                <w:szCs w:val="21"/>
                <w:highlight w:val="none"/>
                <w:u w:val="single"/>
              </w:rPr>
              <w:t>检测监测</w:t>
            </w:r>
            <w:r>
              <w:rPr>
                <w:rFonts w:ascii="宋体" w:hAnsi="宋体"/>
                <w:color w:val="000000"/>
                <w:szCs w:val="21"/>
                <w:highlight w:val="none"/>
                <w:u w:val="single"/>
              </w:rPr>
              <w:t>标准</w:t>
            </w:r>
            <w:r>
              <w:rPr>
                <w:rFonts w:hint="eastAsia" w:ascii="宋体" w:hAnsi="宋体"/>
                <w:color w:val="000000"/>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2"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1.4.1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投标人资质条件、能力、信誉</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rPr>
              <w:t>（1）资质要求：</w:t>
            </w:r>
            <w:r>
              <w:rPr>
                <w:rFonts w:hint="eastAsia" w:ascii="宋体" w:hAnsi="宋体" w:cs="宋体"/>
                <w:color w:val="000000"/>
                <w:szCs w:val="21"/>
                <w:highlight w:val="none"/>
                <w:u w:val="single"/>
              </w:rPr>
              <w:t>见招标公告投标人资格要求。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CMA</w:t>
            </w:r>
            <w:r>
              <w:rPr>
                <w:rFonts w:hint="eastAsia" w:ascii="宋体" w:hAnsi="宋体" w:cs="宋体"/>
                <w:color w:val="000000"/>
                <w:szCs w:val="21"/>
                <w:highlight w:val="none"/>
              </w:rPr>
              <w:t>计量认证要求：</w:t>
            </w:r>
            <w:r>
              <w:rPr>
                <w:rFonts w:hint="eastAsia" w:ascii="宋体" w:hAnsi="宋体" w:cs="宋体"/>
                <w:color w:val="000000"/>
                <w:szCs w:val="21"/>
                <w:highlight w:val="none"/>
                <w:u w:val="single"/>
              </w:rPr>
              <w:t>见招标公告投标人资格要求</w:t>
            </w:r>
          </w:p>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rPr>
              <w:t>（3）财务要求：</w:t>
            </w:r>
            <w:r>
              <w:rPr>
                <w:rFonts w:hint="eastAsia" w:ascii="宋体" w:hAnsi="宋体" w:cs="宋体"/>
                <w:color w:val="000000"/>
                <w:szCs w:val="21"/>
                <w:highlight w:val="none"/>
                <w:u w:val="single"/>
              </w:rPr>
              <w:t xml:space="preserve">           /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（4）业绩要求：</w:t>
            </w:r>
            <w:r>
              <w:rPr>
                <w:rFonts w:hint="eastAsia" w:ascii="宋体" w:hAnsi="宋体" w:cs="宋体"/>
                <w:color w:val="000000"/>
                <w:szCs w:val="21"/>
                <w:highlight w:val="none"/>
                <w:u w:val="single"/>
              </w:rPr>
              <w:t xml:space="preserve">           /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（5）信誉要求：</w:t>
            </w:r>
            <w:r>
              <w:rPr>
                <w:rFonts w:hint="eastAsia" w:ascii="宋体" w:hAnsi="宋体" w:cs="宋体"/>
                <w:color w:val="000000"/>
                <w:szCs w:val="21"/>
                <w:highlight w:val="none"/>
                <w:u w:val="single"/>
              </w:rPr>
              <w:t xml:space="preserve">           /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（6）项目负责人的资格要求：</w:t>
            </w:r>
            <w:r>
              <w:rPr>
                <w:rFonts w:hint="eastAsia" w:ascii="宋体" w:hAnsi="宋体" w:cs="宋体"/>
                <w:color w:val="000000"/>
                <w:szCs w:val="21"/>
                <w:highlight w:val="none"/>
                <w:u w:val="single"/>
              </w:rPr>
              <w:t>见招标公告投标人资格要求。</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（7）其他主要人员要求：</w:t>
            </w:r>
            <w:r>
              <w:rPr>
                <w:rFonts w:hint="eastAsia" w:ascii="宋体" w:hAnsi="宋体" w:cs="宋体"/>
                <w:color w:val="000000"/>
                <w:szCs w:val="21"/>
                <w:highlight w:val="none"/>
                <w:u w:val="single"/>
              </w:rPr>
              <w:t xml:space="preserve">        /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（8）试验检测仪器设备要求：</w:t>
            </w:r>
            <w:r>
              <w:rPr>
                <w:rFonts w:hint="eastAsia" w:ascii="宋体" w:hAnsi="宋体" w:cs="宋体"/>
                <w:color w:val="000000"/>
                <w:szCs w:val="21"/>
                <w:highlight w:val="none"/>
                <w:u w:val="single"/>
              </w:rPr>
              <w:t xml:space="preserve">      /     。</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（9）其他要求：</w:t>
            </w:r>
            <w:r>
              <w:rPr>
                <w:rFonts w:hint="eastAsia" w:ascii="宋体" w:hAnsi="宋体" w:cs="宋体"/>
                <w:color w:val="000000"/>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1.4.2</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是否接受联合体投标</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□不接受</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接受，应满足下列要求：</w:t>
            </w:r>
            <w:r>
              <w:rPr>
                <w:rFonts w:hint="eastAsia" w:ascii="宋体" w:hAnsi="宋体" w:cs="宋体"/>
                <w:color w:val="000000"/>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1.4.3</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投标人不得存在的其他情形</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踏勘现场</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eq \o\ac(□</w:instrText>
            </w:r>
            <w:r>
              <w:rPr>
                <w:rFonts w:hint="eastAsia" w:ascii="宋体" w:hAnsi="宋体" w:cs="宋体"/>
                <w:color w:val="000000"/>
                <w:position w:val="2"/>
                <w:sz w:val="14"/>
                <w:szCs w:val="21"/>
                <w:highlight w:val="none"/>
              </w:rPr>
              <w:instrText xml:space="preserve">,</w:instrText>
            </w:r>
            <w:r>
              <w:rPr>
                <w:rFonts w:hint="eastAsia" w:ascii="宋体" w:hAnsi="宋体" w:cs="宋体"/>
                <w:color w:val="000000"/>
                <w:szCs w:val="21"/>
                <w:highlight w:val="none"/>
              </w:rPr>
              <w:instrText xml:space="preserve">√)</w:instrText>
            </w:r>
            <w:r>
              <w:rPr>
                <w:rFonts w:hint="eastAsia" w:ascii="宋体" w:hAnsi="宋体" w:cs="宋体"/>
                <w:color w:val="000000"/>
                <w:szCs w:val="21"/>
                <w:highlight w:val="none"/>
              </w:rPr>
              <w:fldChar w:fldCharType="end"/>
            </w:r>
            <w:r>
              <w:rPr>
                <w:rFonts w:hint="eastAsia" w:ascii="宋体" w:hAnsi="宋体" w:cs="宋体"/>
                <w:color w:val="000000"/>
                <w:szCs w:val="21"/>
                <w:highlight w:val="none"/>
              </w:rPr>
              <w:t>不组织</w:t>
            </w:r>
            <w:r>
              <w:rPr>
                <w:rFonts w:hint="eastAsia" w:ascii="宋体" w:hAnsi="宋体" w:cs="宋体"/>
                <w:color w:val="000000"/>
                <w:szCs w:val="21"/>
                <w:highlight w:val="none"/>
                <w:u w:val="single"/>
              </w:rPr>
              <w:t>，由投标人自行现场勘察。</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□组织，踏勘时间：</w:t>
            </w:r>
          </w:p>
          <w:p>
            <w:pPr>
              <w:spacing w:line="400" w:lineRule="exact"/>
              <w:ind w:firstLine="840" w:firstLineChars="400"/>
              <w:rPr>
                <w:rFonts w:ascii="宋体" w:hAnsi="宋体" w:cs="宋体"/>
                <w:color w:val="000000"/>
                <w:szCs w:val="21"/>
                <w:highlight w:val="none"/>
              </w:rPr>
            </w:pPr>
            <w:r>
              <w:rPr>
                <w:rFonts w:hint="eastAsia" w:ascii="宋体" w:hAnsi="宋体" w:cs="宋体"/>
                <w:color w:val="000000"/>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1.10.1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投标预备会</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eq \o\ac(□</w:instrText>
            </w:r>
            <w:r>
              <w:rPr>
                <w:rFonts w:hint="eastAsia" w:ascii="宋体" w:hAnsi="宋体" w:cs="宋体"/>
                <w:color w:val="000000"/>
                <w:position w:val="2"/>
                <w:sz w:val="14"/>
                <w:szCs w:val="21"/>
                <w:highlight w:val="none"/>
              </w:rPr>
              <w:instrText xml:space="preserve">,</w:instrText>
            </w:r>
            <w:r>
              <w:rPr>
                <w:rFonts w:hint="eastAsia" w:ascii="宋体" w:hAnsi="宋体" w:cs="宋体"/>
                <w:color w:val="000000"/>
                <w:szCs w:val="21"/>
                <w:highlight w:val="none"/>
              </w:rPr>
              <w:instrText xml:space="preserve">√)</w:instrText>
            </w:r>
            <w:r>
              <w:rPr>
                <w:rFonts w:hint="eastAsia" w:ascii="宋体" w:hAnsi="宋体" w:cs="宋体"/>
                <w:color w:val="000000"/>
                <w:szCs w:val="21"/>
                <w:highlight w:val="none"/>
              </w:rPr>
              <w:fldChar w:fldCharType="end"/>
            </w:r>
            <w:r>
              <w:rPr>
                <w:rFonts w:hint="eastAsia" w:ascii="宋体" w:hAnsi="宋体" w:cs="宋体"/>
                <w:color w:val="000000"/>
                <w:szCs w:val="21"/>
                <w:highlight w:val="none"/>
              </w:rPr>
              <w:t>不召开</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□召开，召开时间：</w:t>
            </w:r>
          </w:p>
          <w:p>
            <w:pPr>
              <w:spacing w:line="400" w:lineRule="exact"/>
              <w:ind w:firstLine="840" w:firstLineChars="400"/>
              <w:rPr>
                <w:rFonts w:ascii="宋体" w:hAnsi="宋体" w:cs="宋体"/>
                <w:color w:val="000000"/>
                <w:szCs w:val="21"/>
                <w:highlight w:val="none"/>
              </w:rPr>
            </w:pPr>
            <w:r>
              <w:rPr>
                <w:rFonts w:hint="eastAsia" w:ascii="宋体" w:hAnsi="宋体" w:cs="宋体"/>
                <w:color w:val="000000"/>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1.10.2</w:t>
            </w:r>
          </w:p>
        </w:tc>
        <w:tc>
          <w:tcPr>
            <w:tcW w:w="2407"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投标人在投标预备会前提出问题</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Merge w:val="continue"/>
            <w:vAlign w:val="center"/>
          </w:tcPr>
          <w:p>
            <w:pPr>
              <w:spacing w:line="400" w:lineRule="exact"/>
              <w:jc w:val="center"/>
              <w:rPr>
                <w:rFonts w:ascii="宋体" w:hAnsi="宋体" w:cs="宋体"/>
                <w:color w:val="000000"/>
                <w:szCs w:val="21"/>
                <w:highlight w:val="none"/>
              </w:rPr>
            </w:pPr>
          </w:p>
        </w:tc>
        <w:tc>
          <w:tcPr>
            <w:tcW w:w="2407" w:type="dxa"/>
            <w:vMerge w:val="continue"/>
            <w:vAlign w:val="center"/>
          </w:tcPr>
          <w:p>
            <w:pPr>
              <w:spacing w:line="400" w:lineRule="exact"/>
              <w:jc w:val="center"/>
              <w:rPr>
                <w:rFonts w:ascii="宋体" w:hAnsi="宋体" w:cs="宋体"/>
                <w:color w:val="000000"/>
                <w:szCs w:val="21"/>
                <w:highlight w:val="none"/>
              </w:rPr>
            </w:pP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形式：</w:t>
            </w:r>
            <w:r>
              <w:rPr>
                <w:rFonts w:hint="eastAsia" w:ascii="宋体" w:hAnsi="宋体" w:cs="宋体"/>
                <w:color w:val="000000"/>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1.10.3</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招标文件澄清发出的形式</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 xml:space="preserve">  / （此为投标预备会的答疑澄清）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1.12.1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实质性要求和条件</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1.12.3</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偏差</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eq \o\ac(□</w:instrText>
            </w:r>
            <w:r>
              <w:rPr>
                <w:rFonts w:hint="eastAsia" w:ascii="宋体" w:hAnsi="宋体" w:cs="宋体"/>
                <w:color w:val="000000"/>
                <w:position w:val="2"/>
                <w:sz w:val="14"/>
                <w:szCs w:val="21"/>
                <w:highlight w:val="none"/>
              </w:rPr>
              <w:instrText xml:space="preserve">,</w:instrText>
            </w:r>
            <w:r>
              <w:rPr>
                <w:rFonts w:hint="eastAsia" w:ascii="宋体" w:hAnsi="宋体" w:cs="宋体"/>
                <w:color w:val="000000"/>
                <w:szCs w:val="21"/>
                <w:highlight w:val="none"/>
              </w:rPr>
              <w:instrText xml:space="preserve">√)</w:instrText>
            </w:r>
            <w:r>
              <w:rPr>
                <w:rFonts w:hint="eastAsia" w:ascii="宋体" w:hAnsi="宋体" w:cs="宋体"/>
                <w:color w:val="000000"/>
                <w:szCs w:val="21"/>
                <w:highlight w:val="none"/>
              </w:rPr>
              <w:fldChar w:fldCharType="end"/>
            </w:r>
            <w:r>
              <w:rPr>
                <w:rFonts w:hint="eastAsia" w:ascii="宋体" w:hAnsi="宋体" w:cs="宋体"/>
                <w:color w:val="000000"/>
                <w:szCs w:val="21"/>
                <w:highlight w:val="none"/>
              </w:rPr>
              <w:t>不允许</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□允许，偏差范围：</w:t>
            </w:r>
          </w:p>
          <w:p>
            <w:pPr>
              <w:spacing w:line="400" w:lineRule="exact"/>
              <w:ind w:firstLine="840" w:firstLineChars="400"/>
              <w:rPr>
                <w:rFonts w:ascii="宋体" w:hAnsi="宋体" w:cs="宋体"/>
                <w:color w:val="000000"/>
                <w:szCs w:val="21"/>
                <w:highlight w:val="none"/>
              </w:rPr>
            </w:pPr>
            <w:r>
              <w:rPr>
                <w:rFonts w:hint="eastAsia" w:ascii="宋体" w:hAnsi="宋体" w:cs="宋体"/>
                <w:color w:val="000000"/>
                <w:szCs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构成招标文件的其他资料</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68"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2.2.1</w:t>
            </w:r>
          </w:p>
        </w:tc>
        <w:tc>
          <w:tcPr>
            <w:tcW w:w="2407"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投标人要求澄清招标文件</w:t>
            </w:r>
          </w:p>
        </w:tc>
        <w:tc>
          <w:tcPr>
            <w:tcW w:w="5926" w:type="dxa"/>
            <w:vAlign w:val="center"/>
          </w:tcPr>
          <w:p>
            <w:pPr>
              <w:spacing w:line="280" w:lineRule="exact"/>
              <w:ind w:firstLine="67" w:firstLineChars="32"/>
              <w:rPr>
                <w:rFonts w:ascii="宋体" w:hAnsi="宋体" w:cs="宋体"/>
                <w:color w:val="000000"/>
                <w:szCs w:val="21"/>
                <w:highlight w:val="none"/>
              </w:rPr>
            </w:pPr>
            <w:r>
              <w:rPr>
                <w:rFonts w:hint="eastAsia" w:ascii="宋体" w:hAnsi="宋体" w:cs="宋体"/>
                <w:color w:val="auto"/>
                <w:highlight w:val="none"/>
              </w:rPr>
              <w:t>时间：在提交投标文件截止时间</w:t>
            </w:r>
            <w:r>
              <w:rPr>
                <w:rFonts w:hint="eastAsia" w:ascii="宋体" w:hAnsi="宋体" w:cs="宋体"/>
                <w:color w:val="auto"/>
                <w:highlight w:val="none"/>
                <w:u w:val="single"/>
              </w:rPr>
              <w:t>18</w:t>
            </w:r>
            <w:r>
              <w:rPr>
                <w:rFonts w:hint="eastAsia" w:ascii="宋体" w:hAnsi="宋体" w:cs="宋体"/>
                <w:color w:val="auto"/>
                <w:highlight w:val="none"/>
              </w:rPr>
              <w:t>天前提出。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168" w:type="dxa"/>
            <w:vMerge w:val="continue"/>
            <w:vAlign w:val="center"/>
          </w:tcPr>
          <w:p>
            <w:pPr>
              <w:spacing w:line="400" w:lineRule="exact"/>
              <w:ind w:firstLine="420" w:firstLineChars="200"/>
              <w:rPr>
                <w:color w:val="auto"/>
                <w:highlight w:val="none"/>
              </w:rPr>
            </w:pPr>
          </w:p>
        </w:tc>
        <w:tc>
          <w:tcPr>
            <w:tcW w:w="2407" w:type="dxa"/>
            <w:vMerge w:val="continue"/>
            <w:vAlign w:val="center"/>
          </w:tcPr>
          <w:p>
            <w:pPr>
              <w:spacing w:line="400" w:lineRule="exact"/>
              <w:ind w:firstLine="420" w:firstLineChars="200"/>
              <w:rPr>
                <w:color w:val="auto"/>
                <w:highlight w:val="none"/>
              </w:rPr>
            </w:pPr>
          </w:p>
        </w:tc>
        <w:tc>
          <w:tcPr>
            <w:tcW w:w="5926" w:type="dxa"/>
            <w:vAlign w:val="center"/>
          </w:tcPr>
          <w:p>
            <w:pPr>
              <w:spacing w:line="400" w:lineRule="exact"/>
              <w:rPr>
                <w:rFonts w:ascii="宋体" w:hAnsi="宋体"/>
                <w:color w:val="auto"/>
                <w:highlight w:val="none"/>
                <w:u w:val="single"/>
              </w:rPr>
            </w:pPr>
            <w:r>
              <w:rPr>
                <w:rFonts w:hint="eastAsia" w:ascii="宋体" w:hAnsi="宋体"/>
                <w:color w:val="auto"/>
                <w:highlight w:val="none"/>
                <w:u w:val="single"/>
              </w:rPr>
              <w:t>形式：1、招标答疑采用网上答疑方式进行。投标人若对招标文件（包括最高投标限价）有疑问的，可在规定的时间内登录新交易平台，通过“招标答疑提问”功能模块将问题提交给招标人或招标代理人，提交问题时一律不得署名。</w:t>
            </w:r>
          </w:p>
          <w:p>
            <w:pPr>
              <w:spacing w:line="400" w:lineRule="exact"/>
              <w:rPr>
                <w:rFonts w:ascii="宋体" w:hAnsi="宋体"/>
                <w:color w:val="auto"/>
                <w:highlight w:val="none"/>
                <w:u w:val="single"/>
              </w:rPr>
            </w:pPr>
            <w:r>
              <w:rPr>
                <w:rFonts w:hint="eastAsia" w:ascii="宋体" w:hAnsi="宋体"/>
                <w:color w:val="auto"/>
                <w:highlight w:val="none"/>
                <w:u w:val="single"/>
              </w:rPr>
              <w:t>网上答疑的操作指南为：登录新交易平台→通过项目编号或名称找到所需的项目→在上述的答疑时间内进行“答疑提问”→无记名或匿名提出问题以及查看所有的问题。</w:t>
            </w:r>
            <w:r>
              <w:rPr>
                <w:rFonts w:hint="eastAsia" w:ascii="宋体" w:hAnsi="宋体" w:cs="宋体"/>
                <w:color w:val="auto"/>
                <w:sz w:val="22"/>
                <w:szCs w:val="22"/>
                <w:highlight w:val="none"/>
                <w:u w:val="single"/>
              </w:rPr>
              <w:t>（如需密码，则密码为：1</w:t>
            </w:r>
            <w:r>
              <w:rPr>
                <w:rFonts w:ascii="宋体" w:hAnsi="宋体" w:cs="宋体"/>
                <w:color w:val="auto"/>
                <w:sz w:val="22"/>
                <w:szCs w:val="22"/>
                <w:highlight w:val="none"/>
                <w:u w:val="single"/>
              </w:rPr>
              <w:t>23456</w:t>
            </w:r>
            <w:r>
              <w:rPr>
                <w:rFonts w:hint="eastAsia" w:ascii="宋体" w:hAnsi="宋体" w:cs="宋体"/>
                <w:color w:val="auto"/>
                <w:sz w:val="22"/>
                <w:szCs w:val="22"/>
                <w:highlight w:val="none"/>
                <w:u w:val="single"/>
              </w:rPr>
              <w:t>）</w:t>
            </w:r>
          </w:p>
          <w:p>
            <w:pPr>
              <w:spacing w:line="400" w:lineRule="exact"/>
              <w:rPr>
                <w:rFonts w:ascii="宋体" w:hAnsi="宋体"/>
                <w:color w:val="auto"/>
                <w:highlight w:val="none"/>
                <w:u w:val="single"/>
              </w:rPr>
            </w:pPr>
            <w:r>
              <w:rPr>
                <w:rFonts w:hint="eastAsia" w:ascii="宋体" w:hAnsi="宋体"/>
                <w:color w:val="auto"/>
                <w:highlight w:val="none"/>
                <w:u w:val="single"/>
              </w:rPr>
              <w:t>2、投标人应在投标截止时间18日前停止质疑</w:t>
            </w:r>
            <w:r>
              <w:rPr>
                <w:rFonts w:hint="eastAsia" w:ascii="宋体" w:hAnsi="宋体"/>
                <w:color w:val="auto"/>
                <w:highlight w:val="none"/>
                <w:u w:val="single"/>
                <w:lang w:eastAsia="zh-CN"/>
              </w:rPr>
              <w:t>截止提问</w:t>
            </w:r>
            <w:r>
              <w:rPr>
                <w:rFonts w:hint="eastAsia" w:ascii="宋体" w:hAnsi="宋体"/>
                <w:color w:val="auto"/>
                <w:highlight w:val="none"/>
                <w:u w:val="single"/>
              </w:rPr>
              <w:t>。招标人应在投标截止时间15日前解答投标人对招标文件提出的疑问，形成答疑文件，在广州公共资源交易中心网站项目答疑专区发布。</w:t>
            </w:r>
          </w:p>
          <w:p>
            <w:pPr>
              <w:spacing w:line="400" w:lineRule="exact"/>
              <w:rPr>
                <w:rFonts w:ascii="宋体" w:hAnsi="宋体"/>
                <w:color w:val="auto"/>
                <w:highlight w:val="none"/>
                <w:u w:val="single"/>
              </w:rPr>
            </w:pPr>
            <w:r>
              <w:rPr>
                <w:rFonts w:hint="eastAsia" w:ascii="宋体" w:hAnsi="宋体"/>
                <w:color w:val="auto"/>
                <w:highlight w:val="none"/>
                <w:u w:val="single"/>
              </w:rPr>
              <w:t>3、招标答疑文件一经在广州公共资源交易中心网站发布，视作已发放给所有投标人。</w:t>
            </w:r>
          </w:p>
          <w:p>
            <w:pPr>
              <w:spacing w:line="400" w:lineRule="exact"/>
              <w:rPr>
                <w:rFonts w:ascii="宋体" w:hAnsi="宋体"/>
                <w:color w:val="auto"/>
                <w:highlight w:val="none"/>
                <w:u w:val="single"/>
              </w:rPr>
            </w:pPr>
            <w:r>
              <w:rPr>
                <w:rFonts w:hint="eastAsia" w:ascii="宋体" w:hAnsi="宋体"/>
                <w:color w:val="auto"/>
                <w:highlight w:val="none"/>
                <w:u w:val="single"/>
              </w:rPr>
              <w:t>4、招标答疑文件为招标文件的一部分。投标人可在广州公资源交易中心网站</w:t>
            </w:r>
            <w:r>
              <w:rPr>
                <w:rFonts w:hint="eastAsia" w:ascii="宋体" w:hAnsi="宋体" w:cs="宋体"/>
                <w:color w:val="000000"/>
                <w:szCs w:val="21"/>
                <w:highlight w:val="none"/>
                <w:u w:val="single"/>
              </w:rPr>
              <w:t>浏览</w:t>
            </w:r>
            <w:r>
              <w:rPr>
                <w:rFonts w:hint="eastAsia" w:ascii="宋体" w:hAnsi="宋体"/>
                <w:color w:val="auto"/>
                <w:highlight w:val="none"/>
                <w:u w:val="single"/>
              </w:rPr>
              <w:t>、下载招标答疑文件，也可以在登录新交易平台后下载。</w:t>
            </w:r>
          </w:p>
          <w:p>
            <w:pPr>
              <w:spacing w:line="400" w:lineRule="exact"/>
              <w:rPr>
                <w:rFonts w:ascii="宋体" w:hAnsi="宋体"/>
                <w:color w:val="000000"/>
                <w:szCs w:val="21"/>
                <w:highlight w:val="none"/>
                <w:u w:val="single"/>
              </w:rPr>
            </w:pPr>
            <w:r>
              <w:rPr>
                <w:rFonts w:hint="eastAsia" w:ascii="宋体" w:hAnsi="宋体"/>
                <w:b/>
                <w:color w:val="auto"/>
                <w:highlight w:val="none"/>
                <w:u w:val="single"/>
              </w:rPr>
              <w:t>5</w:t>
            </w:r>
            <w:r>
              <w:rPr>
                <w:rFonts w:hint="eastAsia" w:ascii="宋体" w:hAnsi="宋体"/>
                <w:color w:val="auto"/>
                <w:sz w:val="22"/>
                <w:szCs w:val="22"/>
                <w:highlight w:val="none"/>
                <w:u w:val="single"/>
              </w:rPr>
              <w:t>、澄清或答疑纪要是招标文件的组成部分，对投标人起约束作用。若招标答疑纪要或澄清与招标文件有矛盾时，以新交易平台网站最后发布的答疑纪要或澄清为准。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2.2.2</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招标文件澄清发出的形式</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发出时间：投标截止时间15日前</w:t>
            </w:r>
          </w:p>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发出形式：在广州公共资源交易中心网站通过项目答疑专区网上公开发布。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168"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2.2.3</w:t>
            </w:r>
          </w:p>
        </w:tc>
        <w:tc>
          <w:tcPr>
            <w:tcW w:w="2407"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投标人确认收到招标文件澄清</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Merge w:val="continue"/>
            <w:vAlign w:val="center"/>
          </w:tcPr>
          <w:p>
            <w:pPr>
              <w:spacing w:line="400" w:lineRule="exact"/>
              <w:jc w:val="center"/>
              <w:rPr>
                <w:rFonts w:ascii="宋体" w:hAnsi="宋体" w:cs="宋体"/>
                <w:color w:val="000000"/>
                <w:szCs w:val="21"/>
                <w:highlight w:val="none"/>
              </w:rPr>
            </w:pPr>
          </w:p>
        </w:tc>
        <w:tc>
          <w:tcPr>
            <w:tcW w:w="2407" w:type="dxa"/>
            <w:vMerge w:val="continue"/>
            <w:vAlign w:val="center"/>
          </w:tcPr>
          <w:p>
            <w:pPr>
              <w:spacing w:line="400" w:lineRule="exact"/>
              <w:jc w:val="center"/>
              <w:rPr>
                <w:rFonts w:ascii="宋体" w:hAnsi="宋体" w:cs="宋体"/>
                <w:color w:val="000000"/>
                <w:szCs w:val="21"/>
                <w:highlight w:val="none"/>
              </w:rPr>
            </w:pP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形式：</w:t>
            </w:r>
            <w:r>
              <w:rPr>
                <w:rFonts w:hint="eastAsia" w:ascii="宋体" w:hAnsi="宋体" w:cs="宋体"/>
                <w:color w:val="000000"/>
                <w:szCs w:val="21"/>
                <w:highlight w:val="none"/>
                <w:u w:val="single"/>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2.3.1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招标文件修改发出的形式</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168"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2.3.2</w:t>
            </w:r>
          </w:p>
        </w:tc>
        <w:tc>
          <w:tcPr>
            <w:tcW w:w="2407" w:type="dxa"/>
            <w:vMerge w:val="restart"/>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投标人确认收到招标文件修改</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Merge w:val="continue"/>
            <w:vAlign w:val="center"/>
          </w:tcPr>
          <w:p>
            <w:pPr>
              <w:spacing w:line="400" w:lineRule="exact"/>
              <w:jc w:val="center"/>
              <w:rPr>
                <w:rFonts w:ascii="宋体" w:hAnsi="宋体" w:cs="宋体"/>
                <w:color w:val="000000"/>
                <w:szCs w:val="21"/>
                <w:highlight w:val="none"/>
              </w:rPr>
            </w:pPr>
          </w:p>
        </w:tc>
        <w:tc>
          <w:tcPr>
            <w:tcW w:w="2407" w:type="dxa"/>
            <w:vMerge w:val="continue"/>
            <w:vAlign w:val="center"/>
          </w:tcPr>
          <w:p>
            <w:pPr>
              <w:spacing w:line="400" w:lineRule="exact"/>
              <w:jc w:val="center"/>
              <w:rPr>
                <w:rFonts w:ascii="宋体" w:hAnsi="宋体" w:cs="宋体"/>
                <w:color w:val="000000"/>
                <w:szCs w:val="21"/>
                <w:highlight w:val="none"/>
              </w:rPr>
            </w:pP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形式：</w:t>
            </w:r>
            <w:r>
              <w:rPr>
                <w:rFonts w:hint="eastAsia" w:ascii="宋体" w:hAnsi="宋体" w:cs="宋体"/>
                <w:color w:val="000000"/>
                <w:szCs w:val="21"/>
                <w:highlight w:val="none"/>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3.1.1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构成投标文件的其他资料</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3.2.1</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增值税税金的计算方法</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3.2.3</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报价方式</w:t>
            </w:r>
          </w:p>
        </w:tc>
        <w:tc>
          <w:tcPr>
            <w:tcW w:w="5926" w:type="dxa"/>
            <w:vAlign w:val="center"/>
          </w:tcPr>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u w:val="single"/>
              </w:rPr>
              <w:t>工程量清单计价。各投标单位在最高投标限价内根据企业自身实力进行报价（以元为单位，保留两位小数，第三位小数四舍五入）,且各项单价报价不得高于粤建检协[2015]8号文件的收费指导价</w:t>
            </w:r>
            <w:r>
              <w:rPr>
                <w:rFonts w:hint="eastAsia"/>
                <w:color w:val="auto"/>
                <w:highlight w:val="none"/>
                <w:u w:val="single"/>
                <w:lang w:eastAsia="zh-CN"/>
              </w:rPr>
              <w:t>及招标工程量清单最高限价</w:t>
            </w:r>
            <w:r>
              <w:rPr>
                <w:rFonts w:hint="eastAsia" w:ascii="宋体" w:hAnsi="宋体" w:cs="宋体"/>
                <w:color w:val="000000"/>
                <w:szCs w:val="21"/>
                <w:highlight w:val="none"/>
                <w:u w:val="single"/>
              </w:rPr>
              <w:t>,本项目为全费用综合单价包干，工程量按实结算，</w:t>
            </w:r>
            <w:r>
              <w:rPr>
                <w:rFonts w:hint="eastAsia" w:ascii="仿宋" w:hAnsi="仿宋" w:eastAsia="仿宋" w:cs="Times New Roman"/>
                <w:color w:val="auto"/>
                <w:sz w:val="24"/>
                <w:highlight w:val="none"/>
              </w:rPr>
              <w:t>最终结算价不得超过合同总价</w:t>
            </w:r>
            <w:r>
              <w:rPr>
                <w:rFonts w:hint="eastAsia" w:ascii="仿宋" w:hAnsi="仿宋" w:eastAsia="仿宋" w:cs="Times New Roman"/>
                <w:color w:val="auto"/>
                <w:sz w:val="24"/>
                <w:highlight w:val="none"/>
                <w:lang w:eastAsia="zh-CN"/>
              </w:rPr>
              <w:t>及概算评审价中最低者</w:t>
            </w:r>
            <w:r>
              <w:rPr>
                <w:rFonts w:hint="eastAsia" w:ascii="宋体" w:hAnsi="宋体" w:cs="宋体"/>
                <w:color w:val="000000"/>
                <w:szCs w:val="21"/>
                <w:highlight w:val="none"/>
                <w:u w:val="single"/>
              </w:rPr>
              <w:t>，具体详见合同条款约定。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3.2.4</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最高投标限价</w:t>
            </w:r>
          </w:p>
        </w:tc>
        <w:tc>
          <w:tcPr>
            <w:tcW w:w="5926" w:type="dxa"/>
            <w:vAlign w:val="center"/>
          </w:tcPr>
          <w:p>
            <w:pPr>
              <w:spacing w:line="400" w:lineRule="exact"/>
              <w:rPr>
                <w:rFonts w:ascii="宋体" w:hAnsi="宋体" w:cs="宋体"/>
                <w:color w:val="000000"/>
                <w:szCs w:val="21"/>
                <w:highlight w:val="none"/>
              </w:rPr>
            </w:pPr>
            <w:r>
              <w:rPr>
                <w:rFonts w:hint="eastAsia" w:ascii="宋体" w:hAnsi="宋体" w:cs="宋体"/>
                <w:color w:val="000000"/>
                <w:szCs w:val="21"/>
                <w:highlight w:val="none"/>
              </w:rPr>
              <w:t>□无</w:t>
            </w:r>
          </w:p>
          <w:p>
            <w:pPr>
              <w:spacing w:line="400" w:lineRule="exact"/>
              <w:rPr>
                <w:rFonts w:ascii="宋体" w:hAnsi="宋体" w:cs="宋体"/>
                <w:color w:val="000000"/>
                <w:szCs w:val="21"/>
                <w:highlight w:val="none"/>
                <w:u w:val="single"/>
              </w:rPr>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eq \o\ac(□</w:instrText>
            </w:r>
            <w:r>
              <w:rPr>
                <w:rFonts w:hint="eastAsia" w:ascii="宋体" w:hAnsi="宋体" w:cs="宋体"/>
                <w:color w:val="000000"/>
                <w:position w:val="2"/>
                <w:sz w:val="14"/>
                <w:szCs w:val="21"/>
                <w:highlight w:val="none"/>
              </w:rPr>
              <w:instrText xml:space="preserve">,</w:instrText>
            </w:r>
            <w:r>
              <w:rPr>
                <w:rFonts w:hint="eastAsia" w:ascii="宋体" w:hAnsi="宋体" w:cs="宋体"/>
                <w:color w:val="000000"/>
                <w:szCs w:val="21"/>
                <w:highlight w:val="none"/>
              </w:rPr>
              <w:instrText xml:space="preserve">√)</w:instrText>
            </w:r>
            <w:r>
              <w:rPr>
                <w:rFonts w:hint="eastAsia" w:ascii="宋体" w:hAnsi="宋体" w:cs="宋体"/>
                <w:color w:val="000000"/>
                <w:szCs w:val="21"/>
                <w:highlight w:val="none"/>
              </w:rPr>
              <w:fldChar w:fldCharType="end"/>
            </w:r>
            <w:r>
              <w:rPr>
                <w:rFonts w:hint="eastAsia" w:ascii="宋体" w:hAnsi="宋体" w:cs="宋体"/>
                <w:color w:val="000000"/>
                <w:szCs w:val="21"/>
                <w:highlight w:val="none"/>
              </w:rPr>
              <w:t>有，最高投标限价：</w:t>
            </w:r>
            <w:r>
              <w:rPr>
                <w:rFonts w:hint="eastAsia" w:ascii="宋体" w:hAnsi="宋体" w:cs="宋体"/>
                <w:color w:val="000000"/>
                <w:szCs w:val="21"/>
                <w:highlight w:val="none"/>
                <w:u w:val="single"/>
              </w:rPr>
              <w:t>本项目最高投标限价为：人民币</w:t>
            </w:r>
            <w:r>
              <w:rPr>
                <w:rFonts w:hint="eastAsia" w:ascii="宋体" w:hAnsi="宋体" w:cs="宋体"/>
                <w:color w:val="000000"/>
                <w:szCs w:val="21"/>
                <w:highlight w:val="none"/>
                <w:u w:val="single"/>
                <w:lang w:val="en-US" w:eastAsia="zh-CN"/>
              </w:rPr>
              <w:t>5793209.15</w:t>
            </w:r>
            <w:r>
              <w:rPr>
                <w:rFonts w:hint="eastAsia" w:ascii="宋体" w:hAnsi="宋体" w:cs="宋体"/>
                <w:color w:val="000000"/>
                <w:szCs w:val="21"/>
                <w:highlight w:val="none"/>
                <w:u w:val="single"/>
              </w:rPr>
              <w:t>元，</w:t>
            </w:r>
            <w:r>
              <w:rPr>
                <w:rFonts w:hint="eastAsia"/>
                <w:color w:val="auto"/>
                <w:highlight w:val="none"/>
                <w:u w:val="single"/>
              </w:rPr>
              <w:t>投标报价不能超过最高投标限价，否则其投标文件将被拒绝，且各项单价报价不得高于粤建检协[2015]8号文件的收费指导价</w:t>
            </w:r>
            <w:r>
              <w:rPr>
                <w:rFonts w:hint="eastAsia"/>
                <w:color w:val="auto"/>
                <w:highlight w:val="none"/>
                <w:u w:val="single"/>
                <w:lang w:eastAsia="zh-CN"/>
              </w:rPr>
              <w:t>及招标工程量清单最高限价</w:t>
            </w:r>
            <w:r>
              <w:rPr>
                <w:rFonts w:hint="eastAsia"/>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5" w:hRule="atLeast"/>
          <w:jc w:val="center"/>
        </w:trPr>
        <w:tc>
          <w:tcPr>
            <w:tcW w:w="1168"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3.2.5</w:t>
            </w:r>
          </w:p>
        </w:tc>
        <w:tc>
          <w:tcPr>
            <w:tcW w:w="2407" w:type="dxa"/>
            <w:vAlign w:val="center"/>
          </w:tcPr>
          <w:p>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投标报价的其他要求</w:t>
            </w:r>
          </w:p>
        </w:tc>
        <w:tc>
          <w:tcPr>
            <w:tcW w:w="5926" w:type="dxa"/>
            <w:vAlign w:val="center"/>
          </w:tcPr>
          <w:p>
            <w:pPr>
              <w:spacing w:line="276" w:lineRule="auto"/>
              <w:rPr>
                <w:color w:val="auto"/>
                <w:highlight w:val="none"/>
              </w:rPr>
            </w:pPr>
            <w:r>
              <w:rPr>
                <w:color w:val="auto"/>
                <w:highlight w:val="none"/>
              </w:rPr>
              <w:t>1</w:t>
            </w:r>
            <w:r>
              <w:rPr>
                <w:rFonts w:hint="eastAsia"/>
                <w:color w:val="auto"/>
                <w:highlight w:val="none"/>
              </w:rPr>
              <w:t>、投标人根据现行检测</w:t>
            </w:r>
            <w:r>
              <w:rPr>
                <w:color w:val="auto"/>
                <w:highlight w:val="none"/>
              </w:rPr>
              <w:t>或监测</w:t>
            </w:r>
            <w:r>
              <w:rPr>
                <w:rFonts w:hint="eastAsia"/>
                <w:color w:val="auto"/>
                <w:highlight w:val="none"/>
              </w:rPr>
              <w:t>规范和有关收费标准，严格按招标人提供的工程量清单里的报价表进行报价,不得增减，并严格按工程量清单报价表中项目顺序填写综合单价、总报价,不得改动报价顺序（出现小数的，小数点后保留二位小数，第三位小数四舍五入）。</w:t>
            </w:r>
          </w:p>
          <w:p>
            <w:pPr>
              <w:spacing w:line="276" w:lineRule="auto"/>
              <w:rPr>
                <w:color w:val="auto"/>
                <w:highlight w:val="none"/>
              </w:rPr>
            </w:pPr>
            <w:r>
              <w:rPr>
                <w:color w:val="auto"/>
                <w:highlight w:val="none"/>
              </w:rPr>
              <w:t>2</w:t>
            </w:r>
            <w:r>
              <w:rPr>
                <w:rFonts w:hint="eastAsia"/>
                <w:color w:val="auto"/>
                <w:highlight w:val="none"/>
              </w:rPr>
              <w:t>、投标人应认真阅读本招标文件、技术文件及其他资料，根据招标文件要求的工作范围、工作内容、技术成果深度、服务期、人员和工作量等，确定检测</w:t>
            </w:r>
            <w:r>
              <w:rPr>
                <w:color w:val="auto"/>
                <w:highlight w:val="none"/>
              </w:rPr>
              <w:t>或监测</w:t>
            </w:r>
            <w:r>
              <w:rPr>
                <w:rFonts w:hint="eastAsia"/>
                <w:color w:val="auto"/>
                <w:highlight w:val="none"/>
              </w:rPr>
              <w:t>工作的方法、设备以及费用等，考虑工作量变化的风险、各种不确定因素，以本企业的优势和承受能力，按照市场价格态势结合自身实力和现场踏勘情况合理报价。</w:t>
            </w:r>
          </w:p>
          <w:p>
            <w:pPr>
              <w:spacing w:line="276" w:lineRule="auto"/>
              <w:rPr>
                <w:rFonts w:hint="eastAsia"/>
                <w:color w:val="auto"/>
                <w:highlight w:val="none"/>
              </w:rPr>
            </w:pPr>
            <w:r>
              <w:rPr>
                <w:rFonts w:hint="eastAsia"/>
                <w:color w:val="auto"/>
                <w:highlight w:val="none"/>
              </w:rPr>
              <w:t>3、投标人的投标价均包括但不限于：劳务(含技术人员)费、材料费、机械费(含仪器设备、软件等使用费、进出场费等费用)、设备使用费、设备进出场费、检测试验费、</w:t>
            </w:r>
            <w:r>
              <w:rPr>
                <w:color w:val="auto"/>
                <w:highlight w:val="none"/>
              </w:rPr>
              <w:t>监测设备</w:t>
            </w:r>
            <w:r>
              <w:rPr>
                <w:rFonts w:hint="eastAsia"/>
                <w:color w:val="auto"/>
                <w:highlight w:val="none"/>
              </w:rPr>
              <w:t>费</w:t>
            </w:r>
            <w:r>
              <w:rPr>
                <w:color w:val="auto"/>
                <w:highlight w:val="none"/>
              </w:rPr>
              <w:t>、</w:t>
            </w:r>
            <w:r>
              <w:rPr>
                <w:rFonts w:hint="eastAsia"/>
                <w:color w:val="auto"/>
                <w:highlight w:val="none"/>
              </w:rPr>
              <w:t>报告编写费、临时设施费、差旅交通费、就餐费、住宿费、管理费、规费、利润、税金、保险费、相关协调费及其他实物和技术工作收费等全部相关费用，以及合同明示或暗示的所有责任、义务和风险，是对完成设计图纸及工程量清单约定项目技术服务的全部偿付，与工作相关的其它辅助工作产生的费用已包含在相应的项目的报价中，不再另行计费。该报价也已经包含了为完成所有招标要求所可能产生的不可预见的费用。</w:t>
            </w:r>
          </w:p>
          <w:p>
            <w:pPr>
              <w:pStyle w:val="2"/>
              <w:ind w:firstLine="0" w:firstLineChars="0"/>
              <w:rPr>
                <w:color w:val="auto"/>
                <w:highlight w:val="none"/>
              </w:rPr>
            </w:pPr>
            <w:r>
              <w:rPr>
                <w:rFonts w:hint="eastAsia" w:ascii="宋体" w:hAnsi="宋体" w:eastAsia="宋体" w:cs="Times New Roman"/>
                <w:color w:val="auto"/>
                <w:sz w:val="21"/>
                <w:szCs w:val="21"/>
                <w:highlight w:val="none"/>
                <w:u w:val="single"/>
              </w:rPr>
              <w:t>4、</w:t>
            </w:r>
            <w:r>
              <w:rPr>
                <w:rFonts w:hint="eastAsia" w:ascii="宋体" w:hAnsi="宋体" w:cs="Times New Roman"/>
                <w:color w:val="auto"/>
                <w:sz w:val="21"/>
                <w:szCs w:val="21"/>
                <w:highlight w:val="none"/>
                <w:u w:val="single"/>
                <w:lang w:eastAsia="zh-CN"/>
              </w:rPr>
              <w:t>①</w:t>
            </w:r>
            <w:r>
              <w:rPr>
                <w:rFonts w:hint="eastAsia" w:ascii="仿宋" w:hAnsi="仿宋" w:eastAsia="仿宋"/>
                <w:color w:val="auto"/>
                <w:sz w:val="24"/>
                <w:highlight w:val="none"/>
              </w:rPr>
              <w:t>结算时《</w:t>
            </w:r>
            <w:r>
              <w:rPr>
                <w:rFonts w:hint="eastAsia" w:ascii="仿宋" w:hAnsi="仿宋" w:eastAsia="仿宋" w:cs="Times New Roman"/>
                <w:bCs/>
                <w:color w:val="auto"/>
                <w:sz w:val="24"/>
                <w:highlight w:val="none"/>
                <w:u w:val="none"/>
                <w:lang w:eastAsia="zh-CN"/>
              </w:rPr>
              <w:t>从化区全域土地综合整治试点鳌头万亩良田示范项目第三方检测和监测</w:t>
            </w:r>
            <w:r>
              <w:rPr>
                <w:rFonts w:hint="eastAsia" w:ascii="仿宋" w:hAnsi="仿宋" w:eastAsia="仿宋" w:cs="Times New Roman"/>
                <w:bCs/>
                <w:color w:val="auto"/>
                <w:sz w:val="24"/>
                <w:highlight w:val="none"/>
                <w:u w:val="none"/>
                <w:lang w:val="en-US" w:eastAsia="zh-CN"/>
              </w:rPr>
              <w:t>投标清单</w:t>
            </w:r>
            <w:r>
              <w:rPr>
                <w:rFonts w:hint="eastAsia" w:ascii="仿宋" w:hAnsi="仿宋" w:eastAsia="仿宋"/>
                <w:color w:val="auto"/>
                <w:sz w:val="24"/>
                <w:highlight w:val="none"/>
              </w:rPr>
              <w:t>》中</w:t>
            </w:r>
            <w:r>
              <w:rPr>
                <w:rFonts w:hint="eastAsia" w:ascii="仿宋" w:hAnsi="仿宋" w:eastAsia="仿宋"/>
                <w:color w:val="auto"/>
                <w:sz w:val="24"/>
                <w:highlight w:val="none"/>
                <w:lang w:eastAsia="zh-CN"/>
              </w:rPr>
              <w:t>有</w:t>
            </w:r>
            <w:r>
              <w:rPr>
                <w:rFonts w:hint="eastAsia" w:ascii="仿宋" w:hAnsi="仿宋" w:eastAsia="仿宋"/>
                <w:color w:val="auto"/>
                <w:sz w:val="24"/>
                <w:highlight w:val="none"/>
              </w:rPr>
              <w:t>的检测监测项目，按《</w:t>
            </w:r>
            <w:r>
              <w:rPr>
                <w:rFonts w:hint="eastAsia" w:ascii="仿宋" w:hAnsi="仿宋" w:eastAsia="仿宋" w:cs="Times New Roman"/>
                <w:bCs/>
                <w:color w:val="auto"/>
                <w:sz w:val="24"/>
                <w:highlight w:val="none"/>
                <w:u w:val="none"/>
                <w:lang w:eastAsia="zh-CN"/>
              </w:rPr>
              <w:t>从化区全域土地综合整治试点鳌头万亩良田示范项目第三方检测和监测</w:t>
            </w:r>
            <w:r>
              <w:rPr>
                <w:rFonts w:hint="eastAsia" w:ascii="仿宋" w:hAnsi="仿宋" w:eastAsia="仿宋" w:cs="Times New Roman"/>
                <w:bCs/>
                <w:color w:val="auto"/>
                <w:sz w:val="24"/>
                <w:highlight w:val="none"/>
                <w:u w:val="none"/>
                <w:lang w:val="en-US" w:eastAsia="zh-CN"/>
              </w:rPr>
              <w:t>投标清单</w:t>
            </w:r>
            <w:r>
              <w:rPr>
                <w:rFonts w:hint="eastAsia" w:ascii="仿宋" w:hAnsi="仿宋" w:eastAsia="仿宋"/>
                <w:color w:val="auto"/>
                <w:sz w:val="24"/>
                <w:highlight w:val="none"/>
              </w:rPr>
              <w:t>》的</w:t>
            </w:r>
            <w:r>
              <w:rPr>
                <w:rFonts w:hint="eastAsia" w:ascii="仿宋" w:hAnsi="仿宋" w:eastAsia="仿宋"/>
                <w:color w:val="auto"/>
                <w:sz w:val="24"/>
                <w:highlight w:val="none"/>
                <w:lang w:eastAsia="zh-CN"/>
              </w:rPr>
              <w:t>综合</w:t>
            </w:r>
            <w:r>
              <w:rPr>
                <w:rFonts w:hint="eastAsia" w:ascii="仿宋" w:hAnsi="仿宋" w:eastAsia="仿宋"/>
                <w:color w:val="auto"/>
                <w:sz w:val="24"/>
                <w:highlight w:val="none"/>
              </w:rPr>
              <w:t>单价乘以实际工作量（经委托人、监理、造价咨询单位确认的实际工作量）进行结算</w:t>
            </w:r>
            <w:r>
              <w:rPr>
                <w:rFonts w:hint="eastAsia" w:ascii="仿宋" w:hAnsi="仿宋" w:eastAsia="仿宋"/>
                <w:color w:val="auto"/>
                <w:sz w:val="24"/>
                <w:highlight w:val="none"/>
                <w:lang w:eastAsia="zh-CN"/>
              </w:rPr>
              <w:t>；②</w:t>
            </w:r>
            <w:r>
              <w:rPr>
                <w:rFonts w:hint="eastAsia" w:ascii="仿宋" w:hAnsi="仿宋" w:eastAsia="仿宋"/>
                <w:color w:val="auto"/>
                <w:sz w:val="24"/>
                <w:highlight w:val="none"/>
              </w:rPr>
              <w:t>《</w:t>
            </w:r>
            <w:r>
              <w:rPr>
                <w:rFonts w:hint="eastAsia" w:ascii="仿宋" w:hAnsi="仿宋" w:eastAsia="仿宋" w:cs="Times New Roman"/>
                <w:bCs/>
                <w:color w:val="auto"/>
                <w:sz w:val="24"/>
                <w:highlight w:val="none"/>
                <w:u w:val="none"/>
                <w:lang w:eastAsia="zh-CN"/>
              </w:rPr>
              <w:t>从化区全域土地综合整治试点鳌头万亩良田示范项目第三方检测和监测</w:t>
            </w:r>
            <w:r>
              <w:rPr>
                <w:rFonts w:hint="eastAsia" w:ascii="仿宋" w:hAnsi="仿宋" w:eastAsia="仿宋" w:cs="Times New Roman"/>
                <w:bCs/>
                <w:color w:val="auto"/>
                <w:sz w:val="24"/>
                <w:highlight w:val="none"/>
                <w:u w:val="none"/>
                <w:lang w:val="en-US" w:eastAsia="zh-CN"/>
              </w:rPr>
              <w:t>投标清单</w:t>
            </w:r>
            <w:r>
              <w:rPr>
                <w:rFonts w:hint="eastAsia" w:ascii="仿宋" w:hAnsi="仿宋" w:eastAsia="仿宋"/>
                <w:color w:val="auto"/>
                <w:sz w:val="24"/>
                <w:highlight w:val="none"/>
              </w:rPr>
              <w:t>》中没有的检测项目</w:t>
            </w:r>
            <w:r>
              <w:rPr>
                <w:rFonts w:hint="eastAsia" w:ascii="仿宋" w:hAnsi="仿宋" w:eastAsia="仿宋"/>
                <w:color w:val="auto"/>
                <w:sz w:val="24"/>
                <w:highlight w:val="none"/>
                <w:lang w:eastAsia="zh-CN"/>
              </w:rPr>
              <w:t>及</w:t>
            </w:r>
            <w:r>
              <w:rPr>
                <w:rFonts w:hint="eastAsia" w:ascii="仿宋" w:hAnsi="仿宋" w:eastAsia="仿宋"/>
                <w:color w:val="auto"/>
                <w:sz w:val="24"/>
                <w:highlight w:val="none"/>
                <w:lang w:eastAsia="zh-Hans"/>
              </w:rPr>
              <w:t>无法</w:t>
            </w:r>
            <w:r>
              <w:rPr>
                <w:rFonts w:hint="eastAsia" w:ascii="仿宋" w:hAnsi="仿宋" w:eastAsia="仿宋"/>
                <w:color w:val="auto"/>
                <w:sz w:val="24"/>
                <w:highlight w:val="none"/>
              </w:rPr>
              <w:t>按照国家省市区收费标准</w:t>
            </w:r>
            <w:r>
              <w:rPr>
                <w:rFonts w:hint="eastAsia" w:ascii="仿宋" w:hAnsi="仿宋" w:eastAsia="仿宋"/>
                <w:color w:val="auto"/>
                <w:sz w:val="24"/>
                <w:highlight w:val="none"/>
                <w:lang w:eastAsia="zh-Hans"/>
              </w:rPr>
              <w:t>确定全费用单价的，</w:t>
            </w:r>
            <w:r>
              <w:rPr>
                <w:rFonts w:hint="eastAsia" w:ascii="仿宋" w:hAnsi="仿宋" w:eastAsia="仿宋"/>
                <w:color w:val="auto"/>
                <w:sz w:val="24"/>
                <w:highlight w:val="none"/>
              </w:rPr>
              <w:t>按照委托人认可的行业标准</w:t>
            </w:r>
            <w:r>
              <w:rPr>
                <w:rFonts w:hint="eastAsia" w:ascii="仿宋" w:hAnsi="仿宋" w:eastAsia="仿宋"/>
                <w:color w:val="auto"/>
                <w:sz w:val="24"/>
                <w:highlight w:val="none"/>
                <w:lang w:eastAsia="zh-CN"/>
              </w:rPr>
              <w:t>和</w:t>
            </w:r>
            <w:r>
              <w:rPr>
                <w:rFonts w:hint="eastAsia" w:ascii="仿宋" w:hAnsi="仿宋" w:eastAsia="仿宋"/>
                <w:color w:val="auto"/>
                <w:sz w:val="24"/>
                <w:highlight w:val="none"/>
              </w:rPr>
              <w:t>市场价</w:t>
            </w:r>
            <w:r>
              <w:rPr>
                <w:rFonts w:hint="eastAsia" w:ascii="仿宋" w:hAnsi="仿宋" w:eastAsia="仿宋"/>
                <w:color w:val="auto"/>
                <w:sz w:val="24"/>
                <w:highlight w:val="none"/>
                <w:lang w:eastAsia="zh-Hans"/>
              </w:rPr>
              <w:t>确定全费用单价</w:t>
            </w:r>
            <w:r>
              <w:rPr>
                <w:rFonts w:hint="eastAsia" w:ascii="仿宋" w:hAnsi="仿宋" w:eastAsia="仿宋"/>
                <w:color w:val="auto"/>
                <w:sz w:val="24"/>
                <w:highlight w:val="none"/>
              </w:rPr>
              <w:t>下浮</w:t>
            </w:r>
            <w:r>
              <w:rPr>
                <w:rFonts w:hint="eastAsia" w:ascii="仿宋" w:hAnsi="仿宋" w:eastAsia="仿宋"/>
                <w:color w:val="auto"/>
                <w:sz w:val="24"/>
                <w:highlight w:val="none"/>
                <w:lang w:val="en-US" w:eastAsia="zh-CN"/>
              </w:rPr>
              <w:t>(检测项目下浮30%，监测项目下浮40%)</w:t>
            </w:r>
            <w:r>
              <w:rPr>
                <w:rFonts w:hint="eastAsia" w:ascii="仿宋" w:hAnsi="仿宋" w:eastAsia="仿宋"/>
                <w:color w:val="auto"/>
                <w:sz w:val="24"/>
                <w:highlight w:val="none"/>
                <w:lang w:eastAsia="zh-Hans"/>
              </w:rPr>
              <w:t>，</w:t>
            </w:r>
            <w:r>
              <w:rPr>
                <w:rFonts w:hint="eastAsia" w:ascii="仿宋" w:hAnsi="仿宋" w:eastAsia="仿宋"/>
                <w:color w:val="auto"/>
                <w:sz w:val="24"/>
                <w:highlight w:val="none"/>
              </w:rPr>
              <w:t>乘以实际工作量（经委托人、监理、造价咨询单位确认的实际工作量）进行结算</w:t>
            </w:r>
            <w:r>
              <w:rPr>
                <w:rFonts w:hint="eastAsia" w:ascii="仿宋" w:hAnsi="仿宋" w:eastAsia="仿宋"/>
                <w:color w:val="auto"/>
                <w:sz w:val="24"/>
                <w:highlight w:val="none"/>
                <w:lang w:eastAsia="zh-CN"/>
              </w:rPr>
              <w:t>；③</w:t>
            </w:r>
            <w:r>
              <w:rPr>
                <w:rFonts w:hint="eastAsia" w:ascii="仿宋" w:hAnsi="仿宋" w:eastAsia="仿宋"/>
                <w:color w:val="auto"/>
                <w:sz w:val="24"/>
                <w:highlight w:val="none"/>
              </w:rPr>
              <w:t>《</w:t>
            </w:r>
            <w:r>
              <w:rPr>
                <w:rFonts w:hint="eastAsia" w:ascii="仿宋" w:hAnsi="仿宋" w:eastAsia="仿宋" w:cs="Times New Roman"/>
                <w:bCs/>
                <w:color w:val="auto"/>
                <w:sz w:val="24"/>
                <w:highlight w:val="none"/>
                <w:u w:val="none"/>
                <w:lang w:eastAsia="zh-CN"/>
              </w:rPr>
              <w:t>从化区全域土地综合整治试点鳌头万亩良田示范项目第三方检测和监测</w:t>
            </w:r>
            <w:r>
              <w:rPr>
                <w:rFonts w:hint="eastAsia" w:ascii="仿宋" w:hAnsi="仿宋" w:eastAsia="仿宋" w:cs="Times New Roman"/>
                <w:bCs/>
                <w:color w:val="auto"/>
                <w:sz w:val="24"/>
                <w:highlight w:val="none"/>
                <w:u w:val="none"/>
                <w:lang w:val="en-US" w:eastAsia="zh-CN"/>
              </w:rPr>
              <w:t>投标清单</w:t>
            </w:r>
            <w:r>
              <w:rPr>
                <w:rFonts w:hint="eastAsia" w:ascii="仿宋" w:hAnsi="仿宋" w:eastAsia="仿宋"/>
                <w:color w:val="auto"/>
                <w:sz w:val="24"/>
                <w:highlight w:val="none"/>
              </w:rPr>
              <w:t>》以外的检测项目涉及两个及以上收费标准的，按最低价格计取</w:t>
            </w:r>
            <w:r>
              <w:rPr>
                <w:rFonts w:hint="eastAsia" w:ascii="仿宋" w:hAnsi="仿宋" w:eastAsia="仿宋"/>
                <w:color w:val="auto"/>
                <w:sz w:val="24"/>
                <w:highlight w:val="none"/>
                <w:lang w:eastAsia="zh-CN"/>
              </w:rPr>
              <w:t>；④</w:t>
            </w:r>
            <w:r>
              <w:rPr>
                <w:rFonts w:hint="eastAsia" w:ascii="仿宋" w:hAnsi="仿宋" w:eastAsia="仿宋"/>
                <w:color w:val="auto"/>
                <w:sz w:val="24"/>
                <w:highlight w:val="none"/>
                <w:lang w:val="en-US" w:eastAsia="zh-CN"/>
              </w:rPr>
              <w:t>1）</w:t>
            </w:r>
            <w:r>
              <w:rPr>
                <w:rFonts w:hint="eastAsia" w:ascii="仿宋" w:hAnsi="仿宋" w:eastAsia="仿宋" w:cs="Times New Roman"/>
                <w:color w:val="auto"/>
                <w:sz w:val="24"/>
                <w:highlight w:val="none"/>
                <w:lang w:eastAsia="zh-CN"/>
              </w:rPr>
              <w:t>当结算总价大于签订合同价或概算评审价时，以合同价或概算评审价较低者作为封顶结算价。</w:t>
            </w:r>
            <w:r>
              <w:rPr>
                <w:rFonts w:hint="eastAsia" w:ascii="仿宋" w:hAnsi="仿宋" w:eastAsia="仿宋" w:cs="Times New Roman"/>
                <w:color w:val="auto"/>
                <w:sz w:val="24"/>
                <w:highlight w:val="none"/>
                <w:lang w:val="en-US" w:eastAsia="zh-CN"/>
              </w:rPr>
              <w:t>2）</w:t>
            </w:r>
            <w:r>
              <w:rPr>
                <w:rFonts w:hint="eastAsia" w:ascii="仿宋" w:hAnsi="仿宋" w:eastAsia="仿宋" w:cs="Times New Roman"/>
                <w:color w:val="auto"/>
                <w:sz w:val="24"/>
                <w:highlight w:val="none"/>
                <w:lang w:eastAsia="zh-CN"/>
              </w:rPr>
              <w:t>当结算价小于签订合同价时，以合同投标单价进行包干，工程量按实结算。</w:t>
            </w:r>
            <w:r>
              <w:rPr>
                <w:rFonts w:hint="eastAsia" w:ascii="仿宋" w:hAnsi="仿宋" w:eastAsia="仿宋" w:cs="Times New Roman"/>
                <w:color w:val="auto"/>
                <w:sz w:val="24"/>
                <w:highlight w:val="none"/>
              </w:rPr>
              <w:t>最终结算以</w:t>
            </w:r>
            <w:r>
              <w:rPr>
                <w:rFonts w:hint="eastAsia" w:ascii="仿宋" w:hAnsi="仿宋" w:eastAsia="仿宋" w:cs="Times New Roman"/>
                <w:color w:val="auto"/>
                <w:sz w:val="24"/>
                <w:highlight w:val="none"/>
                <w:lang w:eastAsia="zh-CN"/>
              </w:rPr>
              <w:t>从化区财政部门</w:t>
            </w:r>
            <w:r>
              <w:rPr>
                <w:rFonts w:hint="eastAsia" w:ascii="仿宋" w:hAnsi="仿宋" w:eastAsia="仿宋" w:cs="Times New Roman"/>
                <w:color w:val="auto"/>
                <w:sz w:val="24"/>
                <w:highlight w:val="none"/>
              </w:rPr>
              <w:t>审定结算价为准。</w:t>
            </w:r>
            <w:r>
              <w:rPr>
                <w:rFonts w:hint="eastAsia" w:ascii="宋体" w:hAnsi="宋体" w:eastAsia="宋体" w:cs="Times New Roman"/>
                <w:color w:val="auto"/>
                <w:sz w:val="21"/>
                <w:szCs w:val="21"/>
                <w:highlight w:val="none"/>
                <w:u w:val="single"/>
              </w:rPr>
              <w:t>如收费标准中检测项目的单价需另行计算技术服务费或者机械设备进退场费的，请检测单位自行综合考虑，不予另行计算。</w:t>
            </w:r>
          </w:p>
          <w:p>
            <w:pPr>
              <w:spacing w:line="276" w:lineRule="auto"/>
              <w:rPr>
                <w:color w:val="auto"/>
                <w:highlight w:val="none"/>
              </w:rPr>
            </w:pPr>
            <w:r>
              <w:rPr>
                <w:rFonts w:hint="eastAsia"/>
                <w:color w:val="auto"/>
                <w:highlight w:val="none"/>
                <w:lang w:val="en-US" w:eastAsia="zh-CN"/>
              </w:rPr>
              <w:t>5</w:t>
            </w:r>
            <w:r>
              <w:rPr>
                <w:rFonts w:hint="eastAsia"/>
                <w:color w:val="auto"/>
                <w:highlight w:val="none"/>
              </w:rPr>
              <w:t>、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pPr>
              <w:spacing w:line="400" w:lineRule="exact"/>
              <w:rPr>
                <w:rFonts w:hint="eastAsia"/>
                <w:color w:val="auto"/>
                <w:highlight w:val="none"/>
              </w:rPr>
            </w:pPr>
            <w:r>
              <w:rPr>
                <w:rFonts w:hint="eastAsia"/>
                <w:color w:val="auto"/>
                <w:highlight w:val="none"/>
                <w:lang w:val="en-US" w:eastAsia="zh-CN"/>
              </w:rPr>
              <w:t>6</w:t>
            </w:r>
            <w:r>
              <w:rPr>
                <w:rFonts w:hint="eastAsia"/>
                <w:color w:val="auto"/>
                <w:highlight w:val="none"/>
              </w:rPr>
              <w:t>、投标人的投标总报价不得超过最高投标限价，且各项单价报价不得高于粤建检协[2015]8号文件的收费指导价</w:t>
            </w:r>
            <w:r>
              <w:rPr>
                <w:rFonts w:hint="eastAsia"/>
                <w:color w:val="auto"/>
                <w:highlight w:val="none"/>
                <w:u w:val="single"/>
                <w:lang w:eastAsia="zh-CN"/>
              </w:rPr>
              <w:t>及招标工程量清单最高限价</w:t>
            </w:r>
            <w:r>
              <w:rPr>
                <w:rFonts w:hint="eastAsia"/>
                <w:color w:val="auto"/>
                <w:highlight w:val="none"/>
              </w:rPr>
              <w:t>。</w:t>
            </w:r>
          </w:p>
          <w:p>
            <w:pPr>
              <w:pStyle w:val="2"/>
              <w:ind w:firstLine="0" w:firstLineChars="0"/>
              <w:rPr>
                <w:rFonts w:hint="eastAsia"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90日历天（从提交投标截止之日起计算。如出现异议或投诉，则投标有效期自动延长至异议或投诉处理结束）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926" w:type="dxa"/>
            <w:vAlign w:val="center"/>
          </w:tcPr>
          <w:p>
            <w:pPr>
              <w:spacing w:line="400" w:lineRule="exact"/>
              <w:rPr>
                <w:color w:val="auto"/>
                <w:highlight w:val="none"/>
              </w:rPr>
            </w:pPr>
            <w:r>
              <w:rPr>
                <w:rFonts w:hint="eastAsia"/>
                <w:color w:val="auto"/>
                <w:highlight w:val="none"/>
              </w:rPr>
              <w:t>是否要求投标人递交投标保证金：</w:t>
            </w:r>
          </w:p>
          <w:p>
            <w:pPr>
              <w:spacing w:line="400" w:lineRule="exact"/>
              <w:rPr>
                <w:color w:val="auto"/>
                <w:highlight w:val="none"/>
              </w:rPr>
            </w:pPr>
            <w:r>
              <w:rPr>
                <w:rFonts w:hint="eastAsia"/>
                <w:color w:val="auto"/>
                <w:highlight w:val="none"/>
              </w:rPr>
              <w:sym w:font="Wingdings 2" w:char="00A3"/>
            </w:r>
            <w:r>
              <w:rPr>
                <w:rFonts w:hint="eastAsia"/>
                <w:color w:val="auto"/>
                <w:highlight w:val="none"/>
              </w:rPr>
              <w:t>不要求递交投标保证金。</w:t>
            </w:r>
          </w:p>
          <w:p>
            <w:pPr>
              <w:spacing w:line="400" w:lineRule="exact"/>
              <w:rPr>
                <w:color w:val="auto"/>
                <w:highlight w:val="none"/>
              </w:rPr>
            </w:pPr>
            <w:r>
              <w:rPr>
                <w:rFonts w:hint="eastAsia"/>
                <w:color w:val="auto"/>
                <w:highlight w:val="none"/>
              </w:rPr>
              <w:sym w:font="Wingdings 2" w:char="0052"/>
            </w:r>
            <w:r>
              <w:rPr>
                <w:rFonts w:hint="eastAsia"/>
                <w:color w:val="auto"/>
                <w:highlight w:val="none"/>
              </w:rPr>
              <w:t>要求递交投标保证金。</w:t>
            </w:r>
          </w:p>
          <w:p>
            <w:pPr>
              <w:spacing w:line="400" w:lineRule="exact"/>
              <w:ind w:firstLine="640"/>
              <w:rPr>
                <w:color w:val="auto"/>
                <w:highlight w:val="none"/>
              </w:rPr>
            </w:pPr>
            <w:r>
              <w:rPr>
                <w:rFonts w:hint="eastAsia"/>
                <w:color w:val="auto"/>
                <w:highlight w:val="none"/>
              </w:rPr>
              <w:t>投标保证金的金额：</w:t>
            </w:r>
            <w:r>
              <w:rPr>
                <w:rFonts w:hint="eastAsia"/>
                <w:color w:val="auto"/>
                <w:highlight w:val="none"/>
                <w:u w:val="single"/>
              </w:rPr>
              <w:t xml:space="preserve"> 2 </w:t>
            </w:r>
            <w:r>
              <w:rPr>
                <w:rFonts w:hint="eastAsia"/>
                <w:color w:val="auto"/>
                <w:highlight w:val="none"/>
              </w:rPr>
              <w:t xml:space="preserve">万元 </w:t>
            </w:r>
          </w:p>
          <w:p>
            <w:pPr>
              <w:spacing w:line="400" w:lineRule="exact"/>
              <w:ind w:firstLine="640"/>
              <w:rPr>
                <w:color w:val="auto"/>
                <w:highlight w:val="none"/>
              </w:rPr>
            </w:pPr>
            <w:r>
              <w:rPr>
                <w:rFonts w:hint="eastAsia"/>
                <w:color w:val="auto"/>
                <w:highlight w:val="none"/>
              </w:rPr>
              <w:t>投标保证金有效期：与投标有效期一致。</w:t>
            </w:r>
          </w:p>
          <w:p>
            <w:pPr>
              <w:spacing w:line="400" w:lineRule="exact"/>
              <w:rPr>
                <w:color w:val="auto"/>
                <w:highlight w:val="none"/>
              </w:rPr>
            </w:pPr>
            <w:r>
              <w:rPr>
                <w:color w:val="auto"/>
                <w:highlight w:val="none"/>
              </w:rPr>
              <w:t>投标保证金可采用现金、支票、</w:t>
            </w:r>
            <w:r>
              <w:rPr>
                <w:rFonts w:hint="eastAsia"/>
                <w:color w:val="auto"/>
                <w:highlight w:val="none"/>
              </w:rPr>
              <w:t>银行</w:t>
            </w:r>
            <w:r>
              <w:rPr>
                <w:color w:val="auto"/>
                <w:highlight w:val="none"/>
              </w:rPr>
              <w:t>保函、保证保险</w:t>
            </w:r>
            <w:r>
              <w:rPr>
                <w:rFonts w:hint="eastAsia"/>
                <w:color w:val="auto"/>
                <w:highlight w:val="none"/>
              </w:rPr>
              <w:t>、专业担保公司担保等</w:t>
            </w:r>
            <w:r>
              <w:rPr>
                <w:color w:val="auto"/>
                <w:highlight w:val="none"/>
              </w:rPr>
              <w:t>形式</w:t>
            </w:r>
            <w:r>
              <w:rPr>
                <w:rFonts w:hint="eastAsia"/>
                <w:color w:val="auto"/>
                <w:highlight w:val="none"/>
              </w:rPr>
              <w:t>，须在递交投标文件截止时间前完成缴纳。</w:t>
            </w:r>
          </w:p>
          <w:p>
            <w:pPr>
              <w:spacing w:line="400" w:lineRule="exact"/>
              <w:rPr>
                <w:color w:val="auto"/>
                <w:highlight w:val="none"/>
              </w:rPr>
            </w:pPr>
            <w:r>
              <w:rPr>
                <w:rFonts w:hint="eastAsia"/>
                <w:color w:val="auto"/>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400" w:lineRule="exact"/>
              <w:rPr>
                <w:color w:val="auto"/>
                <w:highlight w:val="none"/>
              </w:rPr>
            </w:pPr>
            <w:r>
              <w:rPr>
                <w:rFonts w:hint="eastAsia"/>
                <w:color w:val="auto"/>
                <w:highlight w:val="none"/>
              </w:rPr>
              <w:t>投标人需在交易系统中将汇入投标保证金与投标项目进行绑定，绑定成功后才能被认定为完成缴交投标保证金义务。</w:t>
            </w:r>
          </w:p>
          <w:p>
            <w:pPr>
              <w:spacing w:line="400" w:lineRule="exact"/>
              <w:rPr>
                <w:color w:val="auto"/>
                <w:highlight w:val="none"/>
              </w:rPr>
            </w:pPr>
            <w:r>
              <w:rPr>
                <w:rFonts w:hint="eastAsia"/>
                <w:color w:val="auto"/>
                <w:highlight w:val="none"/>
              </w:rPr>
              <w:t>收款单位：广州交易集团有限公司，开户银行：中国建设银行广州天润路支行，银行账号：44001583404059333333；</w:t>
            </w:r>
          </w:p>
          <w:p>
            <w:pPr>
              <w:spacing w:line="400" w:lineRule="exact"/>
              <w:rPr>
                <w:color w:val="auto"/>
                <w:highlight w:val="none"/>
              </w:rPr>
            </w:pPr>
            <w:r>
              <w:rPr>
                <w:rFonts w:hint="eastAsia"/>
                <w:color w:val="auto"/>
                <w:highlight w:val="none"/>
              </w:rPr>
              <w:t>2、如采用银行保函或保证保险或专业担保公司担保的形式提交的，银行保函需开具给招标人（必须是公司基本账户开户银行出具的银行保函）。保证保险或专业担保公司担保需开具给招标人（受益人也必须是招标人），开具保证保险的保险费必须由投标人基本账户银行转账汇入保险公司指定的账户。在开标前不强制要求提交纸质原件，由中标候选人在中标候选人公示前提交并在网上公示，但投标人应在投标文件中提交银行保函或投标保险或专业担保公司担保等的扫描件并加盖投标人电子印章。如投标人选择在开标前提交纸质原件的，可在投标截止时间前15分钟单独密封递交至开标室。</w:t>
            </w:r>
          </w:p>
          <w:p>
            <w:pPr>
              <w:spacing w:line="400" w:lineRule="exact"/>
              <w:rPr>
                <w:color w:val="auto"/>
                <w:highlight w:val="none"/>
              </w:rPr>
            </w:pPr>
            <w:r>
              <w:rPr>
                <w:rFonts w:hint="eastAsia"/>
                <w:color w:val="auto"/>
                <w:highlight w:val="none"/>
              </w:rPr>
              <w:t>3、如采用电子保函方式提交投标保证金，详见广州公共资源交易中心操作指引，到账情况以开标时广州公共资源交易中心数据库查询信息为准。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投标人采用不正当的手段骗取中标经查实的，不予退还投标保证金。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不允许</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3.7.3A（2）</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投标文件副本份数及其他要求</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3.7.3A（3）</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投标文件是否需分册装订</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附件《</w:t>
            </w:r>
            <w:r>
              <w:rPr>
                <w:rFonts w:hint="eastAsia" w:ascii="宋体" w:hAnsi="宋体" w:cs="宋体"/>
                <w:color w:val="auto"/>
                <w:highlight w:val="none"/>
                <w:u w:val="single"/>
              </w:rPr>
              <w:t>房屋建筑和市政基础设施工程全流程电子化项目专章</w:t>
            </w: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4.1.1（B）</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网上递交的电子投标文件须进行加密。具体操作详见附件《</w:t>
            </w:r>
            <w:r>
              <w:rPr>
                <w:rFonts w:hint="eastAsia" w:ascii="宋体" w:hAnsi="宋体" w:cs="宋体"/>
                <w:color w:val="auto"/>
                <w:highlight w:val="none"/>
                <w:u w:val="single"/>
              </w:rPr>
              <w:t>房屋建筑和市政基础设施工程全流程电子化项目专章</w:t>
            </w: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1"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926" w:type="dxa"/>
            <w:vAlign w:val="center"/>
          </w:tcPr>
          <w:p>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u w:val="single"/>
              </w:rPr>
              <w:t>如有提交投标文件光盘和纸质保函或保险的，封套上应注明如下信息：</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hint="eastAsia" w:ascii="宋体" w:hAnsi="宋体" w:cs="宋体"/>
                <w:color w:val="auto"/>
                <w:szCs w:val="21"/>
                <w:highlight w:val="none"/>
                <w:u w:val="single"/>
              </w:rPr>
              <w:t>广州市从化区鳌头镇人民政府</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招标人地址：</w:t>
            </w:r>
            <w:r>
              <w:rPr>
                <w:rFonts w:hint="eastAsia" w:ascii="宋体" w:hAnsi="宋体" w:cs="宋体"/>
                <w:color w:val="auto"/>
                <w:szCs w:val="21"/>
                <w:highlight w:val="none"/>
                <w:u w:val="single"/>
              </w:rPr>
              <w:t>广州市从化区鳌头镇新城西路9号</w:t>
            </w:r>
          </w:p>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从化区全域土地综合整治试点鳌头万亩良田示范项目第三方检测和监测</w:t>
            </w:r>
            <w:r>
              <w:rPr>
                <w:rFonts w:hint="eastAsia" w:ascii="宋体" w:hAnsi="宋体" w:cs="宋体"/>
                <w:color w:val="auto"/>
                <w:szCs w:val="21"/>
                <w:highlight w:val="none"/>
              </w:rPr>
              <w:t>招标项目投标文件（备用光盘/保函或保险）</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招标项目编号：</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投标人地址：</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4.2.2（A）</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highlight w:val="none"/>
                <w:u w:val="single"/>
              </w:rPr>
              <w:t>4.2.2 （B）</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递交投标文件地点</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1.递交方式：网上递交投标文件。</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 xml:space="preserve">2.地点：广州公共资源交易中心网站。 </w:t>
            </w:r>
          </w:p>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5.1（A）</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5.1（B）</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开标时间和地点</w:t>
            </w:r>
          </w:p>
        </w:tc>
        <w:tc>
          <w:tcPr>
            <w:tcW w:w="5926" w:type="dxa"/>
            <w:vAlign w:val="center"/>
          </w:tcPr>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同投标截止时间</w:t>
            </w:r>
          </w:p>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开标地点：</w:t>
            </w:r>
            <w:r>
              <w:rPr>
                <w:rFonts w:hint="eastAsia" w:ascii="宋体" w:hAnsi="宋体" w:cs="宋体"/>
                <w:color w:val="auto"/>
                <w:szCs w:val="21"/>
                <w:highlight w:val="none"/>
                <w:u w:val="single"/>
              </w:rPr>
              <w:t>广州公共资源交易中心第     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8"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5.2</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开标程序</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修改为：</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5.2.1主持人按下列程序进行开标：</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（3）宣布开标人、唱标人、记录人、监标人等有关人员姓名；</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（4）（B）投标人通过电子招标投标交易平台对已递交的电子投标文件进行解密，公布招标项目名称、投标人名称、投标保证金的递交情况、投标报价、服务期限及其他内容，并记录在案；</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（5）（B）投标人代表、招标人代表、监标人、记录人等有关人员在开标记录上签字确认；若有关人员不签字的，不影响开标程序；</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（6）开标结束。</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u w:val="single"/>
              </w:rPr>
              <w:t>评标委员会在开标前由招标人依法组建。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中国招标投标公共服务平台、广东省招标投标监管网、广州公共资源交易网。</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日（最后一日为工作日）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7.4</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□是</w:t>
            </w:r>
          </w:p>
          <w:p>
            <w:pPr>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是否要求中标人提交履约保证金：</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要求，履约保证金的形式：</w:t>
            </w:r>
            <w:r>
              <w:rPr>
                <w:rFonts w:hint="eastAsia" w:ascii="宋体" w:hAnsi="宋体" w:cs="宋体"/>
                <w:color w:val="auto"/>
                <w:szCs w:val="21"/>
                <w:highlight w:val="none"/>
                <w:u w:val="single"/>
              </w:rPr>
              <w:t>可包括但不限于现金、银行保函、保证保险、担保保函等</w:t>
            </w:r>
          </w:p>
          <w:p>
            <w:pPr>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履约保证金的金额：中标价款（人民币）10%。</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□否</w:t>
            </w:r>
          </w:p>
          <w:p>
            <w:pPr>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4"/>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是，具体要求：</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1、具体操作详见附件《房屋建筑和市政基础设施工程全流程电子化项目专章》。</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2、现场提交投标文件光盘备用</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3、补救方案</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（1）投标文件解密失败的补救方案：</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（2）评标时突发情况的补救方案</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若遇不可抗力发生（如：网络瘫痪、服务器损坏、交易系统故障短期无法恢复等因素），由评标委员会开启现场递交的全部投标文件光盘，并按光盘内容进行评审。</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168"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407" w:type="dxa"/>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926" w:type="dxa"/>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10.1</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招标失败的情形</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本项目采用资格后审，满足资格审查合格条件的投标人不足3名、或经评审有效的投标单位不足3名时为该标段招标失败。招标人分析招标失败原因，修正招标方案，重新组织招标。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10.2</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交易服务费</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中标人按《广州市发展改革委转发省发展改革委关于规范公共资源交易服务收费及有关问题的通知》（穗发改〔2017〕811号）文件的规定，向广州公共资源交易中心代缴交易服务费，交易服务费的金额为中标总金额的0.9‰，其费用包含在中标人投标报价中，招标人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10.3</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其他要求</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10.4</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投标文件公开</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168"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10.5</w:t>
            </w:r>
          </w:p>
        </w:tc>
        <w:tc>
          <w:tcPr>
            <w:tcW w:w="2407" w:type="dxa"/>
            <w:vAlign w:val="center"/>
          </w:tcPr>
          <w:p>
            <w:pPr>
              <w:spacing w:line="40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补交纸质投标文件</w:t>
            </w:r>
          </w:p>
        </w:tc>
        <w:tc>
          <w:tcPr>
            <w:tcW w:w="5926" w:type="dxa"/>
            <w:vAlign w:val="center"/>
          </w:tcPr>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中标单位领取中标通知书时，补送</w:t>
            </w:r>
            <w:r>
              <w:rPr>
                <w:rFonts w:hint="eastAsia" w:ascii="宋体" w:hAnsi="宋体" w:cs="宋体"/>
                <w:b/>
                <w:color w:val="auto"/>
                <w:szCs w:val="21"/>
                <w:highlight w:val="none"/>
                <w:u w:val="single"/>
              </w:rPr>
              <w:t>一正两副</w:t>
            </w:r>
            <w:r>
              <w:rPr>
                <w:rFonts w:hint="eastAsia" w:ascii="宋体" w:hAnsi="宋体" w:cs="宋体"/>
                <w:color w:val="auto"/>
                <w:szCs w:val="21"/>
                <w:highlight w:val="none"/>
                <w:u w:val="single"/>
              </w:rPr>
              <w:t>与交易平台网上递交的电子投标文件一致的</w:t>
            </w:r>
            <w:r>
              <w:rPr>
                <w:rFonts w:hint="eastAsia" w:ascii="宋体" w:hAnsi="宋体" w:cs="宋体"/>
                <w:b/>
                <w:color w:val="auto"/>
                <w:szCs w:val="21"/>
                <w:highlight w:val="none"/>
                <w:u w:val="single"/>
              </w:rPr>
              <w:t>书面投标文件（加盖公章）</w:t>
            </w:r>
            <w:r>
              <w:rPr>
                <w:rFonts w:hint="eastAsia" w:ascii="宋体" w:hAnsi="宋体" w:cs="宋体"/>
                <w:color w:val="auto"/>
                <w:szCs w:val="21"/>
                <w:highlight w:val="none"/>
                <w:u w:val="single"/>
              </w:rPr>
              <w:t>及一份与书面投标文件一致的“PDF”格式制作的电子文件（光盘或U盘）给招标人。</w:t>
            </w:r>
          </w:p>
        </w:tc>
      </w:tr>
    </w:tbl>
    <w:p>
      <w:pPr>
        <w:pStyle w:val="2"/>
        <w:ind w:firstLine="210"/>
        <w:rPr>
          <w:color w:val="auto"/>
          <w:highlight w:val="none"/>
        </w:rPr>
      </w:pPr>
      <w:bookmarkStart w:id="4" w:name="_Toc535834436"/>
    </w:p>
    <w:p>
      <w:pPr>
        <w:pStyle w:val="2"/>
        <w:ind w:firstLine="210"/>
        <w:rPr>
          <w:color w:val="auto"/>
          <w:highlight w:val="none"/>
        </w:rPr>
      </w:pPr>
    </w:p>
    <w:p>
      <w:pPr>
        <w:pStyle w:val="6"/>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 总则</w:t>
      </w:r>
      <w:bookmarkEnd w:id="4"/>
    </w:p>
    <w:p>
      <w:pPr>
        <w:pStyle w:val="7"/>
        <w:spacing w:before="62" w:beforeLines="20" w:after="62" w:afterLines="20" w:line="360" w:lineRule="auto"/>
        <w:rPr>
          <w:rFonts w:ascii="宋体" w:hAnsi="宋体" w:cs="宋体"/>
          <w:color w:val="auto"/>
          <w:highlight w:val="none"/>
        </w:rPr>
      </w:pPr>
      <w:bookmarkStart w:id="5" w:name="_Toc535834437"/>
      <w:r>
        <w:rPr>
          <w:rFonts w:hint="eastAsia" w:ascii="宋体" w:hAnsi="宋体" w:cs="宋体"/>
          <w:color w:val="auto"/>
          <w:highlight w:val="none"/>
        </w:rPr>
        <w:t>1.1 招标项目概况</w:t>
      </w:r>
      <w:bookmarkEnd w:id="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根据《中华人民共和国招标投标法》、《中华人民共和国招标投标法实施条例》等有关法律、法规和规章的规定，本招标项目已具备招标条件，现对</w:t>
      </w:r>
      <w:r>
        <w:rPr>
          <w:rFonts w:hint="eastAsia" w:ascii="宋体" w:hAnsi="宋体" w:cs="宋体"/>
          <w:color w:val="auto"/>
          <w:highlight w:val="none"/>
          <w:u w:val="single"/>
        </w:rPr>
        <w:t>该项目</w:t>
      </w:r>
      <w:r>
        <w:rPr>
          <w:rFonts w:hint="eastAsia" w:ascii="宋体" w:hAnsi="宋体" w:cs="宋体"/>
          <w:color w:val="auto"/>
          <w:highlight w:val="none"/>
        </w:rPr>
        <w:t>进行招标。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招标人：见投标人须知前附表。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招标代理机构：见投标人须知前附表。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招标项目名称：见投标人须知前附表。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1.1.5 项目建设地点：见投标人须知前附表。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1.1.6 项目建设规模：见投标人须知前附表。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1.1.7 工程项目</w:t>
      </w:r>
      <w:r>
        <w:rPr>
          <w:rFonts w:hint="eastAsia" w:ascii="宋体" w:hAnsi="宋体" w:cs="宋体"/>
          <w:strike/>
          <w:color w:val="auto"/>
          <w:szCs w:val="21"/>
          <w:highlight w:val="none"/>
        </w:rPr>
        <w:t>施工</w:t>
      </w:r>
      <w:r>
        <w:rPr>
          <w:rFonts w:hint="eastAsia" w:ascii="宋体" w:hAnsi="宋体" w:cs="宋体"/>
          <w:color w:val="auto"/>
          <w:highlight w:val="none"/>
        </w:rPr>
        <w:t>预计开工日期和建设周期：见投标人须知前附表。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1.1.8 建筑安装工程费/工程概算：见投标人须知前附表。</w:t>
      </w:r>
    </w:p>
    <w:p>
      <w:pPr>
        <w:pStyle w:val="7"/>
        <w:spacing w:before="62" w:beforeLines="20" w:after="62" w:afterLines="20" w:line="360" w:lineRule="auto"/>
        <w:rPr>
          <w:rFonts w:ascii="宋体" w:hAnsi="宋体" w:cs="宋体"/>
          <w:color w:val="auto"/>
          <w:highlight w:val="none"/>
        </w:rPr>
      </w:pPr>
      <w:bookmarkStart w:id="6" w:name="_Toc535834438"/>
      <w:r>
        <w:rPr>
          <w:rFonts w:hint="eastAsia" w:ascii="宋体" w:hAnsi="宋体" w:cs="宋体"/>
          <w:color w:val="auto"/>
          <w:highlight w:val="none"/>
        </w:rPr>
        <w:t>1.2 招标项目的资金来源和落实情况</w:t>
      </w:r>
      <w:bookmarkEnd w:id="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pPr>
        <w:pStyle w:val="7"/>
        <w:spacing w:before="62" w:beforeLines="20" w:after="62" w:afterLines="20" w:line="360" w:lineRule="auto"/>
        <w:rPr>
          <w:rFonts w:ascii="宋体" w:hAnsi="宋体" w:cs="宋体"/>
          <w:color w:val="auto"/>
          <w:highlight w:val="none"/>
        </w:rPr>
      </w:pPr>
      <w:bookmarkStart w:id="7" w:name="_Toc535834439"/>
      <w:r>
        <w:rPr>
          <w:rFonts w:hint="eastAsia" w:ascii="宋体" w:hAnsi="宋体" w:cs="宋体"/>
          <w:color w:val="auto"/>
          <w:highlight w:val="none"/>
        </w:rPr>
        <w:t>1.3 招标范围、服务期限和质量标准</w:t>
      </w:r>
      <w:bookmarkEnd w:id="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1.3.1 招标范围：见投标人须知前附表。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1.3.2 服务期限：见投标人须知前附表。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1.3.3 质量标准：见投标人须知前附表。</w:t>
      </w:r>
    </w:p>
    <w:p>
      <w:pPr>
        <w:pStyle w:val="7"/>
        <w:spacing w:before="62" w:beforeLines="20" w:after="62" w:afterLines="20" w:line="360" w:lineRule="auto"/>
        <w:rPr>
          <w:rFonts w:ascii="宋体" w:hAnsi="宋体" w:cs="宋体"/>
          <w:color w:val="auto"/>
          <w:highlight w:val="none"/>
        </w:rPr>
      </w:pPr>
      <w:bookmarkStart w:id="8" w:name="_Toc535834440"/>
      <w:r>
        <w:rPr>
          <w:rFonts w:hint="eastAsia" w:ascii="宋体" w:hAnsi="宋体" w:cs="宋体"/>
          <w:color w:val="auto"/>
          <w:highlight w:val="none"/>
        </w:rPr>
        <w:t>1.4 投标人资格要求</w:t>
      </w:r>
      <w:bookmarkEnd w:id="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 投标人应具备承担本招标项目资质条件、能力和信誉：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（1）资质要求：见投标人须知前附表；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color w:val="auto"/>
          <w:sz w:val="24"/>
          <w:highlight w:val="none"/>
        </w:rPr>
        <w:t>CMA</w:t>
      </w:r>
      <w:r>
        <w:rPr>
          <w:rFonts w:hint="eastAsia"/>
          <w:color w:val="auto"/>
          <w:sz w:val="24"/>
          <w:highlight w:val="none"/>
        </w:rPr>
        <w:t>计量认证要求：</w:t>
      </w:r>
      <w:r>
        <w:rPr>
          <w:rFonts w:hint="eastAsia" w:ascii="宋体" w:hAnsi="宋体" w:cs="宋体"/>
          <w:color w:val="auto"/>
          <w:highlight w:val="none"/>
        </w:rPr>
        <w:t>见投标人须知前附表</w:t>
      </w:r>
      <w:r>
        <w:rPr>
          <w:rFonts w:hint="eastAsia" w:ascii="宋体" w:hAnsi="宋体" w:cs="宋体"/>
          <w:color w:val="auto"/>
          <w:sz w:val="24"/>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（3）财务要求：见投标人须知前附表；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（4）业绩要求：见投标人须知前附表；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（5）信誉要求：见投标人须知前附表；</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（6）</w:t>
      </w:r>
      <w:r>
        <w:rPr>
          <w:rFonts w:hint="eastAsia" w:ascii="宋体" w:hAnsi="宋体" w:cs="宋体"/>
          <w:color w:val="auto"/>
          <w:szCs w:val="21"/>
          <w:highlight w:val="none"/>
          <w:u w:val="single"/>
        </w:rPr>
        <w:t>项目负责人</w:t>
      </w:r>
      <w:r>
        <w:rPr>
          <w:rFonts w:hint="eastAsia" w:ascii="宋体" w:hAnsi="宋体" w:cs="宋体"/>
          <w:color w:val="auto"/>
          <w:highlight w:val="none"/>
        </w:rPr>
        <w:t>的资格要求：</w:t>
      </w:r>
      <w:r>
        <w:rPr>
          <w:rFonts w:hint="eastAsia" w:ascii="宋体" w:hAnsi="宋体" w:cs="宋体"/>
          <w:color w:val="auto"/>
          <w:highlight w:val="none"/>
          <w:u w:val="single"/>
        </w:rPr>
        <w:t>具体要求见投标人须知前附表；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（7）其他主要人员要求：见投标人须知前附表。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（8）试验检测仪器设备要求：见投标人须知前附表。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（9）其他要求：见投标人须知前附表。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需要提交的相关证明材料见本章第 3.5 款的规定。</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（3）联合体各方不得再以自己名义单独或参加其他联合体在本招标项目中投标，否则各相关投标均无效。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1.4.3 投标人不得存在下列情形之一：</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（1）为招标人不具有独立法人资格的附属机构（单位）；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（2）与招标人存在利害关系且可能影响招标公正性；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（3）与本招标项目的其他投标人为同一个单位负责人；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（4）与本招标项目的其他投标人存在控股、管理关系；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（5）为本招标项目的代建人；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（6）为本招标项目的招标代理机构；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（7）与本招标项目的代建人或招标代理机构同为一个法定代表人；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（8）与本招标项目的代建人或招标代理机构存在控股或参股关系；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（9）与本招标项目的施工承包人以及建筑材料、建筑构配件和设备供应商有隶属关系或者其他利害关系；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（10）被依法暂停或者取消投标资格；</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（11）被责令停产停业、暂扣或者吊销许可证、暂扣或者吊销执照；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（12）进入清算程序，或被宣告破产，或其他丧失履约能力的情形；</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（13）在最近三年内发生重大</w:t>
      </w:r>
      <w:r>
        <w:rPr>
          <w:rFonts w:hint="eastAsia" w:ascii="宋体" w:hAnsi="宋体" w:cs="宋体"/>
          <w:color w:val="auto"/>
          <w:highlight w:val="none"/>
          <w:u w:val="single"/>
        </w:rPr>
        <w:t>检测及监测</w:t>
      </w:r>
      <w:r>
        <w:rPr>
          <w:rFonts w:hint="eastAsia" w:ascii="宋体" w:hAnsi="宋体" w:cs="宋体"/>
          <w:color w:val="auto"/>
          <w:highlight w:val="none"/>
        </w:rPr>
        <w:t>质量问题（以相关行业主管部门的行政处罚决定或司法机关出具的有关法律文书为准）；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（14）被工商行政管理机关在全国企业信用信息公示系统中列入严重违法失信企业名单；</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（15）被最高人民法院在“信用中国”网站（www.creditchina.gov.cn）或各级信用信息共享平台中列入失信被执行人名单；</w:t>
      </w:r>
    </w:p>
    <w:p>
      <w:pPr>
        <w:spacing w:line="360" w:lineRule="auto"/>
        <w:ind w:firstLine="420" w:firstLineChars="200"/>
        <w:rPr>
          <w:rFonts w:ascii="宋体" w:hAnsi="宋体" w:cs="宋体"/>
          <w:strike/>
          <w:color w:val="auto"/>
          <w:szCs w:val="21"/>
          <w:highlight w:val="none"/>
        </w:rPr>
      </w:pPr>
      <w:r>
        <w:rPr>
          <w:rFonts w:hint="eastAsia" w:ascii="宋体" w:hAnsi="宋体" w:cs="宋体"/>
          <w:color w:val="auto"/>
          <w:szCs w:val="21"/>
          <w:highlight w:val="none"/>
        </w:rPr>
        <w:t>（16）在近三年内投标人或其法定代表人、拟委任的</w:t>
      </w:r>
      <w:r>
        <w:rPr>
          <w:rFonts w:hint="eastAsia" w:ascii="宋体" w:hAnsi="宋体" w:cs="宋体"/>
          <w:color w:val="auto"/>
          <w:szCs w:val="21"/>
          <w:highlight w:val="none"/>
          <w:u w:val="single"/>
        </w:rPr>
        <w:t>项目负责人</w:t>
      </w:r>
      <w:r>
        <w:rPr>
          <w:rFonts w:hint="eastAsia" w:ascii="宋体" w:hAnsi="宋体" w:cs="宋体"/>
          <w:color w:val="auto"/>
          <w:szCs w:val="21"/>
          <w:highlight w:val="none"/>
        </w:rPr>
        <w:t>有行贿犯罪行为的</w:t>
      </w:r>
      <w:r>
        <w:rPr>
          <w:rFonts w:hint="eastAsia" w:ascii="宋体" w:hAnsi="宋体" w:cs="宋体"/>
          <w:strike/>
          <w:color w:val="auto"/>
          <w:szCs w:val="21"/>
          <w:highlight w:val="none"/>
        </w:rPr>
        <w:t>（以 检察机关职务犯罪预防部门出具的查询结果为准）；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（17）法律法规或投标人须知前附表规定的其他情形。</w:t>
      </w:r>
    </w:p>
    <w:p>
      <w:pPr>
        <w:pStyle w:val="7"/>
        <w:spacing w:before="62" w:beforeLines="20" w:after="62" w:afterLines="20" w:line="360" w:lineRule="auto"/>
        <w:rPr>
          <w:rFonts w:ascii="宋体" w:hAnsi="宋体" w:cs="宋体"/>
          <w:color w:val="auto"/>
          <w:highlight w:val="none"/>
        </w:rPr>
      </w:pPr>
      <w:bookmarkStart w:id="9" w:name="_Toc535834441"/>
      <w:r>
        <w:rPr>
          <w:rFonts w:hint="eastAsia" w:ascii="宋体" w:hAnsi="宋体" w:cs="宋体"/>
          <w:color w:val="auto"/>
          <w:highlight w:val="none"/>
        </w:rPr>
        <w:t>1.5 费用承担</w:t>
      </w:r>
      <w:bookmarkEnd w:id="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pPr>
        <w:pStyle w:val="7"/>
        <w:spacing w:before="62" w:beforeLines="20" w:after="62" w:afterLines="20" w:line="360" w:lineRule="auto"/>
        <w:rPr>
          <w:rFonts w:ascii="宋体" w:hAnsi="宋体" w:cs="宋体"/>
          <w:color w:val="auto"/>
          <w:highlight w:val="none"/>
        </w:rPr>
      </w:pPr>
      <w:bookmarkStart w:id="10" w:name="_Toc535834442"/>
      <w:r>
        <w:rPr>
          <w:rFonts w:hint="eastAsia" w:ascii="宋体" w:hAnsi="宋体" w:cs="宋体"/>
          <w:color w:val="auto"/>
          <w:highlight w:val="none"/>
        </w:rPr>
        <w:t>1.6 保密</w:t>
      </w:r>
      <w:bookmarkEnd w:id="10"/>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参与招标投标活动的各方应对招标文件和投标文件中的商业和技术等秘密保密，否则应承担相应的法律责任。</w:t>
      </w:r>
    </w:p>
    <w:p>
      <w:pPr>
        <w:pStyle w:val="7"/>
        <w:spacing w:before="62" w:beforeLines="20" w:after="62" w:afterLines="20" w:line="360" w:lineRule="auto"/>
        <w:rPr>
          <w:rFonts w:ascii="宋体" w:hAnsi="宋体" w:cs="宋体"/>
          <w:color w:val="auto"/>
          <w:highlight w:val="none"/>
        </w:rPr>
      </w:pPr>
      <w:bookmarkStart w:id="11" w:name="_Toc535834443"/>
      <w:r>
        <w:rPr>
          <w:rFonts w:hint="eastAsia" w:ascii="宋体" w:hAnsi="宋体" w:cs="宋体"/>
          <w:color w:val="auto"/>
          <w:highlight w:val="none"/>
        </w:rPr>
        <w:t>1.7 语言文字</w:t>
      </w:r>
      <w:bookmarkEnd w:id="1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pPr>
        <w:pStyle w:val="7"/>
        <w:spacing w:before="62" w:beforeLines="20" w:after="62" w:afterLines="20" w:line="360" w:lineRule="auto"/>
        <w:rPr>
          <w:rFonts w:ascii="宋体" w:hAnsi="宋体" w:cs="宋体"/>
          <w:color w:val="auto"/>
          <w:highlight w:val="none"/>
        </w:rPr>
      </w:pPr>
      <w:bookmarkStart w:id="12" w:name="_Toc535834444"/>
      <w:r>
        <w:rPr>
          <w:rFonts w:hint="eastAsia" w:ascii="宋体" w:hAnsi="宋体" w:cs="宋体"/>
          <w:color w:val="auto"/>
          <w:highlight w:val="none"/>
        </w:rPr>
        <w:t>1.8 计量单位</w:t>
      </w:r>
      <w:bookmarkEnd w:id="12"/>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pPr>
        <w:pStyle w:val="7"/>
        <w:spacing w:before="62" w:beforeLines="20" w:after="62" w:afterLines="20" w:line="360" w:lineRule="auto"/>
        <w:rPr>
          <w:rFonts w:ascii="宋体" w:hAnsi="宋体" w:cs="宋体"/>
          <w:color w:val="auto"/>
          <w:highlight w:val="none"/>
        </w:rPr>
      </w:pPr>
      <w:bookmarkStart w:id="13" w:name="_Toc535834445"/>
      <w:r>
        <w:rPr>
          <w:rFonts w:hint="eastAsia" w:ascii="宋体" w:hAnsi="宋体" w:cs="宋体"/>
          <w:color w:val="auto"/>
          <w:highlight w:val="none"/>
        </w:rPr>
        <w:t>1.9 踏勘现场</w:t>
      </w:r>
      <w:bookmarkEnd w:id="1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pPr>
        <w:pStyle w:val="7"/>
        <w:spacing w:before="62" w:beforeLines="20" w:after="62" w:afterLines="20" w:line="360" w:lineRule="auto"/>
        <w:rPr>
          <w:rFonts w:ascii="宋体" w:hAnsi="宋体" w:cs="宋体"/>
          <w:color w:val="auto"/>
          <w:highlight w:val="none"/>
        </w:rPr>
      </w:pPr>
      <w:bookmarkStart w:id="14" w:name="_Toc535834446"/>
      <w:r>
        <w:rPr>
          <w:rFonts w:hint="eastAsia" w:ascii="宋体" w:hAnsi="宋体" w:cs="宋体"/>
          <w:color w:val="auto"/>
          <w:highlight w:val="none"/>
        </w:rPr>
        <w:t>1.10 投标预备会</w:t>
      </w:r>
      <w:bookmarkEnd w:id="14"/>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1.10.2  投标人应按投标人须知前附表规定的时间和形式将提出的问题送达招标人，以便招标人在会议期间澄清。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1.10.3  投标预备会后，招标人将对投标人所提问题的澄清，以投标人须知前附表规定的形式通知所有潜在投标人。该澄清内容为招标文件的组成部分。</w:t>
      </w:r>
    </w:p>
    <w:p>
      <w:pPr>
        <w:pStyle w:val="7"/>
        <w:spacing w:before="62" w:beforeLines="20" w:after="62" w:afterLines="20" w:line="360" w:lineRule="auto"/>
        <w:rPr>
          <w:rFonts w:ascii="宋体" w:hAnsi="宋体" w:cs="宋体"/>
          <w:color w:val="auto"/>
          <w:highlight w:val="none"/>
        </w:rPr>
      </w:pPr>
      <w:bookmarkStart w:id="15" w:name="_Toc535834447"/>
      <w:r>
        <w:rPr>
          <w:rFonts w:hint="eastAsia" w:ascii="宋体" w:hAnsi="宋体" w:cs="宋体"/>
          <w:color w:val="auto"/>
          <w:highlight w:val="none"/>
        </w:rPr>
        <w:t>1.11 分包</w:t>
      </w:r>
      <w:bookmarkEnd w:id="1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本项目严禁分包。</w:t>
      </w:r>
    </w:p>
    <w:p>
      <w:pPr>
        <w:pStyle w:val="7"/>
        <w:spacing w:before="62" w:beforeLines="20" w:after="62" w:afterLines="20" w:line="360" w:lineRule="auto"/>
        <w:rPr>
          <w:rFonts w:ascii="宋体" w:hAnsi="宋体" w:cs="宋体"/>
          <w:color w:val="auto"/>
          <w:highlight w:val="none"/>
        </w:rPr>
      </w:pPr>
      <w:bookmarkStart w:id="16" w:name="_Toc535834448"/>
      <w:r>
        <w:rPr>
          <w:rFonts w:hint="eastAsia" w:ascii="宋体" w:hAnsi="宋体" w:cs="宋体"/>
          <w:color w:val="auto"/>
          <w:highlight w:val="none"/>
        </w:rPr>
        <w:t>1.12 响应和偏差</w:t>
      </w:r>
      <w:bookmarkEnd w:id="1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1.12.2 投标人应根据招标文件的要求提供投标</w:t>
      </w:r>
      <w:r>
        <w:rPr>
          <w:rFonts w:hint="eastAsia" w:ascii="宋体" w:hAnsi="宋体" w:cs="宋体"/>
          <w:color w:val="auto"/>
          <w:highlight w:val="none"/>
          <w:u w:val="single"/>
        </w:rPr>
        <w:t>检测方案</w:t>
      </w:r>
      <w:r>
        <w:rPr>
          <w:rFonts w:hint="eastAsia" w:ascii="宋体" w:hAnsi="宋体" w:cs="宋体"/>
          <w:color w:val="auto"/>
          <w:highlight w:val="none"/>
        </w:rPr>
        <w:t>等内容以对招标文件作出响应。</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1.12.3 投标人须知前附表允许投标文件偏离招标文件某些要求的，偏差应当符合招标文件规定的偏差范围和幅度。</w:t>
      </w:r>
    </w:p>
    <w:p>
      <w:pPr>
        <w:pStyle w:val="6"/>
        <w:rPr>
          <w:rFonts w:ascii="宋体" w:hAnsi="宋体" w:eastAsia="宋体" w:cs="宋体"/>
          <w:color w:val="auto"/>
          <w:highlight w:val="none"/>
        </w:rPr>
      </w:pPr>
      <w:bookmarkStart w:id="17" w:name="_Toc535834449"/>
      <w:r>
        <w:rPr>
          <w:rFonts w:hint="eastAsia" w:ascii="宋体" w:hAnsi="宋体" w:eastAsia="宋体" w:cs="宋体"/>
          <w:color w:val="auto"/>
          <w:highlight w:val="none"/>
        </w:rPr>
        <w:t>2. 招标文件</w:t>
      </w:r>
      <w:bookmarkEnd w:id="17"/>
    </w:p>
    <w:p>
      <w:pPr>
        <w:pStyle w:val="7"/>
        <w:spacing w:before="62" w:beforeLines="20" w:after="62" w:afterLines="20" w:line="360" w:lineRule="auto"/>
        <w:rPr>
          <w:rFonts w:ascii="宋体" w:hAnsi="宋体" w:cs="宋体"/>
          <w:color w:val="auto"/>
          <w:highlight w:val="none"/>
        </w:rPr>
      </w:pPr>
      <w:bookmarkStart w:id="18" w:name="_Toc535834450"/>
      <w:r>
        <w:rPr>
          <w:rFonts w:hint="eastAsia" w:ascii="宋体" w:hAnsi="宋体" w:cs="宋体"/>
          <w:color w:val="auto"/>
          <w:highlight w:val="none"/>
        </w:rPr>
        <w:t>2.1 招标文件的组成</w:t>
      </w:r>
      <w:bookmarkEnd w:id="1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本招标文件包括：</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（1）招标公告（或投标邀请书）；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（2）投标人须知；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（3）评标办法；</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（4）合同条款及格式（另册）；</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（5）委托人要求；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（6）投标文件格式；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（7）投标人须知前附表规定的其他资料。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 1.10 款、第 2.2 款和第 2.3 款对招标文件所作的澄清、修改，构成招标文件的组成部分。</w:t>
      </w:r>
    </w:p>
    <w:p>
      <w:pPr>
        <w:pStyle w:val="7"/>
        <w:spacing w:before="62" w:beforeLines="20" w:after="62" w:afterLines="20" w:line="360" w:lineRule="auto"/>
        <w:rPr>
          <w:rFonts w:ascii="宋体" w:hAnsi="宋体" w:cs="宋体"/>
          <w:color w:val="auto"/>
          <w:highlight w:val="none"/>
        </w:rPr>
      </w:pPr>
      <w:bookmarkStart w:id="19" w:name="_Toc535834451"/>
      <w:r>
        <w:rPr>
          <w:rFonts w:hint="eastAsia" w:ascii="宋体" w:hAnsi="宋体" w:cs="宋体"/>
          <w:color w:val="auto"/>
          <w:highlight w:val="none"/>
        </w:rPr>
        <w:t>2.2 招标文件的澄清</w:t>
      </w:r>
      <w:bookmarkEnd w:id="1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招标文件的澄清以投标人须知前附表规定的形式发给所有潜在投标人，但不指明澄清问题的来源。澄清发出的时间距本章第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投标人在收到澄清后，应按投标人须知前附表规定的时间和形式通知招标人，确认已收到该澄清。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除非招标人认为确有必要答复，否则，招标人有权拒绝回复投标人在本章第 2.2.1 项规定的时间后的任何澄清要求。</w:t>
      </w:r>
    </w:p>
    <w:p>
      <w:pPr>
        <w:pStyle w:val="7"/>
        <w:spacing w:before="62" w:beforeLines="20" w:after="62" w:afterLines="20" w:line="360" w:lineRule="auto"/>
        <w:rPr>
          <w:rFonts w:ascii="宋体" w:hAnsi="宋体" w:cs="宋体"/>
          <w:color w:val="auto"/>
          <w:highlight w:val="none"/>
        </w:rPr>
      </w:pPr>
      <w:bookmarkStart w:id="20" w:name="_Toc535834452"/>
      <w:r>
        <w:rPr>
          <w:rFonts w:hint="eastAsia" w:ascii="宋体" w:hAnsi="宋体" w:cs="宋体"/>
          <w:color w:val="auto"/>
          <w:highlight w:val="none"/>
        </w:rPr>
        <w:t>2.3 招标文件的修改</w:t>
      </w:r>
      <w:bookmarkEnd w:id="20"/>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2.3.1 招标人以投标人须知前附表规定的形式修改招标文件，并通知所有潜在投标人。修改招标文件的时间距本章第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 投标人收到修改内容后，应按投标人须知前附表规定的时间和形式通知招标人，确认已收到该修改。</w:t>
      </w:r>
    </w:p>
    <w:p>
      <w:pPr>
        <w:pStyle w:val="7"/>
        <w:spacing w:before="62" w:beforeLines="20" w:after="62" w:afterLines="20" w:line="360" w:lineRule="auto"/>
        <w:rPr>
          <w:rFonts w:ascii="宋体" w:hAnsi="宋体" w:cs="宋体"/>
          <w:color w:val="auto"/>
          <w:highlight w:val="none"/>
        </w:rPr>
      </w:pPr>
      <w:bookmarkStart w:id="21" w:name="_Toc535834453"/>
      <w:r>
        <w:rPr>
          <w:rFonts w:hint="eastAsia" w:ascii="宋体" w:hAnsi="宋体" w:cs="宋体"/>
          <w:color w:val="auto"/>
          <w:highlight w:val="none"/>
        </w:rPr>
        <w:t>2.4 招标文件的异议</w:t>
      </w:r>
      <w:bookmarkEnd w:id="2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投标人或者其他利害关系人对招标文件有异议的，应当在投标截止时间 10 日前以书面形式提出。招标人将在收到异议之日起 3 日内作出答复；作出答复前，将暂停招标投标活动。</w:t>
      </w:r>
    </w:p>
    <w:p>
      <w:pPr>
        <w:pStyle w:val="6"/>
        <w:rPr>
          <w:rFonts w:ascii="宋体" w:hAnsi="宋体" w:eastAsia="宋体" w:cs="宋体"/>
          <w:color w:val="auto"/>
          <w:highlight w:val="none"/>
        </w:rPr>
      </w:pPr>
      <w:bookmarkStart w:id="22" w:name="_Toc535834454"/>
      <w:r>
        <w:rPr>
          <w:rFonts w:hint="eastAsia" w:ascii="宋体" w:hAnsi="宋体" w:eastAsia="宋体" w:cs="宋体"/>
          <w:color w:val="auto"/>
          <w:highlight w:val="none"/>
        </w:rPr>
        <w:t>3. 投标文件</w:t>
      </w:r>
      <w:bookmarkEnd w:id="22"/>
    </w:p>
    <w:p>
      <w:pPr>
        <w:pStyle w:val="7"/>
        <w:spacing w:before="62" w:beforeLines="20" w:after="62" w:afterLines="20" w:line="360" w:lineRule="auto"/>
        <w:rPr>
          <w:rFonts w:ascii="宋体" w:hAnsi="宋体" w:cs="宋体"/>
          <w:color w:val="auto"/>
          <w:highlight w:val="none"/>
        </w:rPr>
      </w:pPr>
      <w:bookmarkStart w:id="23" w:name="_Toc535834455"/>
      <w:r>
        <w:rPr>
          <w:rFonts w:hint="eastAsia" w:ascii="宋体" w:hAnsi="宋体" w:cs="宋体"/>
          <w:color w:val="auto"/>
          <w:highlight w:val="none"/>
        </w:rPr>
        <w:t>3.1 投标文件的组成</w:t>
      </w:r>
      <w:bookmarkEnd w:id="2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投标文件应包括下列内容：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（1）投标函及投标函附录；</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（2）法定代表人身份证明或授权委托书；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（3）联合体协议书；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（4）投标保证金；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（5）投标报价书；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（6）资格审查资料；</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（7）</w:t>
      </w:r>
      <w:r>
        <w:rPr>
          <w:rFonts w:hint="eastAsia" w:ascii="宋体" w:hAnsi="宋体" w:cs="宋体"/>
          <w:color w:val="auto"/>
          <w:highlight w:val="none"/>
          <w:u w:val="single"/>
        </w:rPr>
        <w:t>检测方案；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highlight w:val="none"/>
          <w:u w:val="single"/>
        </w:rPr>
        <w:t>投标单位情况介绍：</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① 一般情况表；</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② 投标单位简历表；</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③ 拟委派的项目负责人、技术负责人及投入本项目的主要技术人员的组成情况；</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④ 拟委派的项目负责人、技术负责人及投入本项目的主要技术人员简历；</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⑤ 拟投入本项目的主要试验检测及监测设备；</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⑥ 投标单位201</w:t>
      </w:r>
      <w:r>
        <w:rPr>
          <w:rFonts w:ascii="宋体" w:hAnsi="宋体" w:cs="宋体"/>
          <w:color w:val="auto"/>
          <w:highlight w:val="none"/>
          <w:u w:val="single"/>
        </w:rPr>
        <w:t>9</w:t>
      </w:r>
      <w:r>
        <w:rPr>
          <w:rFonts w:hint="eastAsia" w:ascii="宋体" w:hAnsi="宋体" w:cs="宋体"/>
          <w:color w:val="auto"/>
          <w:highlight w:val="none"/>
          <w:u w:val="single"/>
        </w:rPr>
        <w:t>年1月1日至今承担过类似业绩；</w:t>
      </w:r>
    </w:p>
    <w:p>
      <w:pPr>
        <w:spacing w:line="360" w:lineRule="auto"/>
        <w:ind w:left="1260" w:leftChars="450" w:hanging="315" w:hangingChars="150"/>
        <w:rPr>
          <w:rFonts w:ascii="宋体" w:hAnsi="宋体" w:cs="宋体"/>
          <w:color w:val="auto"/>
          <w:highlight w:val="none"/>
          <w:u w:val="single"/>
        </w:rPr>
      </w:pPr>
      <w:r>
        <w:rPr>
          <w:rFonts w:hint="eastAsia" w:ascii="宋体" w:hAnsi="宋体" w:cs="宋体"/>
          <w:color w:val="auto"/>
          <w:highlight w:val="none"/>
          <w:u w:val="single"/>
        </w:rPr>
        <w:t>⑦ 其他证明企业资信实力、获奖证明资料等复印件。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（9）投标人须知前附表规定的其他资料。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投标人在评标过程中作出的符合法律法规和招标文件规定的澄清确认，构成投标文件的组成部分。</w:t>
      </w:r>
    </w:p>
    <w:p>
      <w:pPr>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 xml:space="preserve">3.1.2 </w:t>
      </w:r>
      <w:r>
        <w:rPr>
          <w:rFonts w:hint="eastAsia" w:ascii="宋体" w:hAnsi="宋体" w:cs="宋体"/>
          <w:b/>
          <w:bCs/>
          <w:color w:val="auto"/>
          <w:highlight w:val="none"/>
        </w:rPr>
        <w:t>投标人须知前附表规定不接受联合体投标的，或投标人没有组成联合体的，投标文件不包括本章第 3.1.1（3）目所指的联合体协议书。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 投标人须知前附表未要求提交投标保证金的，投标文件不包括本章第 3.1.1（4）目所指的投标保证金。</w:t>
      </w:r>
    </w:p>
    <w:p>
      <w:pPr>
        <w:pStyle w:val="7"/>
        <w:spacing w:before="62" w:beforeLines="20" w:after="62" w:afterLines="20" w:line="360" w:lineRule="auto"/>
        <w:rPr>
          <w:rFonts w:ascii="宋体" w:hAnsi="宋体" w:cs="宋体"/>
          <w:color w:val="auto"/>
          <w:highlight w:val="none"/>
        </w:rPr>
      </w:pPr>
      <w:bookmarkStart w:id="24" w:name="_Toc535834456"/>
      <w:r>
        <w:rPr>
          <w:rFonts w:hint="eastAsia" w:ascii="宋体" w:hAnsi="宋体" w:cs="宋体"/>
          <w:color w:val="auto"/>
          <w:highlight w:val="none"/>
        </w:rPr>
        <w:t>3.2 投标报价</w:t>
      </w:r>
      <w:bookmarkEnd w:id="24"/>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3.2.1 投标报价应包括国家规定的增值税税金，除投标人须知前附表另有规定外，增值税税金按一般计税方法计算。投标人应按第六章“投标文件格式”的要求在投标函中进行报价并填写报价书。</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 投标人应充分了解该项目的总体情况以及影响投标报价的其他要素。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本项目的报价方式见投标人须知前附表。投标人在投标截止时间前修改投标函中的投标报价总额，应同时修改投标文件“报价书”中的相应报价。此修改须符合本章第 4.3 款的有关要求。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3.2.5 投标报价的其他要求见投标人须知前附表。</w:t>
      </w:r>
    </w:p>
    <w:p>
      <w:pPr>
        <w:pStyle w:val="7"/>
        <w:spacing w:before="62" w:beforeLines="20" w:after="62" w:afterLines="20" w:line="360" w:lineRule="auto"/>
        <w:rPr>
          <w:rFonts w:ascii="宋体" w:hAnsi="宋体" w:cs="宋体"/>
          <w:color w:val="auto"/>
          <w:highlight w:val="none"/>
        </w:rPr>
      </w:pPr>
      <w:bookmarkStart w:id="25" w:name="_Toc535834457"/>
      <w:r>
        <w:rPr>
          <w:rFonts w:hint="eastAsia" w:ascii="宋体" w:hAnsi="宋体" w:cs="宋体"/>
          <w:color w:val="auto"/>
          <w:highlight w:val="none"/>
        </w:rPr>
        <w:t>3.3 投标有效期</w:t>
      </w:r>
      <w:bookmarkEnd w:id="2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除投标人须知前附表另有规定外，投标有效期为 90 天。</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在投标有效期内，投标人撤销投标文件的，应承担招标文件和法律规定的责任。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spacing w:before="62" w:beforeLines="20" w:after="62" w:afterLines="20" w:line="360" w:lineRule="auto"/>
        <w:rPr>
          <w:rFonts w:ascii="宋体" w:hAnsi="宋体" w:cs="宋体"/>
          <w:color w:val="auto"/>
          <w:highlight w:val="none"/>
        </w:rPr>
      </w:pPr>
      <w:bookmarkStart w:id="26" w:name="_Toc535834458"/>
      <w:r>
        <w:rPr>
          <w:rFonts w:hint="eastAsia" w:ascii="宋体" w:hAnsi="宋体" w:cs="宋体"/>
          <w:color w:val="auto"/>
          <w:highlight w:val="none"/>
        </w:rPr>
        <w:t>3.4 投标保证金</w:t>
      </w:r>
      <w:bookmarkEnd w:id="2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3.4.2 投标人不按本章第 3.4.1 项要求提交投标保证金的，评标委员会将否决其投标。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w:t>
      </w:r>
      <w:r>
        <w:rPr>
          <w:rFonts w:hint="eastAsia" w:ascii="宋体" w:hAnsi="宋体" w:cs="宋体"/>
          <w:color w:val="auto"/>
          <w:highlight w:val="none"/>
          <w:u w:val="single"/>
        </w:rPr>
        <w:t>投标保证金应依据法律法规的相关规定退还</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3.4.4 有下列情形之一的，投标保证金将不予退还：</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（1）投标人在投标有效期内撤销投标文件；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（3）发生投标人须知前附表规定的其他可以不予退还投标保证金的情形。</w:t>
      </w:r>
    </w:p>
    <w:p>
      <w:pPr>
        <w:pStyle w:val="7"/>
        <w:spacing w:before="62" w:beforeLines="20" w:after="62" w:afterLines="20" w:line="360" w:lineRule="auto"/>
        <w:rPr>
          <w:rFonts w:ascii="宋体" w:hAnsi="宋体" w:cs="宋体"/>
          <w:color w:val="auto"/>
          <w:highlight w:val="none"/>
        </w:rPr>
      </w:pPr>
      <w:bookmarkStart w:id="27" w:name="_Toc535834460"/>
      <w:r>
        <w:rPr>
          <w:rFonts w:hint="eastAsia" w:ascii="宋体" w:hAnsi="宋体" w:cs="宋体"/>
          <w:color w:val="auto"/>
          <w:highlight w:val="none"/>
        </w:rPr>
        <w:t>3.5 资格审查资料（适用于未进行资格预审的）</w:t>
      </w:r>
      <w:bookmarkEnd w:id="2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3.5.1投标人参加投标的意思表达清楚，投标人代表被授权有效；按招标文件第六章所附格式内容要求签署盖章的《投标申请公函》；</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3.5.2投标人具有独立法人资格，持有事业单位登记管理部门核发的事业单位法人证书或工商行政管理部门核发的企业法人营业执照，且在营业期限内。；</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3.5.3建设工程质量检测机构资质证书；</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3.5.4 CMA计量认证合格证书；</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3.5.5 资格审查前，投标人须在广州公共资源交易中心平台完成企业信息登记；</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3.5.6项目负责人职称证书；</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3.5.7投标人已按照招标公告附件一的内容签署盖章的《投标人声明》；</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3.5.8投标人已按照招标公告附件二的内容签署盖章《投标承诺函》；</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3.5.9投标人近二年（从招标公告发布年度起逆推2年的1月1日起至投标截止时间止）未因以往检测工作中存在伪造检测数据、出具虚假检测报告的行为被各级建设行政主管部门或市场监督管理部门行政处罚或通报的（按投标人提供的《投标人声明》第三条内容进行评审）；</w:t>
      </w:r>
    </w:p>
    <w:p>
      <w:pPr>
        <w:pStyle w:val="2"/>
        <w:ind w:firstLineChars="200"/>
        <w:rPr>
          <w:rFonts w:ascii="宋体" w:hAnsi="宋体" w:cs="宋体"/>
          <w:color w:val="auto"/>
          <w:highlight w:val="none"/>
          <w:u w:val="single"/>
        </w:rPr>
      </w:pPr>
      <w:r>
        <w:rPr>
          <w:rFonts w:hint="eastAsia" w:ascii="宋体" w:hAnsi="宋体" w:cs="宋体"/>
          <w:color w:val="auto"/>
          <w:highlight w:val="none"/>
          <w:u w:val="single"/>
        </w:rPr>
        <w:t>3.5.10其他满足投标人资格要求的证明材料（如有）。</w:t>
      </w:r>
    </w:p>
    <w:p>
      <w:pPr>
        <w:pStyle w:val="7"/>
        <w:spacing w:before="62" w:beforeLines="20" w:after="62" w:afterLines="20" w:line="360" w:lineRule="auto"/>
        <w:rPr>
          <w:rFonts w:ascii="宋体" w:hAnsi="宋体" w:cs="宋体"/>
          <w:color w:val="auto"/>
          <w:highlight w:val="none"/>
        </w:rPr>
      </w:pPr>
      <w:bookmarkStart w:id="28" w:name="_Toc535834461"/>
      <w:r>
        <w:rPr>
          <w:rFonts w:hint="eastAsia" w:ascii="宋体" w:hAnsi="宋体" w:cs="宋体"/>
          <w:color w:val="auto"/>
          <w:highlight w:val="none"/>
        </w:rPr>
        <w:t>3.6 备选投标方案</w:t>
      </w:r>
      <w:bookmarkEnd w:id="2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 除投标人须知前附表规定允许外，投标人不得递交备选投标方案，否则其投标将被否决。</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3.6.3 投标人提供两个或两个以上投标报价，或者在投标文件中提供一个报价，但同时提供两个或两个以上</w:t>
      </w:r>
      <w:r>
        <w:rPr>
          <w:rFonts w:hint="eastAsia" w:ascii="宋体" w:hAnsi="宋体" w:cs="宋体"/>
          <w:color w:val="auto"/>
          <w:highlight w:val="none"/>
          <w:u w:val="single"/>
        </w:rPr>
        <w:t>投标</w:t>
      </w:r>
      <w:r>
        <w:rPr>
          <w:rFonts w:hint="eastAsia" w:ascii="宋体" w:hAnsi="宋体" w:cs="宋体"/>
          <w:color w:val="auto"/>
          <w:highlight w:val="none"/>
        </w:rPr>
        <w:t>方案的，视为提供备选方案。</w:t>
      </w:r>
    </w:p>
    <w:p>
      <w:pPr>
        <w:pStyle w:val="7"/>
        <w:spacing w:before="62" w:beforeLines="20" w:after="62" w:afterLines="20" w:line="360" w:lineRule="auto"/>
        <w:rPr>
          <w:rFonts w:ascii="宋体" w:hAnsi="宋体" w:cs="宋体"/>
          <w:color w:val="auto"/>
          <w:highlight w:val="none"/>
        </w:rPr>
      </w:pPr>
      <w:bookmarkStart w:id="29" w:name="_Toc535834462"/>
      <w:r>
        <w:rPr>
          <w:rFonts w:hint="eastAsia" w:ascii="宋体" w:hAnsi="宋体" w:cs="宋体"/>
          <w:color w:val="auto"/>
          <w:highlight w:val="none"/>
        </w:rPr>
        <w:t>3.7 投标文件的编制</w:t>
      </w:r>
      <w:bookmarkEnd w:id="2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3.7.2 投标文件应当对招标文件有关服务期限、投标有效期、招标范围等实质性内容作出响应。</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6"/>
        <w:rPr>
          <w:rFonts w:ascii="宋体" w:hAnsi="宋体" w:eastAsia="宋体" w:cs="宋体"/>
          <w:color w:val="auto"/>
          <w:highlight w:val="none"/>
        </w:rPr>
      </w:pPr>
      <w:bookmarkStart w:id="30" w:name="_Toc535834463"/>
      <w:r>
        <w:rPr>
          <w:rFonts w:hint="eastAsia" w:ascii="宋体" w:hAnsi="宋体" w:eastAsia="宋体" w:cs="宋体"/>
          <w:color w:val="auto"/>
          <w:highlight w:val="none"/>
        </w:rPr>
        <w:t>4. 投标</w:t>
      </w:r>
      <w:bookmarkEnd w:id="30"/>
    </w:p>
    <w:p>
      <w:pPr>
        <w:pStyle w:val="7"/>
        <w:spacing w:before="62" w:beforeLines="20" w:after="62" w:afterLines="20" w:line="360" w:lineRule="auto"/>
        <w:rPr>
          <w:rFonts w:ascii="宋体" w:hAnsi="宋体" w:cs="宋体"/>
          <w:color w:val="auto"/>
          <w:highlight w:val="none"/>
        </w:rPr>
      </w:pPr>
      <w:bookmarkStart w:id="31" w:name="_Toc535834464"/>
      <w:r>
        <w:rPr>
          <w:rFonts w:hint="eastAsia" w:ascii="宋体" w:hAnsi="宋体" w:cs="宋体"/>
          <w:color w:val="auto"/>
          <w:highlight w:val="none"/>
        </w:rPr>
        <w:t>4.1 投标文件的密封和标记</w:t>
      </w:r>
      <w:bookmarkEnd w:id="3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 （B）投标人应当按照招标文件和电子招标投标交易平台的要求加密投标文件，具体要求见投标人须知前附表。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投标文件封套上应写明的内容见投标人须知前附表。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4.1.3 未按本章第 4.1.1 项要求密封的投标文件，招标人将予以拒收。</w:t>
      </w:r>
    </w:p>
    <w:p>
      <w:pPr>
        <w:pStyle w:val="7"/>
        <w:spacing w:before="62" w:beforeLines="20" w:after="62" w:afterLines="20" w:line="360" w:lineRule="auto"/>
        <w:rPr>
          <w:rFonts w:ascii="宋体" w:hAnsi="宋体" w:cs="宋体"/>
          <w:color w:val="auto"/>
          <w:highlight w:val="none"/>
        </w:rPr>
      </w:pPr>
      <w:bookmarkStart w:id="32" w:name="_Toc535834465"/>
      <w:r>
        <w:rPr>
          <w:rFonts w:hint="eastAsia" w:ascii="宋体" w:hAnsi="宋体" w:cs="宋体"/>
          <w:color w:val="auto"/>
          <w:highlight w:val="none"/>
        </w:rPr>
        <w:t>4.2 投标文件的递交</w:t>
      </w:r>
      <w:bookmarkEnd w:id="32"/>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4.2.1 投标人应在投标人须知前附表规定的投标截止时间前递交投标文件。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4.2.2 （B）投标人通过下载招标文件的电子招标投标交易平台递交电子投标文件。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4.2.5 （B）逾期送达的投标文件，电子招标投标交易平台将予以拒收。</w:t>
      </w:r>
    </w:p>
    <w:p>
      <w:pPr>
        <w:pStyle w:val="7"/>
        <w:spacing w:before="62" w:beforeLines="20" w:after="62" w:afterLines="20" w:line="360" w:lineRule="auto"/>
        <w:rPr>
          <w:rFonts w:ascii="宋体" w:hAnsi="宋体" w:cs="宋体"/>
          <w:color w:val="auto"/>
          <w:highlight w:val="none"/>
        </w:rPr>
      </w:pPr>
      <w:bookmarkStart w:id="33" w:name="_Toc535834466"/>
      <w:r>
        <w:rPr>
          <w:rFonts w:hint="eastAsia" w:ascii="宋体" w:hAnsi="宋体" w:cs="宋体"/>
          <w:color w:val="auto"/>
          <w:highlight w:val="none"/>
        </w:rPr>
        <w:t>4.3 投标文件的修改与撤回</w:t>
      </w:r>
      <w:bookmarkEnd w:id="3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4.3.2 （B）投标人修改或撤回已递交投标文件的通知，应按照本章第 3.7.3（B）项的要求加盖电子印章。电子招标投标交易平台收到通知后，即时向投标人发出确认回执通知。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 5 日内退还已收取的投标保证金。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 3 条、第 4 条的规定进行编制、密封、标记和递交，并标明“修改”字样。</w:t>
      </w:r>
    </w:p>
    <w:p>
      <w:pPr>
        <w:pStyle w:val="6"/>
        <w:rPr>
          <w:rFonts w:ascii="宋体" w:hAnsi="宋体" w:eastAsia="宋体" w:cs="宋体"/>
          <w:color w:val="auto"/>
          <w:highlight w:val="none"/>
        </w:rPr>
      </w:pPr>
      <w:bookmarkStart w:id="34" w:name="_Toc535834467"/>
      <w:r>
        <w:rPr>
          <w:rFonts w:hint="eastAsia" w:ascii="宋体" w:hAnsi="宋体" w:eastAsia="宋体" w:cs="宋体"/>
          <w:color w:val="auto"/>
          <w:highlight w:val="none"/>
        </w:rPr>
        <w:t>5. 开标</w:t>
      </w:r>
      <w:bookmarkEnd w:id="34"/>
    </w:p>
    <w:p>
      <w:pPr>
        <w:pStyle w:val="7"/>
        <w:spacing w:before="62" w:beforeLines="20" w:after="62" w:afterLines="20" w:line="360" w:lineRule="auto"/>
        <w:rPr>
          <w:rFonts w:ascii="宋体" w:hAnsi="宋体" w:cs="宋体"/>
          <w:color w:val="auto"/>
          <w:highlight w:val="none"/>
        </w:rPr>
      </w:pPr>
      <w:bookmarkStart w:id="35" w:name="_Toc535834469"/>
      <w:r>
        <w:rPr>
          <w:rFonts w:hint="eastAsia" w:ascii="宋体" w:hAnsi="宋体" w:cs="宋体"/>
          <w:color w:val="auto"/>
          <w:highlight w:val="none"/>
        </w:rPr>
        <w:t>5.1 开标时间和地点（B）</w:t>
      </w:r>
      <w:bookmarkEnd w:id="3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通过电子招标投标交易平台公开开标，开标时，投标人代表有权出席开标会，也可以自主决定不参加开标会，若投标人代表对开标过程提出异议，该投标人代表须同时出示本人身份证原件。</w:t>
      </w:r>
    </w:p>
    <w:p>
      <w:pPr>
        <w:pStyle w:val="7"/>
        <w:spacing w:before="62" w:beforeLines="20" w:after="62" w:afterLines="20" w:line="360" w:lineRule="auto"/>
        <w:rPr>
          <w:rFonts w:ascii="宋体" w:hAnsi="宋体" w:cs="宋体"/>
          <w:color w:val="auto"/>
          <w:highlight w:val="none"/>
        </w:rPr>
      </w:pPr>
      <w:bookmarkStart w:id="36" w:name="_Toc535834470"/>
      <w:r>
        <w:rPr>
          <w:rFonts w:hint="eastAsia" w:ascii="宋体" w:hAnsi="宋体" w:cs="宋体"/>
          <w:color w:val="auto"/>
          <w:highlight w:val="none"/>
        </w:rPr>
        <w:t>5.2 开标程序</w:t>
      </w:r>
      <w:bookmarkEnd w:id="3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5.2.1主持人按下列程序进行开标：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（1）宣布开标纪律；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（2）公布在投标截止时间前递交投标文件的投标人名称；</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（3）宣布开标人、唱标人、记录人、监标人等有关人员姓名；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（4）（B）投标人通过电子招标投标交易平台对已递交的电子投标文件进行解密，公布招标项目名称、投标人名称、投标保证金的递交情况、投标报价、服务期限及其他内容，并记录在案；</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（5）（B）投标人代表、招标人代表、监标人、记录人等有关人员在开标记录上签字确认；若有关人员不签字的，不影响开标程序；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（6）开标结束。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5.2.3开标时，两个（含两个）以上的投标人加密打包投标文件电脑机器特征码一致的，不参与下一程序，并由评标委员会否决其投标。</w:t>
      </w:r>
    </w:p>
    <w:p>
      <w:pPr>
        <w:pStyle w:val="7"/>
        <w:spacing w:before="62" w:beforeLines="20" w:after="62" w:afterLines="20" w:line="360" w:lineRule="auto"/>
        <w:rPr>
          <w:rFonts w:ascii="宋体" w:hAnsi="宋体" w:cs="宋体"/>
          <w:color w:val="auto"/>
          <w:highlight w:val="none"/>
        </w:rPr>
      </w:pPr>
      <w:bookmarkStart w:id="37" w:name="_Toc535834471"/>
      <w:r>
        <w:rPr>
          <w:rFonts w:hint="eastAsia" w:ascii="宋体" w:hAnsi="宋体" w:cs="宋体"/>
          <w:color w:val="auto"/>
          <w:highlight w:val="none"/>
        </w:rPr>
        <w:t>5.3 开标异议</w:t>
      </w:r>
      <w:bookmarkEnd w:id="3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投标人对开标有异议的，应当在开标现场提出，招标人当场作出答复，并制作记录。</w:t>
      </w:r>
    </w:p>
    <w:p>
      <w:pPr>
        <w:pStyle w:val="6"/>
        <w:rPr>
          <w:rFonts w:ascii="宋体" w:hAnsi="宋体" w:eastAsia="宋体" w:cs="宋体"/>
          <w:color w:val="auto"/>
          <w:highlight w:val="none"/>
        </w:rPr>
      </w:pPr>
      <w:bookmarkStart w:id="38" w:name="_Toc535834472"/>
      <w:r>
        <w:rPr>
          <w:rFonts w:hint="eastAsia" w:ascii="宋体" w:hAnsi="宋体" w:eastAsia="宋体" w:cs="宋体"/>
          <w:color w:val="auto"/>
          <w:highlight w:val="none"/>
        </w:rPr>
        <w:t>6. 评标</w:t>
      </w:r>
      <w:bookmarkEnd w:id="38"/>
    </w:p>
    <w:p>
      <w:pPr>
        <w:pStyle w:val="7"/>
        <w:spacing w:before="62" w:beforeLines="20" w:after="62" w:afterLines="20" w:line="360" w:lineRule="auto"/>
        <w:rPr>
          <w:rFonts w:ascii="宋体" w:hAnsi="宋体" w:cs="宋体"/>
          <w:color w:val="auto"/>
          <w:highlight w:val="none"/>
        </w:rPr>
      </w:pPr>
      <w:bookmarkStart w:id="39" w:name="_Toc535834473"/>
      <w:r>
        <w:rPr>
          <w:rFonts w:hint="eastAsia" w:ascii="宋体" w:hAnsi="宋体" w:cs="宋体"/>
          <w:color w:val="auto"/>
          <w:highlight w:val="none"/>
        </w:rPr>
        <w:t>6.1 评标委员会</w:t>
      </w:r>
      <w:bookmarkEnd w:id="3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w:t>
      </w:r>
      <w:r>
        <w:rPr>
          <w:rFonts w:hint="eastAsia"/>
          <w:color w:val="auto"/>
          <w:highlight w:val="none"/>
        </w:rPr>
        <w:t>由2名招标人代表和5名从广东省综合评标评审专家库随机抽取评标专家组成</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（1）投标人或投标人主要负责人的近亲属；</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（2）项目主管部门或者行政监督部门的人员；</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（3）与投标人有经济利益关系，可能影响对投标公正评审的；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 或刑事处罚的；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（5）与投标人有其他利害关系。</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7"/>
        <w:spacing w:before="62" w:beforeLines="20" w:after="62" w:afterLines="20" w:line="360" w:lineRule="auto"/>
        <w:rPr>
          <w:rFonts w:ascii="宋体" w:hAnsi="宋体" w:cs="宋体"/>
          <w:color w:val="auto"/>
          <w:highlight w:val="none"/>
        </w:rPr>
      </w:pPr>
      <w:bookmarkStart w:id="40" w:name="_Toc535834474"/>
      <w:r>
        <w:rPr>
          <w:rFonts w:hint="eastAsia" w:ascii="宋体" w:hAnsi="宋体" w:cs="宋体"/>
          <w:color w:val="auto"/>
          <w:highlight w:val="none"/>
        </w:rPr>
        <w:t>6.2 评标原则</w:t>
      </w:r>
      <w:bookmarkEnd w:id="40"/>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pPr>
        <w:pStyle w:val="7"/>
        <w:spacing w:before="62" w:beforeLines="20" w:after="62" w:afterLines="20" w:line="360" w:lineRule="auto"/>
        <w:rPr>
          <w:rFonts w:ascii="宋体" w:hAnsi="宋体" w:cs="宋体"/>
          <w:color w:val="auto"/>
          <w:highlight w:val="none"/>
        </w:rPr>
      </w:pPr>
      <w:bookmarkStart w:id="41" w:name="_Toc535834475"/>
      <w:r>
        <w:rPr>
          <w:rFonts w:hint="eastAsia" w:ascii="宋体" w:hAnsi="宋体" w:cs="宋体"/>
          <w:color w:val="auto"/>
          <w:highlight w:val="none"/>
        </w:rPr>
        <w:t>6.3 评标</w:t>
      </w:r>
      <w:bookmarkEnd w:id="4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6.3.2 评标完成后，评标委员会应当向招标人提交书面评标报告和中标候选人名单。评标委员会推荐中标候选人的人数见投标人须知前附表。</w:t>
      </w:r>
    </w:p>
    <w:p>
      <w:pPr>
        <w:pStyle w:val="6"/>
        <w:rPr>
          <w:rFonts w:ascii="宋体" w:hAnsi="宋体" w:eastAsia="宋体" w:cs="宋体"/>
          <w:color w:val="auto"/>
          <w:highlight w:val="none"/>
        </w:rPr>
      </w:pPr>
      <w:bookmarkStart w:id="42" w:name="_Toc535834476"/>
      <w:r>
        <w:rPr>
          <w:rFonts w:hint="eastAsia" w:ascii="宋体" w:hAnsi="宋体" w:eastAsia="宋体" w:cs="宋体"/>
          <w:color w:val="auto"/>
          <w:highlight w:val="none"/>
        </w:rPr>
        <w:t>7. 合同授予</w:t>
      </w:r>
      <w:bookmarkEnd w:id="42"/>
    </w:p>
    <w:p>
      <w:pPr>
        <w:pStyle w:val="7"/>
        <w:spacing w:before="62" w:beforeLines="20" w:after="62" w:afterLines="20" w:line="360" w:lineRule="auto"/>
        <w:rPr>
          <w:rFonts w:ascii="宋体" w:hAnsi="宋体" w:cs="宋体"/>
          <w:color w:val="auto"/>
          <w:highlight w:val="none"/>
        </w:rPr>
      </w:pPr>
      <w:bookmarkStart w:id="43" w:name="_Toc535834477"/>
      <w:r>
        <w:rPr>
          <w:rFonts w:hint="eastAsia" w:ascii="宋体" w:hAnsi="宋体" w:cs="宋体"/>
          <w:color w:val="auto"/>
          <w:highlight w:val="none"/>
        </w:rPr>
        <w:t>7.1 中标候选人公示</w:t>
      </w:r>
      <w:bookmarkEnd w:id="4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招标人在收到评标报告之日起 3 日内，按照投标人须知前附表规定的公示媒介和期限公示中标候选人，公示期不得少于 3 天</w:t>
      </w:r>
      <w:r>
        <w:rPr>
          <w:rFonts w:hint="eastAsia" w:ascii="宋体" w:hAnsi="宋体" w:cs="宋体"/>
          <w:color w:val="auto"/>
          <w:szCs w:val="21"/>
          <w:highlight w:val="none"/>
        </w:rPr>
        <w:t>（最后一日为工作日）</w:t>
      </w:r>
      <w:r>
        <w:rPr>
          <w:rFonts w:hint="eastAsia" w:ascii="宋体" w:hAnsi="宋体" w:cs="宋体"/>
          <w:color w:val="auto"/>
          <w:highlight w:val="none"/>
        </w:rPr>
        <w:t>。</w:t>
      </w:r>
    </w:p>
    <w:p>
      <w:pPr>
        <w:pStyle w:val="7"/>
        <w:spacing w:before="62" w:beforeLines="20" w:after="62" w:afterLines="20" w:line="360" w:lineRule="auto"/>
        <w:rPr>
          <w:rFonts w:ascii="宋体" w:hAnsi="宋体" w:cs="宋体"/>
          <w:color w:val="auto"/>
          <w:highlight w:val="none"/>
        </w:rPr>
      </w:pPr>
      <w:bookmarkStart w:id="44" w:name="_Toc535834478"/>
      <w:r>
        <w:rPr>
          <w:rFonts w:hint="eastAsia" w:ascii="宋体" w:hAnsi="宋体" w:cs="宋体"/>
          <w:color w:val="auto"/>
          <w:highlight w:val="none"/>
        </w:rPr>
        <w:t>7.2 评标结果异议</w:t>
      </w:r>
      <w:bookmarkEnd w:id="44"/>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投标人或者其他利害关系人对评标结果有异议的，应当在中标候选人公示期间提出。招标人将在收到异议之日起 3 日内作出答复；作出答复前，将暂停招标投标活动。</w:t>
      </w:r>
    </w:p>
    <w:p>
      <w:pPr>
        <w:pStyle w:val="7"/>
        <w:spacing w:before="62" w:beforeLines="20" w:after="62" w:afterLines="20" w:line="360" w:lineRule="auto"/>
        <w:rPr>
          <w:rFonts w:ascii="宋体" w:hAnsi="宋体" w:cs="宋体"/>
          <w:color w:val="auto"/>
          <w:highlight w:val="none"/>
        </w:rPr>
      </w:pPr>
      <w:bookmarkStart w:id="45" w:name="_Toc535834479"/>
      <w:r>
        <w:rPr>
          <w:rFonts w:hint="eastAsia" w:ascii="宋体" w:hAnsi="宋体" w:cs="宋体"/>
          <w:color w:val="auto"/>
          <w:highlight w:val="none"/>
        </w:rPr>
        <w:t>7.3 中标候选人履约能力审查</w:t>
      </w:r>
      <w:bookmarkEnd w:id="4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 能力的，将在发出中标通知书前提请原评标委员会按照招标文件规定的标准和方法进行审查确认。</w:t>
      </w:r>
    </w:p>
    <w:p>
      <w:pPr>
        <w:pStyle w:val="7"/>
        <w:spacing w:before="62" w:beforeLines="20" w:after="62" w:afterLines="20" w:line="360" w:lineRule="auto"/>
        <w:rPr>
          <w:rFonts w:ascii="宋体" w:hAnsi="宋体" w:cs="宋体"/>
          <w:color w:val="auto"/>
          <w:highlight w:val="none"/>
        </w:rPr>
      </w:pPr>
      <w:bookmarkStart w:id="46" w:name="_Toc535834480"/>
      <w:r>
        <w:rPr>
          <w:rFonts w:hint="eastAsia" w:ascii="宋体" w:hAnsi="宋体" w:cs="宋体"/>
          <w:color w:val="auto"/>
          <w:highlight w:val="none"/>
        </w:rPr>
        <w:t>7.4 定标</w:t>
      </w:r>
      <w:bookmarkEnd w:id="4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pPr>
        <w:pStyle w:val="7"/>
        <w:spacing w:before="62" w:beforeLines="20" w:after="62" w:afterLines="20" w:line="360" w:lineRule="auto"/>
        <w:rPr>
          <w:rFonts w:ascii="宋体" w:hAnsi="宋体" w:cs="宋体"/>
          <w:color w:val="auto"/>
          <w:highlight w:val="none"/>
        </w:rPr>
      </w:pPr>
      <w:bookmarkStart w:id="47" w:name="_Toc535834481"/>
      <w:r>
        <w:rPr>
          <w:rFonts w:hint="eastAsia" w:ascii="宋体" w:hAnsi="宋体" w:cs="宋体"/>
          <w:color w:val="auto"/>
          <w:highlight w:val="none"/>
        </w:rPr>
        <w:t>7.5 中标通知</w:t>
      </w:r>
      <w:bookmarkEnd w:id="4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在本章第 3.3 款规定的投标有效期内，招标人以书面形式向中标人发出中标通知书，同时将中标结果通知未中标的投标人。</w:t>
      </w:r>
    </w:p>
    <w:p>
      <w:pPr>
        <w:pStyle w:val="7"/>
        <w:spacing w:before="62" w:beforeLines="20" w:after="62" w:afterLines="20" w:line="360" w:lineRule="auto"/>
        <w:rPr>
          <w:rFonts w:ascii="宋体" w:hAnsi="宋体" w:cs="宋体"/>
          <w:color w:val="auto"/>
          <w:highlight w:val="none"/>
        </w:rPr>
      </w:pPr>
      <w:bookmarkStart w:id="48" w:name="_Toc535834482"/>
      <w:r>
        <w:rPr>
          <w:rFonts w:hint="eastAsia" w:ascii="宋体" w:hAnsi="宋体" w:cs="宋体"/>
          <w:color w:val="auto"/>
          <w:highlight w:val="none"/>
        </w:rPr>
        <w:t>7.6 履约保证金</w:t>
      </w:r>
      <w:bookmarkEnd w:id="4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7.6.2 中标人不能按本章第 7.6.1 项要求提交履约保证金的，视为放弃中标，其投标保证金不予退还，给招标人造成的损失超过投标保证金数额的，中标人还应当对超过部分予以赔偿。</w:t>
      </w:r>
    </w:p>
    <w:p>
      <w:pPr>
        <w:pStyle w:val="7"/>
        <w:spacing w:before="62" w:beforeLines="20" w:after="62" w:afterLines="20" w:line="360" w:lineRule="auto"/>
        <w:rPr>
          <w:rFonts w:ascii="宋体" w:hAnsi="宋体" w:cs="宋体"/>
          <w:color w:val="auto"/>
          <w:highlight w:val="none"/>
        </w:rPr>
      </w:pPr>
      <w:bookmarkStart w:id="49" w:name="_Toc535834483"/>
      <w:r>
        <w:rPr>
          <w:rFonts w:hint="eastAsia" w:ascii="宋体" w:hAnsi="宋体" w:cs="宋体"/>
          <w:color w:val="auto"/>
          <w:highlight w:val="none"/>
        </w:rPr>
        <w:t>7.7 签订合同</w:t>
      </w:r>
      <w:bookmarkEnd w:id="4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7.7.3 联合体中标的，联合体各方应当共同与招标人签订合同，就中标项目向招标人承担连带责任。</w:t>
      </w:r>
    </w:p>
    <w:p>
      <w:pPr>
        <w:pStyle w:val="6"/>
        <w:rPr>
          <w:rFonts w:ascii="宋体" w:hAnsi="宋体" w:eastAsia="宋体" w:cs="宋体"/>
          <w:color w:val="auto"/>
          <w:highlight w:val="none"/>
        </w:rPr>
      </w:pPr>
      <w:bookmarkStart w:id="50" w:name="_Toc535834484"/>
      <w:r>
        <w:rPr>
          <w:rFonts w:hint="eastAsia" w:ascii="宋体" w:hAnsi="宋体" w:eastAsia="宋体" w:cs="宋体"/>
          <w:color w:val="auto"/>
          <w:highlight w:val="none"/>
        </w:rPr>
        <w:t>8. 纪律和监督</w:t>
      </w:r>
      <w:bookmarkEnd w:id="50"/>
    </w:p>
    <w:p>
      <w:pPr>
        <w:pStyle w:val="7"/>
        <w:spacing w:before="62" w:beforeLines="20" w:after="62" w:afterLines="20" w:line="360" w:lineRule="auto"/>
        <w:rPr>
          <w:rFonts w:ascii="宋体" w:hAnsi="宋体" w:cs="宋体"/>
          <w:color w:val="auto"/>
          <w:highlight w:val="none"/>
        </w:rPr>
      </w:pPr>
      <w:bookmarkStart w:id="51" w:name="_Toc535834485"/>
      <w:r>
        <w:rPr>
          <w:rFonts w:hint="eastAsia" w:ascii="宋体" w:hAnsi="宋体" w:cs="宋体"/>
          <w:color w:val="auto"/>
          <w:highlight w:val="none"/>
        </w:rPr>
        <w:t>8.1 对招标人的纪律要求</w:t>
      </w:r>
      <w:bookmarkEnd w:id="5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招标人不得泄露招标投标活动中应当保密的情况和资料，不得与投标人串通损害国家利益、社会公共利益或者他人合法权益。</w:t>
      </w:r>
    </w:p>
    <w:p>
      <w:pPr>
        <w:pStyle w:val="7"/>
        <w:spacing w:before="62" w:beforeLines="20" w:after="62" w:afterLines="20" w:line="360" w:lineRule="auto"/>
        <w:rPr>
          <w:rFonts w:ascii="宋体" w:hAnsi="宋体" w:cs="宋体"/>
          <w:color w:val="auto"/>
          <w:highlight w:val="none"/>
        </w:rPr>
      </w:pPr>
      <w:bookmarkStart w:id="52" w:name="_Toc535834486"/>
      <w:r>
        <w:rPr>
          <w:rFonts w:hint="eastAsia" w:ascii="宋体" w:hAnsi="宋体" w:cs="宋体"/>
          <w:color w:val="auto"/>
          <w:highlight w:val="none"/>
        </w:rPr>
        <w:t>8.2 对投标人的纪律要求</w:t>
      </w:r>
      <w:bookmarkEnd w:id="52"/>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spacing w:before="62" w:beforeLines="20" w:after="62" w:afterLines="20" w:line="360" w:lineRule="auto"/>
        <w:rPr>
          <w:rFonts w:ascii="宋体" w:hAnsi="宋体" w:cs="宋体"/>
          <w:color w:val="auto"/>
          <w:highlight w:val="none"/>
        </w:rPr>
      </w:pPr>
      <w:bookmarkStart w:id="53" w:name="_Toc535834487"/>
      <w:r>
        <w:rPr>
          <w:rFonts w:hint="eastAsia" w:ascii="宋体" w:hAnsi="宋体" w:cs="宋体"/>
          <w:color w:val="auto"/>
          <w:highlight w:val="none"/>
        </w:rPr>
        <w:t>8.3 对评标委员会成员的纪律要求</w:t>
      </w:r>
      <w:bookmarkEnd w:id="5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spacing w:before="62" w:beforeLines="20" w:after="62" w:afterLines="20" w:line="360" w:lineRule="auto"/>
        <w:rPr>
          <w:rFonts w:ascii="宋体" w:hAnsi="宋体" w:cs="宋体"/>
          <w:color w:val="auto"/>
          <w:highlight w:val="none"/>
        </w:rPr>
      </w:pPr>
      <w:bookmarkStart w:id="54" w:name="_Toc535834488"/>
      <w:r>
        <w:rPr>
          <w:rFonts w:hint="eastAsia" w:ascii="宋体" w:hAnsi="宋体" w:cs="宋体"/>
          <w:color w:val="auto"/>
          <w:highlight w:val="none"/>
        </w:rPr>
        <w:t>8.4 对与评标活动有关的工作人员的纪律要求</w:t>
      </w:r>
      <w:bookmarkEnd w:id="54"/>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spacing w:before="62" w:beforeLines="20" w:after="62" w:afterLines="20" w:line="360" w:lineRule="auto"/>
        <w:rPr>
          <w:rFonts w:ascii="宋体" w:hAnsi="宋体" w:cs="宋体"/>
          <w:color w:val="auto"/>
          <w:highlight w:val="none"/>
        </w:rPr>
      </w:pPr>
      <w:bookmarkStart w:id="55" w:name="_Toc535834489"/>
      <w:r>
        <w:rPr>
          <w:rFonts w:hint="eastAsia" w:ascii="宋体" w:hAnsi="宋体" w:cs="宋体"/>
          <w:color w:val="auto"/>
          <w:highlight w:val="none"/>
        </w:rPr>
        <w:t>8.5 投诉</w:t>
      </w:r>
      <w:bookmarkEnd w:id="5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6"/>
        <w:rPr>
          <w:rFonts w:ascii="宋体" w:hAnsi="宋体" w:eastAsia="宋体" w:cs="宋体"/>
          <w:color w:val="auto"/>
          <w:highlight w:val="none"/>
        </w:rPr>
      </w:pPr>
      <w:bookmarkStart w:id="56" w:name="_Toc535834490"/>
      <w:r>
        <w:rPr>
          <w:rFonts w:hint="eastAsia" w:ascii="宋体" w:hAnsi="宋体" w:eastAsia="宋体" w:cs="宋体"/>
          <w:color w:val="auto"/>
          <w:highlight w:val="none"/>
        </w:rPr>
        <w:t>9. 是否采用电子招标投标</w:t>
      </w:r>
      <w:bookmarkEnd w:id="56"/>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pPr>
        <w:pStyle w:val="6"/>
        <w:rPr>
          <w:rFonts w:ascii="宋体" w:hAnsi="宋体" w:eastAsia="宋体" w:cs="宋体"/>
          <w:color w:val="auto"/>
          <w:highlight w:val="none"/>
        </w:rPr>
      </w:pPr>
      <w:bookmarkStart w:id="57" w:name="_Toc535834491"/>
      <w:r>
        <w:rPr>
          <w:rFonts w:hint="eastAsia" w:ascii="宋体" w:hAnsi="宋体" w:eastAsia="宋体" w:cs="宋体"/>
          <w:color w:val="auto"/>
          <w:highlight w:val="none"/>
        </w:rPr>
        <w:t>10. 需要补充的其他内容</w:t>
      </w:r>
      <w:bookmarkEnd w:id="5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需要补充的其他内容：见投标人须知前附表。</w:t>
      </w:r>
    </w:p>
    <w:p>
      <w:pPr>
        <w:pStyle w:val="6"/>
        <w:rPr>
          <w:rFonts w:ascii="宋体" w:hAnsi="宋体" w:eastAsia="宋体" w:cs="宋体"/>
          <w:color w:val="auto"/>
          <w:highlight w:val="none"/>
        </w:rPr>
      </w:pPr>
      <w:r>
        <w:rPr>
          <w:rFonts w:hint="eastAsia" w:ascii="宋体" w:hAnsi="宋体" w:eastAsia="宋体" w:cs="宋体"/>
          <w:color w:val="auto"/>
          <w:highlight w:val="none"/>
        </w:rPr>
        <w:br w:type="page"/>
      </w:r>
      <w:bookmarkStart w:id="58" w:name="_Toc535834492"/>
      <w:r>
        <w:rPr>
          <w:rFonts w:hint="eastAsia" w:ascii="宋体" w:hAnsi="宋体" w:eastAsia="宋体" w:cs="宋体"/>
          <w:color w:val="auto"/>
          <w:highlight w:val="none"/>
        </w:rPr>
        <w:t>附件一：开标记录表</w:t>
      </w:r>
      <w:bookmarkEnd w:id="58"/>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开标记录表</w:t>
      </w:r>
    </w:p>
    <w:p>
      <w:pPr>
        <w:spacing w:line="360" w:lineRule="auto"/>
        <w:jc w:val="right"/>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tbl>
      <w:tblPr>
        <w:tblStyle w:val="2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791"/>
        <w:gridCol w:w="923"/>
        <w:gridCol w:w="1174"/>
        <w:gridCol w:w="940"/>
        <w:gridCol w:w="807"/>
        <w:gridCol w:w="1083"/>
        <w:gridCol w:w="870"/>
        <w:gridCol w:w="604"/>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80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791"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923"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投标保证金</w:t>
            </w:r>
          </w:p>
        </w:tc>
        <w:tc>
          <w:tcPr>
            <w:tcW w:w="1174"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投标报价（元）</w:t>
            </w:r>
          </w:p>
        </w:tc>
        <w:tc>
          <w:tcPr>
            <w:tcW w:w="940" w:type="dxa"/>
            <w:vAlign w:val="center"/>
          </w:tcPr>
          <w:p>
            <w:pPr>
              <w:spacing w:line="360" w:lineRule="auto"/>
              <w:jc w:val="center"/>
              <w:rPr>
                <w:rFonts w:ascii="宋体" w:hAnsi="宋体" w:cs="宋体"/>
                <w:color w:val="auto"/>
                <w:highlight w:val="none"/>
              </w:rPr>
            </w:pPr>
            <w:r>
              <w:rPr>
                <w:rFonts w:hint="eastAsia" w:ascii="宋体" w:hAnsi="宋体" w:cs="宋体"/>
                <w:color w:val="auto"/>
                <w:szCs w:val="21"/>
                <w:highlight w:val="none"/>
              </w:rPr>
              <w:t>项目负责人</w:t>
            </w:r>
          </w:p>
        </w:tc>
        <w:tc>
          <w:tcPr>
            <w:tcW w:w="80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服务期限</w:t>
            </w:r>
          </w:p>
        </w:tc>
        <w:tc>
          <w:tcPr>
            <w:tcW w:w="1083"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投标文件递交情况</w:t>
            </w:r>
          </w:p>
        </w:tc>
        <w:tc>
          <w:tcPr>
            <w:tcW w:w="870" w:type="dxa"/>
          </w:tcPr>
          <w:p>
            <w:pPr>
              <w:spacing w:line="360" w:lineRule="auto"/>
              <w:jc w:val="center"/>
              <w:rPr>
                <w:rFonts w:ascii="宋体" w:hAnsi="宋体" w:cs="宋体"/>
                <w:color w:val="auto"/>
                <w:highlight w:val="none"/>
              </w:rPr>
            </w:pPr>
            <w:r>
              <w:rPr>
                <w:rFonts w:hint="eastAsia" w:ascii="宋体" w:hAnsi="宋体" w:cs="宋体"/>
                <w:color w:val="auto"/>
                <w:highlight w:val="none"/>
              </w:rPr>
              <w:t>投标文件解密情况</w:t>
            </w:r>
          </w:p>
        </w:tc>
        <w:tc>
          <w:tcPr>
            <w:tcW w:w="604"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163"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Pr>
          <w:p>
            <w:pPr>
              <w:spacing w:line="360" w:lineRule="auto"/>
              <w:rPr>
                <w:rFonts w:ascii="宋体" w:hAnsi="宋体" w:cs="宋体"/>
                <w:color w:val="auto"/>
                <w:highlight w:val="none"/>
              </w:rPr>
            </w:pPr>
          </w:p>
        </w:tc>
        <w:tc>
          <w:tcPr>
            <w:tcW w:w="801" w:type="dxa"/>
          </w:tcPr>
          <w:p>
            <w:pPr>
              <w:spacing w:line="360" w:lineRule="auto"/>
              <w:rPr>
                <w:rFonts w:ascii="宋体" w:hAnsi="宋体" w:cs="宋体"/>
                <w:color w:val="auto"/>
                <w:highlight w:val="none"/>
              </w:rPr>
            </w:pPr>
          </w:p>
        </w:tc>
        <w:tc>
          <w:tcPr>
            <w:tcW w:w="791" w:type="dxa"/>
          </w:tcPr>
          <w:p>
            <w:pPr>
              <w:spacing w:line="360" w:lineRule="auto"/>
              <w:rPr>
                <w:rFonts w:ascii="宋体" w:hAnsi="宋体" w:cs="宋体"/>
                <w:color w:val="auto"/>
                <w:highlight w:val="none"/>
              </w:rPr>
            </w:pP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51" w:type="dxa"/>
            <w:gridSpan w:val="3"/>
          </w:tcPr>
          <w:p>
            <w:pPr>
              <w:spacing w:line="360" w:lineRule="auto"/>
              <w:rPr>
                <w:rFonts w:ascii="宋体" w:hAnsi="宋体" w:cs="宋体"/>
                <w:color w:val="auto"/>
                <w:highlight w:val="none"/>
              </w:rPr>
            </w:pPr>
            <w:r>
              <w:rPr>
                <w:rFonts w:hint="eastAsia" w:ascii="宋体" w:hAnsi="宋体" w:cs="宋体"/>
                <w:color w:val="auto"/>
                <w:highlight w:val="none"/>
              </w:rPr>
              <w:t>最高投标限价：</w:t>
            </w:r>
          </w:p>
        </w:tc>
        <w:tc>
          <w:tcPr>
            <w:tcW w:w="923" w:type="dxa"/>
          </w:tcPr>
          <w:p>
            <w:pPr>
              <w:spacing w:line="360" w:lineRule="auto"/>
              <w:rPr>
                <w:rFonts w:ascii="宋体" w:hAnsi="宋体" w:cs="宋体"/>
                <w:color w:val="auto"/>
                <w:highlight w:val="none"/>
              </w:rPr>
            </w:pPr>
          </w:p>
        </w:tc>
        <w:tc>
          <w:tcPr>
            <w:tcW w:w="1174" w:type="dxa"/>
          </w:tcPr>
          <w:p>
            <w:pPr>
              <w:spacing w:line="360" w:lineRule="auto"/>
              <w:rPr>
                <w:rFonts w:ascii="宋体" w:hAnsi="宋体" w:cs="宋体"/>
                <w:color w:val="auto"/>
                <w:highlight w:val="none"/>
              </w:rPr>
            </w:pPr>
          </w:p>
        </w:tc>
        <w:tc>
          <w:tcPr>
            <w:tcW w:w="940" w:type="dxa"/>
          </w:tcPr>
          <w:p>
            <w:pPr>
              <w:spacing w:line="360" w:lineRule="auto"/>
              <w:rPr>
                <w:rFonts w:ascii="宋体" w:hAnsi="宋体" w:cs="宋体"/>
                <w:color w:val="auto"/>
                <w:highlight w:val="none"/>
              </w:rPr>
            </w:pPr>
          </w:p>
        </w:tc>
        <w:tc>
          <w:tcPr>
            <w:tcW w:w="807" w:type="dxa"/>
          </w:tcPr>
          <w:p>
            <w:pPr>
              <w:spacing w:line="360" w:lineRule="auto"/>
              <w:rPr>
                <w:rFonts w:ascii="宋体" w:hAnsi="宋体" w:cs="宋体"/>
                <w:color w:val="auto"/>
                <w:highlight w:val="none"/>
              </w:rPr>
            </w:pPr>
          </w:p>
        </w:tc>
        <w:tc>
          <w:tcPr>
            <w:tcW w:w="1083" w:type="dxa"/>
          </w:tcPr>
          <w:p>
            <w:pPr>
              <w:spacing w:line="360" w:lineRule="auto"/>
              <w:rPr>
                <w:rFonts w:ascii="宋体" w:hAnsi="宋体" w:cs="宋体"/>
                <w:color w:val="auto"/>
                <w:highlight w:val="none"/>
              </w:rPr>
            </w:pPr>
          </w:p>
        </w:tc>
        <w:tc>
          <w:tcPr>
            <w:tcW w:w="870" w:type="dxa"/>
          </w:tcPr>
          <w:p>
            <w:pPr>
              <w:spacing w:line="360" w:lineRule="auto"/>
              <w:rPr>
                <w:rFonts w:ascii="宋体" w:hAnsi="宋体" w:cs="宋体"/>
                <w:color w:val="auto"/>
                <w:highlight w:val="none"/>
              </w:rPr>
            </w:pPr>
          </w:p>
        </w:tc>
        <w:tc>
          <w:tcPr>
            <w:tcW w:w="604" w:type="dxa"/>
          </w:tcPr>
          <w:p>
            <w:pPr>
              <w:spacing w:line="360" w:lineRule="auto"/>
              <w:rPr>
                <w:rFonts w:ascii="宋体" w:hAnsi="宋体" w:cs="宋体"/>
                <w:color w:val="auto"/>
                <w:highlight w:val="none"/>
              </w:rPr>
            </w:pPr>
          </w:p>
        </w:tc>
        <w:tc>
          <w:tcPr>
            <w:tcW w:w="1163" w:type="dxa"/>
          </w:tcPr>
          <w:p>
            <w:pPr>
              <w:spacing w:line="360" w:lineRule="auto"/>
              <w:rPr>
                <w:rFonts w:ascii="宋体" w:hAnsi="宋体" w:cs="宋体"/>
                <w:color w:val="auto"/>
                <w:highlight w:val="none"/>
              </w:rPr>
            </w:pPr>
          </w:p>
        </w:tc>
      </w:tr>
    </w:tbl>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招标人代表：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记录人：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监标人：</w:t>
      </w:r>
      <w:r>
        <w:rPr>
          <w:rFonts w:hint="eastAsia" w:ascii="宋体" w:hAnsi="宋体" w:cs="宋体"/>
          <w:color w:val="auto"/>
          <w:highlight w:val="none"/>
          <w:u w:val="single"/>
        </w:rPr>
        <w:t xml:space="preserve">          </w:t>
      </w:r>
    </w:p>
    <w:p>
      <w:pPr>
        <w:spacing w:line="360" w:lineRule="auto"/>
        <w:ind w:firstLine="420" w:firstLineChars="200"/>
        <w:jc w:val="righ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pacing w:line="360" w:lineRule="auto"/>
        <w:ind w:right="210"/>
        <w:rPr>
          <w:rFonts w:ascii="宋体" w:hAnsi="宋体" w:cs="宋体"/>
          <w:color w:val="auto"/>
          <w:highlight w:val="none"/>
        </w:rPr>
      </w:pPr>
      <w:r>
        <w:rPr>
          <w:rFonts w:hint="eastAsia" w:ascii="宋体" w:hAnsi="宋体" w:cs="宋体"/>
          <w:color w:val="auto"/>
          <w:highlight w:val="none"/>
          <w:u w:val="single"/>
        </w:rPr>
        <w:t>本表仅供参考，具体以开标时的开标记录表为准。</w:t>
      </w:r>
    </w:p>
    <w:p>
      <w:pPr>
        <w:pStyle w:val="6"/>
        <w:rPr>
          <w:rFonts w:ascii="宋体" w:hAnsi="宋体" w:eastAsia="宋体" w:cs="宋体"/>
          <w:color w:val="auto"/>
          <w:highlight w:val="none"/>
        </w:rPr>
      </w:pPr>
      <w:r>
        <w:rPr>
          <w:rFonts w:hint="eastAsia" w:ascii="宋体" w:hAnsi="宋体" w:eastAsia="宋体" w:cs="宋体"/>
          <w:color w:val="auto"/>
          <w:highlight w:val="none"/>
        </w:rPr>
        <w:br w:type="page"/>
      </w:r>
      <w:bookmarkStart w:id="59" w:name="_Toc535834493"/>
      <w:r>
        <w:rPr>
          <w:rFonts w:hint="eastAsia" w:ascii="宋体" w:hAnsi="宋体" w:eastAsia="宋体" w:cs="宋体"/>
          <w:color w:val="auto"/>
          <w:highlight w:val="none"/>
        </w:rPr>
        <w:t>附件二：问题澄清通知</w:t>
      </w:r>
      <w:bookmarkEnd w:id="59"/>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问题澄清通知</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（按广州公共资源交易中心的版式为准）</w:t>
      </w:r>
    </w:p>
    <w:p>
      <w:pPr>
        <w:rPr>
          <w:rFonts w:ascii="宋体" w:hAnsi="宋体" w:cs="宋体"/>
          <w:color w:val="auto"/>
          <w:highlight w:val="none"/>
        </w:rPr>
      </w:pPr>
    </w:p>
    <w:p>
      <w:pPr>
        <w:pStyle w:val="6"/>
        <w:rPr>
          <w:rFonts w:ascii="宋体" w:hAnsi="宋体" w:eastAsia="宋体" w:cs="宋体"/>
          <w:color w:val="auto"/>
          <w:highlight w:val="none"/>
        </w:rPr>
      </w:pPr>
      <w:r>
        <w:rPr>
          <w:rFonts w:hint="eastAsia" w:ascii="宋体" w:hAnsi="宋体" w:eastAsia="宋体" w:cs="宋体"/>
          <w:color w:val="auto"/>
          <w:highlight w:val="none"/>
        </w:rPr>
        <w:br w:type="page"/>
      </w:r>
      <w:bookmarkStart w:id="60" w:name="_Toc535834494"/>
      <w:r>
        <w:rPr>
          <w:rFonts w:hint="eastAsia" w:ascii="宋体" w:hAnsi="宋体" w:eastAsia="宋体" w:cs="宋体"/>
          <w:color w:val="auto"/>
          <w:highlight w:val="none"/>
        </w:rPr>
        <w:t>附件三：问题的澄清</w:t>
      </w:r>
      <w:bookmarkEnd w:id="60"/>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问题的澄清</w:t>
      </w:r>
    </w:p>
    <w:p>
      <w:pPr>
        <w:spacing w:line="360" w:lineRule="auto"/>
        <w:jc w:val="center"/>
        <w:rPr>
          <w:rFonts w:ascii="宋体" w:hAnsi="宋体" w:cs="宋体"/>
          <w:b/>
          <w:color w:val="auto"/>
          <w:sz w:val="32"/>
          <w:szCs w:val="32"/>
          <w:highlight w:val="none"/>
        </w:rPr>
      </w:pPr>
      <w:bookmarkStart w:id="61" w:name="OLE_LINK1"/>
      <w:r>
        <w:rPr>
          <w:rFonts w:hint="eastAsia" w:ascii="宋体" w:hAnsi="宋体" w:cs="宋体"/>
          <w:b/>
          <w:color w:val="auto"/>
          <w:sz w:val="32"/>
          <w:szCs w:val="32"/>
          <w:highlight w:val="none"/>
        </w:rPr>
        <w:t>（按广州公共资源交易中心的版式为准）</w:t>
      </w:r>
    </w:p>
    <w:bookmarkEnd w:id="61"/>
    <w:p>
      <w:pPr>
        <w:rPr>
          <w:rFonts w:ascii="宋体" w:hAnsi="宋体" w:cs="宋体"/>
          <w:color w:val="auto"/>
          <w:highlight w:val="none"/>
        </w:rPr>
      </w:pPr>
    </w:p>
    <w:p>
      <w:pPr>
        <w:pStyle w:val="5"/>
        <w:spacing w:before="62" w:beforeLines="20" w:after="62"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62" w:name="_Toc535834495"/>
      <w:r>
        <w:rPr>
          <w:rFonts w:hint="eastAsia" w:ascii="宋体" w:hAnsi="宋体" w:cs="宋体"/>
          <w:color w:val="auto"/>
          <w:highlight w:val="none"/>
        </w:rPr>
        <w:t>第三章 评标办法（综合评估法）</w:t>
      </w:r>
      <w:bookmarkEnd w:id="62"/>
    </w:p>
    <w:p>
      <w:pPr>
        <w:pStyle w:val="6"/>
        <w:jc w:val="center"/>
        <w:rPr>
          <w:rFonts w:ascii="宋体" w:hAnsi="宋体" w:eastAsia="宋体" w:cs="宋体"/>
          <w:color w:val="auto"/>
          <w:highlight w:val="none"/>
        </w:rPr>
      </w:pPr>
      <w:bookmarkStart w:id="63" w:name="_Toc535834496"/>
      <w:r>
        <w:rPr>
          <w:rFonts w:hint="eastAsia" w:ascii="宋体" w:hAnsi="宋体" w:eastAsia="宋体" w:cs="宋体"/>
          <w:color w:val="auto"/>
          <w:highlight w:val="none"/>
        </w:rPr>
        <w:t>评标办法前附表</w:t>
      </w:r>
    </w:p>
    <w:tbl>
      <w:tblPr>
        <w:tblStyle w:val="29"/>
        <w:tblW w:w="97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82"/>
        <w:gridCol w:w="1594"/>
        <w:gridCol w:w="5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2233" w:type="dxa"/>
            <w:gridSpan w:val="2"/>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94"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882"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1</w:t>
            </w:r>
          </w:p>
        </w:tc>
        <w:tc>
          <w:tcPr>
            <w:tcW w:w="13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评标方法</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投标人综合评分由高到低排序前</w:t>
            </w:r>
            <w:r>
              <w:rPr>
                <w:rFonts w:ascii="宋体" w:hAnsi="宋体" w:cs="宋体"/>
                <w:color w:val="auto"/>
                <w:szCs w:val="21"/>
                <w:highlight w:val="none"/>
              </w:rPr>
              <w:t>三</w:t>
            </w:r>
            <w:r>
              <w:rPr>
                <w:rFonts w:hint="eastAsia" w:ascii="宋体" w:hAnsi="宋体" w:cs="宋体"/>
                <w:color w:val="auto"/>
                <w:szCs w:val="21"/>
                <w:highlight w:val="none"/>
              </w:rPr>
              <w:t>名作为第一、第二、第三中标候选人，综合评分相等时，以投标报价低的优先；投标报价也相等的，以投标人诚信得分高的优先。如投标报价、诚信得分均相等，则由评标委员会</w:t>
            </w:r>
            <w:r>
              <w:rPr>
                <w:rFonts w:hint="eastAsia" w:ascii="宋体" w:hAnsi="宋体" w:cs="宋体"/>
                <w:color w:val="auto"/>
                <w:szCs w:val="21"/>
                <w:highlight w:val="none"/>
                <w:u w:val="single"/>
                <w:lang w:eastAsia="zh-CN"/>
              </w:rPr>
              <w:t>采用记名</w:t>
            </w:r>
            <w:r>
              <w:rPr>
                <w:rFonts w:hint="eastAsia" w:ascii="宋体" w:hAnsi="宋体" w:cs="宋体"/>
                <w:color w:val="auto"/>
                <w:szCs w:val="21"/>
                <w:highlight w:val="none"/>
              </w:rPr>
              <w:t>投票表决推荐排名优先的投标人。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2.1.1</w:t>
            </w:r>
          </w:p>
        </w:tc>
        <w:tc>
          <w:tcPr>
            <w:tcW w:w="1382" w:type="dxa"/>
            <w:vMerge w:val="restart"/>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投标人名称</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与营业执照</w:t>
            </w:r>
            <w:r>
              <w:rPr>
                <w:rFonts w:hint="eastAsia" w:ascii="Calibri" w:hAnsi="Calibri"/>
                <w:color w:val="auto"/>
                <w:highlight w:val="none"/>
              </w:rPr>
              <w:t>（或事业单位法人证书）</w:t>
            </w:r>
            <w:r>
              <w:rPr>
                <w:rFonts w:hint="eastAsia" w:ascii="宋体" w:hAnsi="宋体" w:cs="宋体"/>
                <w:color w:val="auto"/>
                <w:szCs w:val="21"/>
                <w:highlight w:val="none"/>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投标函及投标函附录签字盖章</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Calibri" w:hAnsi="Calibri"/>
                <w:color w:val="auto"/>
                <w:highlight w:val="none"/>
              </w:rPr>
              <w:t>有法定代表人</w:t>
            </w:r>
            <w:bookmarkStart w:id="64" w:name="_Toc300835005"/>
            <w:bookmarkStart w:id="65" w:name="_Toc6546"/>
            <w:bookmarkStart w:id="66" w:name="_Toc384308269"/>
            <w:bookmarkStart w:id="67" w:name="_Toc247514008"/>
            <w:bookmarkStart w:id="68" w:name="_Toc152042361"/>
            <w:bookmarkStart w:id="69" w:name="_Toc361508643"/>
            <w:bookmarkStart w:id="70" w:name="_Toc369531574"/>
            <w:bookmarkStart w:id="71" w:name="_Toc247527609"/>
            <w:bookmarkStart w:id="72" w:name="_Toc144974551"/>
            <w:bookmarkStart w:id="73" w:name="_Toc152045584"/>
            <w:bookmarkStart w:id="74" w:name="_Toc352691530"/>
            <w:r>
              <w:rPr>
                <w:rFonts w:hint="eastAsia" w:ascii="Calibri" w:hAnsi="Calibri"/>
                <w:color w:val="auto"/>
                <w:highlight w:val="none"/>
              </w:rPr>
              <w:t>或其委托</w:t>
            </w:r>
            <w:bookmarkEnd w:id="64"/>
            <w:bookmarkEnd w:id="65"/>
            <w:bookmarkEnd w:id="66"/>
            <w:bookmarkEnd w:id="67"/>
            <w:bookmarkEnd w:id="68"/>
            <w:bookmarkEnd w:id="69"/>
            <w:bookmarkEnd w:id="70"/>
            <w:bookmarkEnd w:id="71"/>
            <w:bookmarkEnd w:id="72"/>
            <w:bookmarkEnd w:id="73"/>
            <w:bookmarkEnd w:id="74"/>
            <w:r>
              <w:rPr>
                <w:rFonts w:hint="eastAsia" w:ascii="Calibri" w:hAnsi="Calibri"/>
                <w:color w:val="auto"/>
                <w:highlight w:val="none"/>
              </w:rPr>
              <w:t>代理人签字或加盖单位章。由法定代表人签字或盖章的，应附法定代表人身份证明，由代理人签字或盖章的，应附授权委托书，身份证明或授权委托书应符合第六章</w:t>
            </w:r>
            <w:r>
              <w:rPr>
                <w:rFonts w:ascii="Calibri" w:hAnsi="Calibri"/>
                <w:color w:val="auto"/>
                <w:highlight w:val="none"/>
              </w:rPr>
              <w:t>“</w:t>
            </w:r>
            <w:r>
              <w:rPr>
                <w:rFonts w:hint="eastAsia" w:ascii="Calibri" w:hAnsi="Calibri"/>
                <w:color w:val="auto"/>
                <w:highlight w:val="none"/>
              </w:rPr>
              <w:t>投标文件格式</w:t>
            </w:r>
            <w:r>
              <w:rPr>
                <w:rFonts w:ascii="Calibri" w:hAnsi="Calibri"/>
                <w:color w:val="auto"/>
                <w:highlight w:val="none"/>
              </w:rPr>
              <w:t>”</w:t>
            </w:r>
            <w:r>
              <w:rPr>
                <w:rFonts w:hint="eastAsia" w:ascii="Calibri" w:hAnsi="Calibri"/>
                <w:color w:val="auto"/>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Calibri" w:hAnsi="Calibri"/>
                <w:color w:val="auto"/>
                <w:highlight w:val="none"/>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备选投标方案</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投标人机器码</w:t>
            </w:r>
          </w:p>
        </w:tc>
        <w:tc>
          <w:tcPr>
            <w:tcW w:w="5882" w:type="dxa"/>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2.1.2</w:t>
            </w:r>
          </w:p>
        </w:tc>
        <w:tc>
          <w:tcPr>
            <w:tcW w:w="1382" w:type="dxa"/>
            <w:vMerge w:val="restart"/>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营业执照或事业单位法人证书</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3.5.1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资质要求</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1.4.1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财务要求</w:t>
            </w:r>
          </w:p>
        </w:tc>
        <w:tc>
          <w:tcPr>
            <w:tcW w:w="5882" w:type="dxa"/>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业绩要求</w:t>
            </w:r>
          </w:p>
        </w:tc>
        <w:tc>
          <w:tcPr>
            <w:tcW w:w="5882" w:type="dxa"/>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信誉要求</w:t>
            </w:r>
          </w:p>
        </w:tc>
        <w:tc>
          <w:tcPr>
            <w:tcW w:w="5882" w:type="dxa"/>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项目负责人</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1.4.1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其他主要人员</w:t>
            </w:r>
          </w:p>
        </w:tc>
        <w:tc>
          <w:tcPr>
            <w:tcW w:w="5882" w:type="dxa"/>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试验检测仪器设备</w:t>
            </w:r>
          </w:p>
        </w:tc>
        <w:tc>
          <w:tcPr>
            <w:tcW w:w="5882" w:type="dxa"/>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其他要求</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1.4.1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882" w:type="dxa"/>
            <w:vAlign w:val="center"/>
          </w:tcPr>
          <w:p>
            <w:pPr>
              <w:spacing w:line="360" w:lineRule="auto"/>
              <w:rPr>
                <w:rFonts w:ascii="宋体" w:hAnsi="宋体"/>
                <w:color w:val="auto"/>
                <w:highlight w:val="none"/>
              </w:rPr>
            </w:pPr>
            <w:r>
              <w:rPr>
                <w:rFonts w:hint="eastAsia" w:ascii="宋体" w:hAnsi="宋体"/>
                <w:color w:val="auto"/>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不存在第二章“投标人须知”第</w:t>
            </w:r>
            <w:r>
              <w:rPr>
                <w:rFonts w:ascii="宋体" w:hAnsi="宋体" w:cs="宋体"/>
                <w:color w:val="auto"/>
                <w:szCs w:val="21"/>
                <w:highlight w:val="none"/>
              </w:rPr>
              <w:t xml:space="preserve"> 1.4.3 </w:t>
            </w:r>
            <w:r>
              <w:rPr>
                <w:rFonts w:hint="eastAsia" w:ascii="宋体" w:hAnsi="宋体" w:cs="宋体"/>
                <w:color w:val="auto"/>
                <w:szCs w:val="21"/>
                <w:highlight w:val="none"/>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restart"/>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2.1.3</w:t>
            </w:r>
          </w:p>
        </w:tc>
        <w:tc>
          <w:tcPr>
            <w:tcW w:w="1382" w:type="dxa"/>
            <w:vMerge w:val="restart"/>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3.2 </w:t>
            </w:r>
            <w:r>
              <w:rPr>
                <w:rFonts w:hint="eastAsia" w:ascii="宋体" w:hAnsi="宋体" w:cs="宋体"/>
                <w:color w:val="auto"/>
                <w:szCs w:val="21"/>
                <w:highlight w:val="none"/>
              </w:rPr>
              <w:t>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投标内容</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1.3.1 </w:t>
            </w:r>
            <w:r>
              <w:rPr>
                <w:rFonts w:hint="eastAsia" w:ascii="宋体" w:hAnsi="宋体" w:cs="宋体"/>
                <w:color w:val="auto"/>
                <w:szCs w:val="21"/>
                <w:highlight w:val="none"/>
              </w:rPr>
              <w:t>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服务期限</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1.3.2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质量标准</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1.3.3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3.3.1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w:t>
            </w:r>
            <w:r>
              <w:rPr>
                <w:rFonts w:ascii="宋体" w:hAnsi="宋体" w:cs="宋体"/>
                <w:color w:val="auto"/>
                <w:szCs w:val="21"/>
                <w:highlight w:val="none"/>
              </w:rPr>
              <w:t xml:space="preserve"> 3.4.1 </w:t>
            </w:r>
            <w:r>
              <w:rPr>
                <w:rFonts w:hint="eastAsia" w:ascii="宋体" w:hAnsi="宋体" w:cs="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594" w:type="dxa"/>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串通投标情形</w:t>
            </w:r>
          </w:p>
        </w:tc>
        <w:tc>
          <w:tcPr>
            <w:tcW w:w="5882" w:type="dxa"/>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233" w:type="dxa"/>
            <w:gridSpan w:val="2"/>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w:t>
            </w:r>
          </w:p>
        </w:tc>
        <w:tc>
          <w:tcPr>
            <w:tcW w:w="1594" w:type="dxa"/>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条款内容</w:t>
            </w:r>
          </w:p>
        </w:tc>
        <w:tc>
          <w:tcPr>
            <w:tcW w:w="5882" w:type="dxa"/>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3" w:type="dxa"/>
            <w:gridSpan w:val="2"/>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2.2.1</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分值构成</w:t>
            </w:r>
            <w:r>
              <w:rPr>
                <w:rFonts w:ascii="宋体" w:hAnsi="宋体" w:cs="宋体"/>
                <w:color w:val="auto"/>
                <w:szCs w:val="21"/>
                <w:highlight w:val="none"/>
              </w:rPr>
              <w:t>(</w:t>
            </w:r>
            <w:r>
              <w:rPr>
                <w:rFonts w:hint="eastAsia" w:ascii="宋体" w:hAnsi="宋体" w:cs="宋体"/>
                <w:color w:val="auto"/>
                <w:szCs w:val="21"/>
                <w:highlight w:val="none"/>
              </w:rPr>
              <w:t>总分</w:t>
            </w:r>
            <w:r>
              <w:rPr>
                <w:rFonts w:ascii="宋体" w:hAnsi="宋体" w:cs="宋体"/>
                <w:color w:val="auto"/>
                <w:szCs w:val="21"/>
                <w:highlight w:val="none"/>
              </w:rPr>
              <w:t xml:space="preserve"> 100 </w:t>
            </w:r>
            <w:r>
              <w:rPr>
                <w:rFonts w:hint="eastAsia" w:ascii="宋体" w:hAnsi="宋体" w:cs="宋体"/>
                <w:color w:val="auto"/>
                <w:szCs w:val="21"/>
                <w:highlight w:val="none"/>
              </w:rPr>
              <w:t>分</w:t>
            </w:r>
            <w:r>
              <w:rPr>
                <w:rFonts w:ascii="宋体" w:hAnsi="宋体" w:cs="宋体"/>
                <w:color w:val="auto"/>
                <w:szCs w:val="21"/>
                <w:highlight w:val="none"/>
              </w:rPr>
              <w:t>)</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投标人总得分</w:t>
            </w:r>
            <w:r>
              <w:rPr>
                <w:rFonts w:ascii="宋体" w:hAnsi="宋体" w:cs="宋体"/>
                <w:color w:val="auto"/>
                <w:szCs w:val="21"/>
                <w:highlight w:val="none"/>
              </w:rPr>
              <w:t>=</w:t>
            </w:r>
            <w:r>
              <w:rPr>
                <w:rFonts w:hint="eastAsia" w:ascii="宋体" w:hAnsi="宋体" w:cs="宋体"/>
                <w:color w:val="auto"/>
                <w:szCs w:val="21"/>
                <w:highlight w:val="none"/>
              </w:rPr>
              <w:t>资信业绩部分得分</w:t>
            </w:r>
            <w:r>
              <w:rPr>
                <w:rFonts w:ascii="宋体" w:hAnsi="宋体" w:cs="宋体"/>
                <w:color w:val="auto"/>
                <w:szCs w:val="21"/>
                <w:highlight w:val="none"/>
              </w:rPr>
              <w:t>+</w:t>
            </w:r>
            <w:r>
              <w:rPr>
                <w:rFonts w:hint="eastAsia" w:ascii="宋体" w:hAnsi="宋体" w:cs="宋体"/>
                <w:color w:val="auto"/>
                <w:szCs w:val="21"/>
                <w:highlight w:val="none"/>
              </w:rPr>
              <w:t>检测监测方案纲要部分得分</w:t>
            </w:r>
            <w:r>
              <w:rPr>
                <w:rFonts w:ascii="宋体" w:hAnsi="宋体" w:cs="宋体"/>
                <w:color w:val="auto"/>
                <w:szCs w:val="21"/>
                <w:highlight w:val="none"/>
              </w:rPr>
              <w:t>+</w:t>
            </w:r>
            <w:r>
              <w:rPr>
                <w:rFonts w:hint="eastAsia" w:ascii="宋体" w:hAnsi="宋体" w:cs="宋体"/>
                <w:color w:val="auto"/>
                <w:szCs w:val="21"/>
                <w:highlight w:val="none"/>
              </w:rPr>
              <w:t>投标报价得分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其中：</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资信业绩部分：40分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检测监测方案纲要部分：4</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3" w:type="dxa"/>
            <w:gridSpan w:val="2"/>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2.2.2</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通过</w:t>
            </w:r>
            <w:r>
              <w:rPr>
                <w:rFonts w:hint="eastAsia" w:ascii="宋体" w:hAnsi="宋体" w:cs="微软雅黑"/>
                <w:color w:val="auto"/>
                <w:highlight w:val="none"/>
              </w:rPr>
              <w:t>初步评审</w:t>
            </w:r>
            <w:r>
              <w:rPr>
                <w:rFonts w:hint="eastAsia" w:ascii="宋体" w:hAnsi="宋体" w:cs="宋体"/>
                <w:color w:val="auto"/>
                <w:szCs w:val="21"/>
                <w:highlight w:val="none"/>
              </w:rPr>
              <w:t>的投标人多于5名时，去掉一个最高价和一个最低价，取余下投标报价的算术平均值作为投标报价评标参考价，保留到小数点后两位。</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当通过</w:t>
            </w:r>
            <w:r>
              <w:rPr>
                <w:rFonts w:hint="eastAsia" w:ascii="宋体" w:hAnsi="宋体" w:cs="微软雅黑"/>
                <w:color w:val="auto"/>
                <w:highlight w:val="none"/>
              </w:rPr>
              <w:t>初步评审</w:t>
            </w:r>
            <w:r>
              <w:rPr>
                <w:rFonts w:hint="eastAsia" w:ascii="宋体" w:hAnsi="宋体" w:cs="宋体"/>
                <w:color w:val="auto"/>
                <w:szCs w:val="21"/>
                <w:highlight w:val="none"/>
              </w:rPr>
              <w:t>的投标人少于或等于5名时，则取通过</w:t>
            </w:r>
            <w:r>
              <w:rPr>
                <w:rFonts w:hint="eastAsia" w:ascii="宋体" w:hAnsi="宋体" w:cs="微软雅黑"/>
                <w:color w:val="auto"/>
                <w:highlight w:val="none"/>
              </w:rPr>
              <w:t>初步评审</w:t>
            </w:r>
            <w:r>
              <w:rPr>
                <w:rFonts w:hint="eastAsia" w:ascii="宋体" w:hAnsi="宋体" w:cs="宋体"/>
                <w:color w:val="auto"/>
                <w:szCs w:val="21"/>
                <w:highlight w:val="none"/>
              </w:rPr>
              <w:t>的所有投标人经算数校核的投标报价算术平均值为投标报价评标参考价，保留到小数点后两位。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33" w:type="dxa"/>
            <w:gridSpan w:val="2"/>
            <w:vAlign w:val="center"/>
          </w:tcPr>
          <w:p>
            <w:pPr>
              <w:adjustRightInd w:val="0"/>
              <w:snapToGrid w:val="0"/>
              <w:spacing w:line="360" w:lineRule="auto"/>
              <w:rPr>
                <w:rFonts w:ascii="宋体" w:hAnsi="宋体" w:cs="宋体"/>
                <w:color w:val="auto"/>
                <w:szCs w:val="21"/>
                <w:highlight w:val="none"/>
              </w:rPr>
            </w:pPr>
            <w:r>
              <w:rPr>
                <w:rFonts w:ascii="宋体" w:hAnsi="宋体" w:cs="宋体"/>
                <w:color w:val="auto"/>
                <w:szCs w:val="21"/>
                <w:highlight w:val="none"/>
              </w:rPr>
              <w:t>2.2.3</w:t>
            </w:r>
          </w:p>
        </w:tc>
        <w:tc>
          <w:tcPr>
            <w:tcW w:w="1594"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投标报价的偏差率</w:t>
            </w:r>
            <w:r>
              <w:rPr>
                <w:rFonts w:ascii="宋体" w:hAnsi="宋体" w:cs="宋体"/>
                <w:color w:val="auto"/>
                <w:szCs w:val="21"/>
                <w:highlight w:val="none"/>
              </w:rPr>
              <w:t xml:space="preserve"> </w:t>
            </w:r>
            <w:r>
              <w:rPr>
                <w:rFonts w:hint="eastAsia" w:ascii="宋体" w:hAnsi="宋体" w:cs="宋体"/>
                <w:color w:val="auto"/>
                <w:szCs w:val="21"/>
                <w:highlight w:val="none"/>
              </w:rPr>
              <w:t>计算公式</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偏差率</w:t>
            </w:r>
            <w:r>
              <w:rPr>
                <w:rFonts w:ascii="宋体" w:hAnsi="宋体" w:cs="宋体"/>
                <w:color w:val="auto"/>
                <w:szCs w:val="21"/>
                <w:highlight w:val="none"/>
              </w:rPr>
              <w:t>=</w:t>
            </w:r>
            <w:r>
              <w:rPr>
                <w:rFonts w:hint="eastAsia" w:ascii="宋体" w:hAnsi="宋体" w:cs="宋体"/>
                <w:color w:val="auto"/>
                <w:szCs w:val="21"/>
                <w:highlight w:val="none"/>
              </w:rPr>
              <w:t>∣投标报价</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*100%</w:t>
            </w:r>
            <w:r>
              <w:rPr>
                <w:rFonts w:hint="eastAsia" w:ascii="宋体" w:hAnsi="宋体" w:cs="宋体"/>
                <w:color w:val="auto"/>
                <w:szCs w:val="21"/>
                <w:highlight w:val="none"/>
              </w:rPr>
              <w:t>，（偏差率四舍五入保留</w:t>
            </w:r>
            <w:r>
              <w:rPr>
                <w:rFonts w:ascii="宋体" w:hAnsi="宋体" w:cs="宋体"/>
                <w:color w:val="auto"/>
                <w:szCs w:val="21"/>
                <w:highlight w:val="none"/>
              </w:rPr>
              <w:t>2</w:t>
            </w:r>
            <w:r>
              <w:rPr>
                <w:rFonts w:hint="eastAsia" w:ascii="宋体" w:hAnsi="宋体" w:cs="宋体"/>
                <w:color w:val="auto"/>
                <w:szCs w:val="21"/>
                <w:highlight w:val="none"/>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2233" w:type="dxa"/>
            <w:gridSpan w:val="2"/>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w:t>
            </w:r>
          </w:p>
        </w:tc>
        <w:tc>
          <w:tcPr>
            <w:tcW w:w="1594" w:type="dxa"/>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评分因素</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（偏差率）</w:t>
            </w:r>
          </w:p>
        </w:tc>
        <w:tc>
          <w:tcPr>
            <w:tcW w:w="5882" w:type="dxa"/>
            <w:vAlign w:val="center"/>
          </w:tcPr>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851" w:type="dxa"/>
            <w:vMerge w:val="restart"/>
            <w:vAlign w:val="center"/>
          </w:tcPr>
          <w:p>
            <w:pPr>
              <w:adjustRightInd w:val="0"/>
              <w:snapToGrid w:val="0"/>
              <w:spacing w:line="360" w:lineRule="auto"/>
              <w:jc w:val="center"/>
              <w:rPr>
                <w:rFonts w:ascii="宋体" w:hAnsi="宋体" w:cs="宋体"/>
                <w:color w:val="auto"/>
                <w:szCs w:val="21"/>
                <w:highlight w:val="none"/>
              </w:rPr>
            </w:pPr>
            <w:r>
              <w:rPr>
                <w:rFonts w:ascii="宋体" w:hAnsi="宋体" w:cs="宋体"/>
                <w:color w:val="auto"/>
                <w:szCs w:val="21"/>
                <w:highlight w:val="none"/>
              </w:rPr>
              <w:t>2.2.4</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p>
        </w:tc>
        <w:tc>
          <w:tcPr>
            <w:tcW w:w="1382" w:type="dxa"/>
            <w:vMerge w:val="restart"/>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资信业绩评分标准</w:t>
            </w:r>
          </w:p>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（40分）</w:t>
            </w:r>
          </w:p>
        </w:tc>
        <w:tc>
          <w:tcPr>
            <w:tcW w:w="159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企业资信</w:t>
            </w:r>
          </w:p>
          <w:p>
            <w:pPr>
              <w:spacing w:line="360" w:lineRule="auto"/>
              <w:jc w:val="center"/>
              <w:rPr>
                <w:rFonts w:ascii="宋体" w:hAnsi="宋体" w:cs="微软雅黑"/>
                <w:color w:val="auto"/>
                <w:highlight w:val="none"/>
              </w:rPr>
            </w:pPr>
            <w:r>
              <w:rPr>
                <w:rFonts w:hint="eastAsia" w:ascii="宋体" w:hAnsi="宋体" w:cs="宋体"/>
                <w:color w:val="auto"/>
                <w:szCs w:val="21"/>
                <w:highlight w:val="none"/>
              </w:rPr>
              <w:t>（30分）</w:t>
            </w:r>
          </w:p>
        </w:tc>
        <w:tc>
          <w:tcPr>
            <w:tcW w:w="5882"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1.同时具有ISO质量管理体系、环境管理体系、职业健康安全管理体系、信息安全管理体系、知识产权管理体系认证且在有效期内的，得5分，如不同时具有上述5项管理体系认证且在有效期内的，每得一项得</w:t>
            </w:r>
            <w:r>
              <w:rPr>
                <w:rFonts w:ascii="宋体" w:hAnsi="宋体" w:cs="宋体"/>
                <w:color w:val="auto"/>
                <w:szCs w:val="21"/>
                <w:highlight w:val="none"/>
              </w:rPr>
              <w:t>0.6</w:t>
            </w:r>
            <w:r>
              <w:rPr>
                <w:rFonts w:hint="eastAsia" w:ascii="宋体" w:hAnsi="宋体" w:cs="宋体"/>
                <w:color w:val="auto"/>
                <w:szCs w:val="21"/>
                <w:highlight w:val="none"/>
              </w:rPr>
              <w:t>分，没有不得分。本项最高得5分。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2.近三年获得国家级学会（或协会）颁发的“百强企业荣誉称号”的得</w:t>
            </w:r>
            <w:r>
              <w:rPr>
                <w:rFonts w:ascii="宋体" w:hAnsi="宋体" w:cs="宋体"/>
                <w:color w:val="auto"/>
                <w:szCs w:val="21"/>
                <w:highlight w:val="none"/>
              </w:rPr>
              <w:t>5</w:t>
            </w:r>
            <w:r>
              <w:rPr>
                <w:rFonts w:hint="eastAsia" w:ascii="宋体" w:hAnsi="宋体" w:cs="宋体"/>
                <w:color w:val="auto"/>
                <w:szCs w:val="21"/>
                <w:highlight w:val="none"/>
              </w:rPr>
              <w:t>分，无得0分(证书以国家级学会（或协会）颁发为准)。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注：需提供证明材料复印件并加盖公章，不提供不得分。本项最多得</w:t>
            </w:r>
            <w:r>
              <w:rPr>
                <w:rFonts w:ascii="宋体" w:hAnsi="宋体" w:cs="宋体"/>
                <w:color w:val="auto"/>
                <w:szCs w:val="21"/>
                <w:highlight w:val="none"/>
              </w:rPr>
              <w:t>5</w:t>
            </w:r>
            <w:r>
              <w:rPr>
                <w:rFonts w:hint="eastAsia" w:ascii="宋体" w:hAnsi="宋体" w:cs="宋体"/>
                <w:color w:val="auto"/>
                <w:szCs w:val="21"/>
                <w:highlight w:val="none"/>
              </w:rPr>
              <w:t>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3.201</w:t>
            </w:r>
            <w:r>
              <w:rPr>
                <w:rFonts w:ascii="宋体" w:hAnsi="宋体" w:cs="宋体"/>
                <w:color w:val="auto"/>
                <w:szCs w:val="21"/>
                <w:highlight w:val="none"/>
              </w:rPr>
              <w:t>9</w:t>
            </w:r>
            <w:r>
              <w:rPr>
                <w:rFonts w:hint="eastAsia" w:ascii="宋体" w:hAnsi="宋体" w:cs="宋体"/>
                <w:color w:val="auto"/>
                <w:szCs w:val="21"/>
                <w:highlight w:val="none"/>
              </w:rPr>
              <w:t>年1月1日至投标截止当天为止获得过高新企业技术证书并且在有效期范围内的得3分，无则不得分。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4.获得有效期内的工程检测类（或监测类）发明专利或实用新型专利，专利名称带有“检测”或“监测”字样每获得一个专利证书得1分，本项最多得</w:t>
            </w:r>
            <w:r>
              <w:rPr>
                <w:rFonts w:ascii="宋体" w:hAnsi="宋体" w:cs="宋体"/>
                <w:color w:val="auto"/>
                <w:szCs w:val="21"/>
                <w:highlight w:val="none"/>
              </w:rPr>
              <w:t>5</w:t>
            </w:r>
            <w:r>
              <w:rPr>
                <w:rFonts w:hint="eastAsia" w:ascii="宋体" w:hAnsi="宋体" w:cs="宋体"/>
                <w:color w:val="auto"/>
                <w:szCs w:val="21"/>
                <w:highlight w:val="none"/>
              </w:rPr>
              <w:t>分，无则不得分。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5.投标人自2019年1月1日至今承担的类似监测项目获得国家级监测类奖项的，每项得3分；获得省级监测类奖项的，每项得1分；获得市级监测类奖项的，每项得0.5分。本项合计最高得6分。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6.投标人参与过编写检测、勘察相关的国标或者行业标准的情况，参编或主持一项得得</w:t>
            </w:r>
            <w:r>
              <w:rPr>
                <w:rFonts w:ascii="宋体" w:hAnsi="宋体" w:cs="宋体"/>
                <w:color w:val="auto"/>
                <w:szCs w:val="21"/>
                <w:highlight w:val="none"/>
              </w:rPr>
              <w:t>1</w:t>
            </w:r>
            <w:r>
              <w:rPr>
                <w:rFonts w:hint="eastAsia" w:ascii="宋体" w:hAnsi="宋体" w:cs="宋体"/>
                <w:color w:val="auto"/>
                <w:szCs w:val="21"/>
                <w:highlight w:val="none"/>
              </w:rPr>
              <w:t>分，最高得</w:t>
            </w:r>
            <w:r>
              <w:rPr>
                <w:rFonts w:ascii="宋体" w:hAnsi="宋体" w:cs="宋体"/>
                <w:color w:val="auto"/>
                <w:szCs w:val="21"/>
                <w:highlight w:val="none"/>
              </w:rPr>
              <w:t>3</w:t>
            </w:r>
            <w:r>
              <w:rPr>
                <w:rFonts w:hint="eastAsia" w:ascii="宋体" w:hAnsi="宋体" w:cs="宋体"/>
                <w:color w:val="auto"/>
                <w:szCs w:val="21"/>
                <w:highlight w:val="none"/>
              </w:rPr>
              <w:t>分。投标人须提供规范中能够体现投标人作为主编单位或参编单位的关键页复印件。</w:t>
            </w:r>
          </w:p>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7.投标人201</w:t>
            </w:r>
            <w:r>
              <w:rPr>
                <w:rFonts w:ascii="宋体" w:hAnsi="宋体" w:cs="宋体"/>
                <w:color w:val="auto"/>
                <w:szCs w:val="21"/>
                <w:highlight w:val="none"/>
              </w:rPr>
              <w:t>9</w:t>
            </w:r>
            <w:r>
              <w:rPr>
                <w:rFonts w:hint="eastAsia" w:ascii="宋体" w:hAnsi="宋体" w:cs="宋体"/>
                <w:color w:val="auto"/>
                <w:szCs w:val="21"/>
                <w:highlight w:val="none"/>
              </w:rPr>
              <w:t>年1月1日至今获得过国家税务总局“A级纳税人”称号的得3分。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注：A级纳税人称号以“国家税务总局”官网（http://www.chinatax.gov.cn/index.html）查询结果为准，。注：须提供电子证书并加盖投标人电子印章。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851" w:type="dxa"/>
            <w:vMerge w:val="continue"/>
            <w:vAlign w:val="center"/>
          </w:tcPr>
          <w:p>
            <w:pPr>
              <w:adjustRightInd w:val="0"/>
              <w:snapToGrid w:val="0"/>
              <w:spacing w:line="360" w:lineRule="auto"/>
              <w:jc w:val="center"/>
              <w:rPr>
                <w:rFonts w:ascii="宋体" w:hAnsi="宋体" w:cs="宋体"/>
                <w:color w:val="auto"/>
                <w:szCs w:val="21"/>
                <w:highlight w:val="none"/>
              </w:rPr>
            </w:pPr>
          </w:p>
        </w:tc>
        <w:tc>
          <w:tcPr>
            <w:tcW w:w="1382" w:type="dxa"/>
            <w:vMerge w:val="continue"/>
            <w:vAlign w:val="center"/>
          </w:tcPr>
          <w:p>
            <w:pPr>
              <w:adjustRightInd w:val="0"/>
              <w:snapToGrid w:val="0"/>
              <w:spacing w:line="360" w:lineRule="auto"/>
              <w:rPr>
                <w:rFonts w:ascii="宋体" w:hAnsi="宋体" w:cs="宋体"/>
                <w:color w:val="auto"/>
                <w:szCs w:val="21"/>
                <w:highlight w:val="none"/>
              </w:rPr>
            </w:pPr>
          </w:p>
        </w:tc>
        <w:tc>
          <w:tcPr>
            <w:tcW w:w="1594" w:type="dxa"/>
            <w:vAlign w:val="center"/>
          </w:tcPr>
          <w:p>
            <w:pPr>
              <w:spacing w:line="360" w:lineRule="auto"/>
              <w:jc w:val="center"/>
              <w:rPr>
                <w:rFonts w:ascii="宋体" w:hAnsi="宋体" w:cs="宋体"/>
                <w:color w:val="auto"/>
                <w:highlight w:val="none"/>
                <w:lang w:val="zh-CN"/>
              </w:rPr>
            </w:pPr>
            <w:r>
              <w:rPr>
                <w:rFonts w:hint="eastAsia" w:ascii="宋体" w:hAnsi="宋体" w:cs="宋体"/>
                <w:color w:val="auto"/>
                <w:highlight w:val="none"/>
                <w:lang w:val="zh-CN"/>
              </w:rPr>
              <w:t>业绩</w:t>
            </w:r>
          </w:p>
          <w:p>
            <w:pPr>
              <w:spacing w:line="360" w:lineRule="auto"/>
              <w:jc w:val="center"/>
              <w:rPr>
                <w:rFonts w:ascii="宋体" w:hAnsi="宋体" w:cs="宋体"/>
                <w:color w:val="auto"/>
                <w:highlight w:val="none"/>
              </w:rPr>
            </w:pPr>
            <w:r>
              <w:rPr>
                <w:rFonts w:hint="eastAsia" w:ascii="宋体" w:hAnsi="宋体" w:cs="宋体"/>
                <w:color w:val="auto"/>
                <w:highlight w:val="none"/>
                <w:lang w:val="zh-CN"/>
              </w:rPr>
              <w:t>（</w:t>
            </w:r>
            <w:r>
              <w:rPr>
                <w:rFonts w:hint="eastAsia" w:ascii="宋体" w:hAnsi="宋体" w:cs="宋体"/>
                <w:color w:val="auto"/>
                <w:highlight w:val="none"/>
              </w:rPr>
              <w:t>10</w:t>
            </w:r>
            <w:r>
              <w:rPr>
                <w:rFonts w:hint="eastAsia" w:ascii="宋体" w:hAnsi="宋体" w:cs="宋体"/>
                <w:color w:val="auto"/>
                <w:highlight w:val="none"/>
                <w:lang w:val="zh-CN"/>
              </w:rPr>
              <w:t>分）</w:t>
            </w:r>
          </w:p>
        </w:tc>
        <w:tc>
          <w:tcPr>
            <w:tcW w:w="588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投标人自2019年1月1日至今承接过类似检测或监测项目，合同金额≥130万的每个得1分，最多10分；</w:t>
            </w:r>
          </w:p>
          <w:p>
            <w:pPr>
              <w:spacing w:line="360" w:lineRule="auto"/>
              <w:rPr>
                <w:rFonts w:ascii="宋体" w:hAnsi="宋体" w:cs="宋体"/>
                <w:color w:val="auto"/>
                <w:szCs w:val="21"/>
                <w:highlight w:val="none"/>
              </w:rPr>
            </w:pPr>
            <w:r>
              <w:rPr>
                <w:rFonts w:hint="eastAsia" w:ascii="宋体" w:hAnsi="宋体"/>
                <w:color w:val="auto"/>
                <w:highlight w:val="none"/>
              </w:rPr>
              <w:t>注：</w:t>
            </w:r>
            <w:r>
              <w:rPr>
                <w:rFonts w:hint="eastAsia" w:ascii="宋体" w:hAnsi="宋体" w:cs="宋体"/>
                <w:color w:val="auto"/>
                <w:highlight w:val="none"/>
              </w:rPr>
              <w:t>类似检测监测项目业绩是指包含本项目招标工程量清单中的一项或多项的项目业绩，需提供中标通知书或技术服务合同。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Merge w:val="restart"/>
            <w:vAlign w:val="center"/>
          </w:tcPr>
          <w:p>
            <w:pPr>
              <w:spacing w:after="180" w:line="360" w:lineRule="auto"/>
              <w:jc w:val="center"/>
              <w:rPr>
                <w:rFonts w:ascii="宋体" w:hAnsi="宋体" w:cs="宋体"/>
                <w:color w:val="auto"/>
                <w:szCs w:val="21"/>
                <w:highlight w:val="none"/>
              </w:rPr>
            </w:pPr>
            <w:r>
              <w:rPr>
                <w:rFonts w:ascii="宋体" w:hAnsi="宋体" w:cs="宋体"/>
                <w:color w:val="auto"/>
                <w:szCs w:val="21"/>
                <w:highlight w:val="none"/>
              </w:rPr>
              <w:t>2.2.4</w:t>
            </w:r>
          </w:p>
          <w:p>
            <w:pPr>
              <w:spacing w:line="360" w:lineRule="auto"/>
              <w:ind w:left="106"/>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p>
        </w:tc>
        <w:tc>
          <w:tcPr>
            <w:tcW w:w="1382"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检测监测方案纲要评分标准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分）</w:t>
            </w:r>
          </w:p>
        </w:tc>
        <w:tc>
          <w:tcPr>
            <w:tcW w:w="159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检测监测方案纲要</w:t>
            </w:r>
            <w:r>
              <w:rPr>
                <w:rFonts w:hint="eastAsia" w:ascii="宋体" w:hAnsi="宋体" w:cs="宋体"/>
                <w:color w:val="auto"/>
                <w:highlight w:val="none"/>
                <w:lang w:val="zh-CN"/>
              </w:rPr>
              <w:t>（</w:t>
            </w:r>
            <w:r>
              <w:rPr>
                <w:rFonts w:hint="eastAsia" w:ascii="宋体" w:hAnsi="宋体" w:cs="宋体"/>
                <w:color w:val="auto"/>
                <w:highlight w:val="none"/>
              </w:rPr>
              <w:t>10</w:t>
            </w:r>
            <w:r>
              <w:rPr>
                <w:rFonts w:hint="eastAsia" w:ascii="宋体" w:hAnsi="宋体" w:cs="宋体"/>
                <w:color w:val="auto"/>
                <w:highlight w:val="none"/>
                <w:lang w:val="zh-CN"/>
              </w:rPr>
              <w:t>分）</w:t>
            </w:r>
          </w:p>
        </w:tc>
        <w:tc>
          <w:tcPr>
            <w:tcW w:w="588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优：检测工作的程序与方案详细、具体，内容齐全，能满足用户需求，有合理可行的保证通过相关验收、满足工程进度确保措施，得[10]分。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良：检测工作的程序与方案内容齐全，基本满足要求，检测方法符合检测要求，得[</w:t>
            </w:r>
            <w:r>
              <w:rPr>
                <w:rFonts w:ascii="宋体" w:hAnsi="宋体" w:cs="宋体"/>
                <w:color w:val="auto"/>
                <w:szCs w:val="21"/>
                <w:highlight w:val="none"/>
              </w:rPr>
              <w:t>8-10</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中：检测工作的程序与方案不够全面具体，可行性低，得（</w:t>
            </w:r>
            <w:r>
              <w:rPr>
                <w:rFonts w:ascii="宋体" w:hAnsi="宋体" w:cs="宋体"/>
                <w:color w:val="auto"/>
                <w:szCs w:val="21"/>
                <w:highlight w:val="none"/>
              </w:rPr>
              <w:t>6-8</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差：检测方案内容阐述缺项，检测程序不满足要求，得[</w:t>
            </w:r>
            <w:r>
              <w:rPr>
                <w:rFonts w:ascii="宋体" w:hAnsi="宋体" w:cs="宋体"/>
                <w:color w:val="auto"/>
                <w:szCs w:val="21"/>
                <w:highlight w:val="none"/>
              </w:rPr>
              <w:t>6</w:t>
            </w:r>
            <w:r>
              <w:rPr>
                <w:rFonts w:hint="eastAsia" w:ascii="宋体" w:hAnsi="宋体" w:cs="宋体"/>
                <w:color w:val="auto"/>
                <w:szCs w:val="21"/>
                <w:highlight w:val="none"/>
              </w:rPr>
              <w:t>]分。</w:t>
            </w:r>
          </w:p>
          <w:p>
            <w:pPr>
              <w:pStyle w:val="2"/>
              <w:ind w:firstLine="0" w:firstLineChars="0"/>
              <w:rPr>
                <w:color w:val="auto"/>
                <w:highlight w:val="none"/>
              </w:rPr>
            </w:pPr>
            <w:r>
              <w:rPr>
                <w:rFonts w:hint="eastAsia"/>
                <w:color w:val="auto"/>
                <w:highlight w:val="none"/>
              </w:rPr>
              <w:t>注：检测监测方案不提供，得</w:t>
            </w:r>
            <w:r>
              <w:rPr>
                <w:color w:val="auto"/>
                <w:highlight w:val="none"/>
              </w:rPr>
              <w:t>[0]</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Merge w:val="continue"/>
            <w:vAlign w:val="center"/>
          </w:tcPr>
          <w:p>
            <w:pPr>
              <w:spacing w:line="360" w:lineRule="auto"/>
              <w:ind w:left="106"/>
              <w:rPr>
                <w:rFonts w:ascii="宋体" w:hAnsi="宋体" w:cs="宋体"/>
                <w:color w:val="auto"/>
                <w:szCs w:val="21"/>
                <w:highlight w:val="none"/>
              </w:rPr>
            </w:pPr>
          </w:p>
        </w:tc>
        <w:tc>
          <w:tcPr>
            <w:tcW w:w="1382" w:type="dxa"/>
            <w:vMerge w:val="continue"/>
            <w:vAlign w:val="center"/>
          </w:tcPr>
          <w:p>
            <w:pPr>
              <w:spacing w:line="360" w:lineRule="auto"/>
              <w:rPr>
                <w:rFonts w:ascii="宋体" w:hAnsi="宋体" w:cs="宋体"/>
                <w:color w:val="auto"/>
                <w:szCs w:val="21"/>
                <w:highlight w:val="none"/>
              </w:rPr>
            </w:pPr>
          </w:p>
        </w:tc>
        <w:tc>
          <w:tcPr>
            <w:tcW w:w="159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项目负责人专业水平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分）</w:t>
            </w:r>
          </w:p>
        </w:tc>
        <w:tc>
          <w:tcPr>
            <w:tcW w:w="588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项目负责人（共</w:t>
            </w:r>
            <w:r>
              <w:rPr>
                <w:rFonts w:ascii="宋体" w:hAnsi="宋体" w:cs="宋体"/>
                <w:color w:val="auto"/>
                <w:szCs w:val="21"/>
                <w:highlight w:val="none"/>
              </w:rPr>
              <w:t>5</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1、具有注册土木工程师（岩土）得</w:t>
            </w:r>
            <w:r>
              <w:rPr>
                <w:rFonts w:ascii="宋体" w:hAnsi="宋体" w:cs="宋体"/>
                <w:color w:val="auto"/>
                <w:szCs w:val="21"/>
                <w:highlight w:val="none"/>
              </w:rPr>
              <w:t>3</w:t>
            </w:r>
            <w:r>
              <w:rPr>
                <w:rFonts w:hint="eastAsia" w:ascii="宋体" w:hAnsi="宋体" w:cs="宋体"/>
                <w:color w:val="auto"/>
                <w:szCs w:val="21"/>
                <w:highlight w:val="none"/>
              </w:rPr>
              <w:t>分，其它不得分。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highlight w:val="none"/>
              </w:rPr>
              <w:t>具有省级或以上培训机构颁发相关检测员证（或检测鉴定培训合格证）</w:t>
            </w:r>
            <w:r>
              <w:rPr>
                <w:rFonts w:hint="eastAsia" w:ascii="宋体" w:hAnsi="宋体" w:cs="宋体"/>
                <w:color w:val="auto"/>
                <w:highlight w:val="none"/>
              </w:rPr>
              <w:t>每项得0.5分，最多得</w:t>
            </w:r>
            <w:r>
              <w:rPr>
                <w:rFonts w:ascii="宋体" w:hAnsi="宋体" w:cs="宋体"/>
                <w:color w:val="auto"/>
                <w:highlight w:val="none"/>
              </w:rPr>
              <w:t>2</w:t>
            </w:r>
            <w:r>
              <w:rPr>
                <w:rFonts w:hint="eastAsia" w:ascii="宋体" w:hAnsi="宋体" w:cs="宋体"/>
                <w:color w:val="auto"/>
                <w:highlight w:val="none"/>
              </w:rPr>
              <w:t>分。</w:t>
            </w:r>
          </w:p>
          <w:p>
            <w:pPr>
              <w:spacing w:line="360" w:lineRule="auto"/>
              <w:rPr>
                <w:rFonts w:ascii="Calibri" w:hAnsi="Calibri"/>
                <w:color w:val="auto"/>
                <w:szCs w:val="21"/>
                <w:highlight w:val="none"/>
              </w:rPr>
            </w:pPr>
            <w:r>
              <w:rPr>
                <w:rFonts w:hint="eastAsia" w:ascii="宋体" w:hAnsi="宋体" w:cs="宋体"/>
                <w:color w:val="auto"/>
                <w:szCs w:val="21"/>
                <w:highlight w:val="none"/>
              </w:rPr>
              <w:t>（项目负责人和技术负责人不可以为同一个人，提供相关证书扫描件）。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Merge w:val="continue"/>
            <w:vAlign w:val="center"/>
          </w:tcPr>
          <w:p>
            <w:pPr>
              <w:spacing w:line="360" w:lineRule="auto"/>
              <w:ind w:left="106"/>
              <w:rPr>
                <w:rFonts w:ascii="宋体" w:hAnsi="宋体" w:cs="宋体"/>
                <w:color w:val="auto"/>
                <w:szCs w:val="21"/>
                <w:highlight w:val="none"/>
              </w:rPr>
            </w:pPr>
          </w:p>
        </w:tc>
        <w:tc>
          <w:tcPr>
            <w:tcW w:w="1382" w:type="dxa"/>
            <w:vMerge w:val="continue"/>
            <w:vAlign w:val="center"/>
          </w:tcPr>
          <w:p>
            <w:pPr>
              <w:spacing w:line="360" w:lineRule="auto"/>
              <w:rPr>
                <w:rFonts w:ascii="宋体" w:hAnsi="宋体" w:cs="宋体"/>
                <w:color w:val="auto"/>
                <w:szCs w:val="21"/>
                <w:highlight w:val="none"/>
              </w:rPr>
            </w:pPr>
          </w:p>
        </w:tc>
        <w:tc>
          <w:tcPr>
            <w:tcW w:w="1594" w:type="dxa"/>
            <w:vAlign w:val="center"/>
          </w:tcPr>
          <w:p>
            <w:pPr>
              <w:spacing w:line="360" w:lineRule="auto"/>
              <w:jc w:val="center"/>
              <w:rPr>
                <w:rFonts w:ascii="宋体" w:hAnsi="Calibri"/>
                <w:color w:val="auto"/>
                <w:szCs w:val="21"/>
                <w:highlight w:val="none"/>
              </w:rPr>
            </w:pPr>
            <w:r>
              <w:rPr>
                <w:rFonts w:hint="eastAsia" w:ascii="宋体" w:hAnsi="宋体"/>
                <w:color w:val="auto"/>
                <w:szCs w:val="21"/>
                <w:highlight w:val="none"/>
              </w:rPr>
              <w:t>技术负责人专业水平</w:t>
            </w:r>
          </w:p>
          <w:p>
            <w:pPr>
              <w:spacing w:line="360" w:lineRule="auto"/>
              <w:jc w:val="center"/>
              <w:rPr>
                <w:rFonts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分）</w:t>
            </w:r>
          </w:p>
        </w:tc>
        <w:tc>
          <w:tcPr>
            <w:tcW w:w="588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技术负责人（共</w:t>
            </w:r>
            <w:r>
              <w:rPr>
                <w:rFonts w:ascii="宋体" w:hAnsi="宋体" w:cs="宋体"/>
                <w:color w:val="auto"/>
                <w:szCs w:val="21"/>
                <w:highlight w:val="none"/>
              </w:rPr>
              <w:t>5</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1、具有建筑工程检测高级或以上职称的得</w:t>
            </w:r>
            <w:r>
              <w:rPr>
                <w:rFonts w:ascii="宋体" w:hAnsi="宋体" w:cs="宋体"/>
                <w:color w:val="auto"/>
                <w:szCs w:val="21"/>
                <w:highlight w:val="none"/>
              </w:rPr>
              <w:t>3</w:t>
            </w:r>
            <w:r>
              <w:rPr>
                <w:rFonts w:hint="eastAsia" w:ascii="宋体" w:hAnsi="宋体" w:cs="宋体"/>
                <w:color w:val="auto"/>
                <w:szCs w:val="21"/>
                <w:highlight w:val="none"/>
              </w:rPr>
              <w:t>分，其它不得分。</w:t>
            </w:r>
          </w:p>
          <w:p>
            <w:pPr>
              <w:spacing w:line="360" w:lineRule="auto"/>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具有省级或以上培训机构颁发相关检测员证（或检测鉴定培训合格证）</w:t>
            </w:r>
            <w:r>
              <w:rPr>
                <w:rFonts w:hint="eastAsia" w:ascii="宋体" w:hAnsi="宋体" w:cs="宋体"/>
                <w:color w:val="auto"/>
                <w:highlight w:val="none"/>
              </w:rPr>
              <w:t>每项得0.5分，最多得</w:t>
            </w:r>
            <w:r>
              <w:rPr>
                <w:rFonts w:ascii="宋体" w:hAnsi="宋体" w:cs="宋体"/>
                <w:color w:val="auto"/>
                <w:highlight w:val="none"/>
              </w:rPr>
              <w:t>2</w:t>
            </w:r>
            <w:r>
              <w:rPr>
                <w:rFonts w:hint="eastAsia" w:ascii="宋体" w:hAnsi="宋体" w:cs="宋体"/>
                <w:color w:val="auto"/>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注：需提供人员职称证书及相关检测员证书扫描件。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Merge w:val="continue"/>
            <w:vAlign w:val="center"/>
          </w:tcPr>
          <w:p>
            <w:pPr>
              <w:spacing w:line="360" w:lineRule="auto"/>
              <w:ind w:left="106"/>
              <w:rPr>
                <w:rFonts w:ascii="宋体" w:hAnsi="宋体" w:cs="宋体"/>
                <w:color w:val="auto"/>
                <w:szCs w:val="21"/>
                <w:highlight w:val="none"/>
              </w:rPr>
            </w:pPr>
          </w:p>
        </w:tc>
        <w:tc>
          <w:tcPr>
            <w:tcW w:w="1382" w:type="dxa"/>
            <w:vMerge w:val="continue"/>
            <w:vAlign w:val="center"/>
          </w:tcPr>
          <w:p>
            <w:pPr>
              <w:spacing w:line="360" w:lineRule="auto"/>
              <w:rPr>
                <w:rFonts w:ascii="宋体" w:hAnsi="宋体" w:cs="宋体"/>
                <w:color w:val="auto"/>
                <w:szCs w:val="21"/>
                <w:highlight w:val="none"/>
              </w:rPr>
            </w:pPr>
          </w:p>
        </w:tc>
        <w:tc>
          <w:tcPr>
            <w:tcW w:w="159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安全质量负责人（</w:t>
            </w:r>
            <w:r>
              <w:rPr>
                <w:rFonts w:ascii="宋体" w:hAnsi="宋体"/>
                <w:color w:val="auto"/>
                <w:szCs w:val="21"/>
                <w:highlight w:val="none"/>
              </w:rPr>
              <w:t>5</w:t>
            </w:r>
            <w:r>
              <w:rPr>
                <w:rFonts w:hint="eastAsia" w:ascii="宋体" w:hAnsi="宋体"/>
                <w:color w:val="auto"/>
                <w:szCs w:val="21"/>
                <w:highlight w:val="none"/>
              </w:rPr>
              <w:t>分）</w:t>
            </w:r>
          </w:p>
        </w:tc>
        <w:tc>
          <w:tcPr>
            <w:tcW w:w="5882" w:type="dxa"/>
            <w:vAlign w:val="center"/>
          </w:tcPr>
          <w:p>
            <w:pPr>
              <w:numPr>
                <w:ilvl w:val="0"/>
                <w:numId w:val="1"/>
              </w:numPr>
              <w:snapToGrid w:val="0"/>
              <w:rPr>
                <w:rFonts w:ascii="宋体" w:hAnsi="宋体" w:cs="宋体"/>
                <w:color w:val="auto"/>
                <w:highlight w:val="none"/>
              </w:rPr>
            </w:pPr>
            <w:r>
              <w:rPr>
                <w:rFonts w:hint="eastAsia" w:ascii="宋体" w:hAnsi="宋体" w:cs="宋体"/>
                <w:color w:val="auto"/>
                <w:highlight w:val="none"/>
              </w:rPr>
              <w:t>同时具有注册岩土工程师资格证书资格证书、注册安全工程师证书，得</w:t>
            </w:r>
            <w:r>
              <w:rPr>
                <w:rFonts w:ascii="宋体" w:hAnsi="宋体" w:cs="宋体"/>
                <w:color w:val="auto"/>
                <w:highlight w:val="none"/>
              </w:rPr>
              <w:t>3</w:t>
            </w:r>
            <w:r>
              <w:rPr>
                <w:rFonts w:hint="eastAsia" w:ascii="宋体" w:hAnsi="宋体" w:cs="宋体"/>
                <w:color w:val="auto"/>
                <w:highlight w:val="none"/>
              </w:rPr>
              <w:t>分；</w:t>
            </w:r>
          </w:p>
          <w:p>
            <w:pPr>
              <w:numPr>
                <w:ilvl w:val="0"/>
                <w:numId w:val="1"/>
              </w:numPr>
              <w:snapToGrid w:val="0"/>
              <w:rPr>
                <w:rFonts w:ascii="宋体" w:hAnsi="宋体" w:cs="宋体"/>
                <w:color w:val="auto"/>
                <w:highlight w:val="none"/>
              </w:rPr>
            </w:pPr>
            <w:r>
              <w:rPr>
                <w:rFonts w:hint="eastAsia" w:ascii="宋体" w:hAnsi="宋体" w:cs="宋体"/>
                <w:color w:val="auto"/>
                <w:highlight w:val="none"/>
              </w:rPr>
              <w:t>同时具有注册测绘工程师资格证书、注册安全工程师证书，得2分；</w:t>
            </w:r>
          </w:p>
          <w:p>
            <w:pPr>
              <w:rPr>
                <w:rFonts w:ascii="宋体" w:hAnsi="宋体" w:cs="宋体"/>
                <w:color w:val="auto"/>
                <w:highlight w:val="none"/>
              </w:rPr>
            </w:pPr>
            <w:r>
              <w:rPr>
                <w:rFonts w:hint="eastAsia" w:ascii="宋体" w:hAnsi="宋体" w:cs="宋体"/>
                <w:color w:val="auto"/>
                <w:highlight w:val="none"/>
              </w:rPr>
              <w:t>3、具有工程类专业高级工程师或以上职称的得1分</w:t>
            </w:r>
          </w:p>
          <w:p>
            <w:pPr>
              <w:pStyle w:val="2"/>
              <w:ind w:firstLine="0" w:firstLineChars="0"/>
              <w:rPr>
                <w:color w:val="auto"/>
                <w:highlight w:val="none"/>
              </w:rPr>
            </w:pPr>
            <w:r>
              <w:rPr>
                <w:rFonts w:hint="eastAsia" w:ascii="宋体" w:hAnsi="宋体" w:cs="宋体"/>
                <w:color w:val="auto"/>
                <w:highlight w:val="none"/>
              </w:rPr>
              <w:t>4、</w:t>
            </w:r>
            <w:r>
              <w:rPr>
                <w:rFonts w:hint="eastAsia" w:ascii="宋体" w:hAnsi="宋体" w:cs="宋体"/>
                <w:color w:val="auto"/>
                <w:kern w:val="0"/>
                <w:highlight w:val="none"/>
              </w:rPr>
              <w:t>持有</w:t>
            </w:r>
            <w:r>
              <w:rPr>
                <w:rFonts w:hint="eastAsia" w:ascii="宋体" w:hAnsi="宋体" w:cs="楷体_GB2312"/>
                <w:color w:val="auto"/>
                <w:highlight w:val="none"/>
              </w:rPr>
              <w:t>建筑变形测量或</w:t>
            </w:r>
            <w:r>
              <w:rPr>
                <w:rFonts w:hint="eastAsia" w:ascii="宋体" w:hAnsi="宋体" w:cs="宋体"/>
                <w:color w:val="auto"/>
                <w:kern w:val="0"/>
                <w:highlight w:val="none"/>
              </w:rPr>
              <w:t>基坑监测检测员证</w:t>
            </w:r>
            <w:r>
              <w:rPr>
                <w:rFonts w:hint="eastAsia" w:ascii="宋体" w:hAnsi="宋体"/>
                <w:color w:val="auto"/>
                <w:highlight w:val="none"/>
              </w:rPr>
              <w:t>得</w:t>
            </w:r>
            <w:r>
              <w:rPr>
                <w:rFonts w:ascii="宋体" w:hAnsi="宋体"/>
                <w:color w:val="auto"/>
                <w:highlight w:val="none"/>
              </w:rPr>
              <w:t>1</w:t>
            </w:r>
            <w:r>
              <w:rPr>
                <w:rFonts w:hint="eastAsia" w:ascii="宋体" w:hAnsi="宋体"/>
                <w:color w:val="auto"/>
                <w:highlight w:val="none"/>
              </w:rPr>
              <w:t>分。</w:t>
            </w:r>
          </w:p>
          <w:p>
            <w:pPr>
              <w:spacing w:line="360" w:lineRule="auto"/>
              <w:rPr>
                <w:rFonts w:ascii="宋体" w:hAnsi="宋体" w:cs="宋体"/>
                <w:color w:val="auto"/>
                <w:szCs w:val="21"/>
                <w:highlight w:val="none"/>
              </w:rPr>
            </w:pPr>
            <w:r>
              <w:rPr>
                <w:rFonts w:hint="eastAsia"/>
                <w:color w:val="auto"/>
                <w:highlight w:val="none"/>
              </w:rPr>
              <w:t>注：</w:t>
            </w:r>
            <w:r>
              <w:rPr>
                <w:rFonts w:hint="eastAsia" w:ascii="宋体" w:hAnsi="宋体" w:cs="宋体"/>
                <w:color w:val="auto"/>
                <w:highlight w:val="none"/>
              </w:rPr>
              <w:t>需提供证明材料复印件并加盖公章</w:t>
            </w:r>
            <w:r>
              <w:rPr>
                <w:rFonts w:hint="eastAsia"/>
                <w:color w:val="auto"/>
                <w:highlight w:val="none"/>
              </w:rPr>
              <w:t>，不提供不得分。本项最多得4分。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Merge w:val="continue"/>
            <w:vAlign w:val="center"/>
          </w:tcPr>
          <w:p>
            <w:pPr>
              <w:spacing w:line="360" w:lineRule="auto"/>
              <w:ind w:left="106"/>
              <w:rPr>
                <w:rFonts w:ascii="宋体" w:hAnsi="宋体" w:cs="宋体"/>
                <w:color w:val="auto"/>
                <w:szCs w:val="21"/>
                <w:highlight w:val="none"/>
              </w:rPr>
            </w:pPr>
          </w:p>
        </w:tc>
        <w:tc>
          <w:tcPr>
            <w:tcW w:w="1382" w:type="dxa"/>
            <w:vMerge w:val="continue"/>
            <w:vAlign w:val="center"/>
          </w:tcPr>
          <w:p>
            <w:pPr>
              <w:spacing w:line="360" w:lineRule="auto"/>
              <w:rPr>
                <w:rFonts w:ascii="宋体" w:hAnsi="宋体" w:cs="宋体"/>
                <w:color w:val="auto"/>
                <w:szCs w:val="21"/>
                <w:highlight w:val="none"/>
              </w:rPr>
            </w:pPr>
          </w:p>
        </w:tc>
        <w:tc>
          <w:tcPr>
            <w:tcW w:w="159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拟投入主要技术人员要求</w:t>
            </w:r>
          </w:p>
          <w:p>
            <w:pPr>
              <w:spacing w:line="360" w:lineRule="auto"/>
              <w:jc w:val="center"/>
              <w:rPr>
                <w:rFonts w:ascii="宋体" w:hAnsi="宋体" w:cs="宋体"/>
                <w:color w:val="auto"/>
                <w:szCs w:val="21"/>
                <w:highlight w:val="none"/>
              </w:rPr>
            </w:pPr>
            <w:r>
              <w:rPr>
                <w:rFonts w:hint="eastAsia" w:ascii="宋体" w:hAnsi="宋体"/>
                <w:color w:val="auto"/>
                <w:szCs w:val="21"/>
                <w:highlight w:val="none"/>
              </w:rPr>
              <w:t>（10分）</w:t>
            </w:r>
          </w:p>
        </w:tc>
        <w:tc>
          <w:tcPr>
            <w:tcW w:w="588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主要技术人员（不含项目负责人、技术负责人，10分）：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1.同时具有中级工程师或以上职称，和省级（或以上）建设工程质量安全监督部门或其委托的机构或相关行业协会颁发的相关上岗证，每提供1人得0.5分，最高得5分。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注：需提供人员职称证书及相关检测/监测人员证书扫描件。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Merge w:val="continue"/>
            <w:vAlign w:val="center"/>
          </w:tcPr>
          <w:p>
            <w:pPr>
              <w:spacing w:line="360" w:lineRule="auto"/>
              <w:ind w:left="106"/>
              <w:rPr>
                <w:rFonts w:ascii="宋体" w:hAnsi="宋体" w:cs="宋体"/>
                <w:color w:val="auto"/>
                <w:szCs w:val="21"/>
                <w:highlight w:val="none"/>
              </w:rPr>
            </w:pPr>
          </w:p>
        </w:tc>
        <w:tc>
          <w:tcPr>
            <w:tcW w:w="1382" w:type="dxa"/>
            <w:vMerge w:val="continue"/>
            <w:vAlign w:val="center"/>
          </w:tcPr>
          <w:p>
            <w:pPr>
              <w:spacing w:line="360" w:lineRule="auto"/>
              <w:rPr>
                <w:rFonts w:ascii="宋体" w:hAnsi="宋体" w:cs="宋体"/>
                <w:color w:val="auto"/>
                <w:szCs w:val="21"/>
                <w:highlight w:val="none"/>
              </w:rPr>
            </w:pPr>
          </w:p>
        </w:tc>
        <w:tc>
          <w:tcPr>
            <w:tcW w:w="159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拟投入的检测设备</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分）</w:t>
            </w:r>
          </w:p>
        </w:tc>
        <w:tc>
          <w:tcPr>
            <w:tcW w:w="588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1、优：设备齐全、先进、现代化，满足本项目招标需求，年检合格，设备全部属于自有，得[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2、良：设备齐全，满足本项目招标需求，年检合格，80%（含）以上设备属于自有，得[8</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3、中：设备齐全，基本满足本项目招标需求，年检合格，60%（含）～80%（不含）设备属于自有，得（6</w:t>
            </w:r>
            <w:r>
              <w:rPr>
                <w:rFonts w:ascii="宋体" w:hAnsi="宋体" w:cs="宋体"/>
                <w:color w:val="auto"/>
                <w:szCs w:val="21"/>
                <w:highlight w:val="none"/>
              </w:rPr>
              <w:t>-8</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4、差：设备不能满足本项目招标需求，60%（不含）以下设备属于自有，得[</w:t>
            </w:r>
            <w:r>
              <w:rPr>
                <w:rFonts w:ascii="宋体" w:hAnsi="宋体" w:cs="宋体"/>
                <w:color w:val="auto"/>
                <w:szCs w:val="21"/>
                <w:highlight w:val="none"/>
              </w:rPr>
              <w:t>6</w:t>
            </w:r>
            <w:r>
              <w:rPr>
                <w:rFonts w:hint="eastAsia" w:ascii="宋体" w:hAnsi="宋体" w:cs="宋体"/>
                <w:color w:val="auto"/>
                <w:szCs w:val="21"/>
                <w:highlight w:val="none"/>
              </w:rPr>
              <w:t>]分。</w:t>
            </w:r>
          </w:p>
          <w:p>
            <w:pPr>
              <w:pStyle w:val="2"/>
              <w:ind w:firstLine="0" w:firstLineChars="0"/>
              <w:rPr>
                <w:color w:val="auto"/>
                <w:highlight w:val="none"/>
              </w:rPr>
            </w:pPr>
            <w:r>
              <w:rPr>
                <w:color w:val="auto"/>
                <w:highlight w:val="none"/>
              </w:rPr>
              <w:t>5</w:t>
            </w:r>
            <w:r>
              <w:rPr>
                <w:rFonts w:hint="eastAsia"/>
                <w:color w:val="auto"/>
                <w:highlight w:val="none"/>
              </w:rPr>
              <w:t>、注：拟投入的检测设备不提供，得[</w:t>
            </w:r>
            <w:r>
              <w:rPr>
                <w:color w:val="auto"/>
                <w:highlight w:val="none"/>
              </w:rPr>
              <w:t>0]</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51" w:type="dxa"/>
            <w:vAlign w:val="center"/>
          </w:tcPr>
          <w:p>
            <w:pPr>
              <w:spacing w:after="180" w:line="360" w:lineRule="auto"/>
              <w:rPr>
                <w:rFonts w:ascii="宋体" w:hAnsi="宋体" w:cs="宋体"/>
                <w:color w:val="auto"/>
                <w:szCs w:val="21"/>
                <w:highlight w:val="none"/>
              </w:rPr>
            </w:pPr>
            <w:r>
              <w:rPr>
                <w:rFonts w:ascii="宋体" w:hAnsi="宋体" w:cs="宋体"/>
                <w:color w:val="auto"/>
                <w:szCs w:val="21"/>
                <w:highlight w:val="none"/>
              </w:rPr>
              <w:t>2.2.4</w:t>
            </w:r>
          </w:p>
          <w:p>
            <w:pPr>
              <w:spacing w:after="180"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 xml:space="preserve"> </w:t>
            </w:r>
          </w:p>
        </w:tc>
        <w:tc>
          <w:tcPr>
            <w:tcW w:w="1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（15分）</w:t>
            </w:r>
          </w:p>
        </w:tc>
        <w:tc>
          <w:tcPr>
            <w:tcW w:w="159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计算方法</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（15分）</w:t>
            </w:r>
          </w:p>
        </w:tc>
        <w:tc>
          <w:tcPr>
            <w:tcW w:w="5882" w:type="dxa"/>
            <w:vAlign w:val="center"/>
          </w:tcPr>
          <w:p>
            <w:pPr>
              <w:spacing w:line="360" w:lineRule="auto"/>
              <w:rPr>
                <w:rFonts w:ascii="宋体" w:hAnsi="宋体" w:cs="微软雅黑"/>
                <w:color w:val="auto"/>
                <w:highlight w:val="none"/>
              </w:rPr>
            </w:pPr>
            <w:r>
              <w:rPr>
                <w:rFonts w:hint="eastAsia" w:ascii="宋体" w:hAnsi="宋体" w:cs="微软雅黑"/>
                <w:color w:val="auto"/>
                <w:highlight w:val="none"/>
              </w:rPr>
              <w:t>当通过初步评审的投标人大于5名时，以各通过初步评审投标人的有效报价去掉一个最高价和一个最低价的算术平均值作为评标基准价；当通过初步评审的投标人少于或等于5名时，则取所有通过初步评审的投标人的有效报价的算术平均值作为评标基准价；</w:t>
            </w:r>
          </w:p>
          <w:p>
            <w:pPr>
              <w:spacing w:line="360" w:lineRule="auto"/>
              <w:rPr>
                <w:rFonts w:ascii="宋体" w:hAnsi="宋体" w:cs="微软雅黑"/>
                <w:color w:val="auto"/>
                <w:highlight w:val="none"/>
              </w:rPr>
            </w:pPr>
            <w:r>
              <w:rPr>
                <w:rFonts w:hint="eastAsia" w:ascii="宋体" w:hAnsi="宋体" w:cs="微软雅黑"/>
                <w:color w:val="auto"/>
                <w:highlight w:val="none"/>
              </w:rPr>
              <w:t>当有效投标报价（PT）等于评标参考价（PC）时，经济得分I=15分；有效投标报价（PT）每高出评标参考价（PC）1%减</w:t>
            </w:r>
            <w:r>
              <w:rPr>
                <w:rFonts w:ascii="宋体" w:hAnsi="宋体" w:cs="微软雅黑"/>
                <w:color w:val="auto"/>
                <w:highlight w:val="none"/>
              </w:rPr>
              <w:t>0.5</w:t>
            </w:r>
            <w:r>
              <w:rPr>
                <w:rFonts w:hint="eastAsia" w:ascii="宋体" w:hAnsi="宋体" w:cs="微软雅黑"/>
                <w:color w:val="auto"/>
                <w:highlight w:val="none"/>
              </w:rPr>
              <w:t>分，每低于评标参考价1%减</w:t>
            </w:r>
            <w:r>
              <w:rPr>
                <w:rFonts w:ascii="宋体" w:hAnsi="宋体" w:cs="微软雅黑"/>
                <w:color w:val="auto"/>
                <w:highlight w:val="none"/>
              </w:rPr>
              <w:t>0.25</w:t>
            </w:r>
            <w:r>
              <w:rPr>
                <w:rFonts w:hint="eastAsia" w:ascii="宋体" w:hAnsi="宋体" w:cs="微软雅黑"/>
                <w:color w:val="auto"/>
                <w:highlight w:val="none"/>
              </w:rPr>
              <w:t>分，最多减至0分止，计算出报价得分。</w:t>
            </w:r>
          </w:p>
        </w:tc>
      </w:tr>
    </w:tbl>
    <w:p>
      <w:pPr>
        <w:spacing w:line="360" w:lineRule="exact"/>
        <w:rPr>
          <w:rFonts w:ascii="宋体" w:hAnsi="宋体"/>
          <w:color w:val="auto"/>
          <w:highlight w:val="none"/>
        </w:rPr>
      </w:pPr>
    </w:p>
    <w:p>
      <w:pPr>
        <w:pStyle w:val="2"/>
        <w:ind w:firstLine="210"/>
        <w:rPr>
          <w:color w:val="auto"/>
          <w:highlight w:val="none"/>
        </w:rPr>
      </w:pPr>
      <w:r>
        <w:rPr>
          <w:rFonts w:hint="eastAsia" w:ascii="宋体" w:hAnsi="宋体" w:cs="宋体"/>
          <w:color w:val="auto"/>
          <w:szCs w:val="21"/>
          <w:highlight w:val="none"/>
        </w:rPr>
        <w:t>说明：</w:t>
      </w:r>
      <w:ins w:id="0" w:author="Administrator" w:date="2023-03-07T10:36:50Z">
        <w:r>
          <w:rPr>
            <w:rFonts w:hint="eastAsia" w:ascii="宋体" w:hAnsi="宋体" w:cs="宋体"/>
            <w:color w:val="auto"/>
            <w:szCs w:val="21"/>
            <w:highlight w:val="none"/>
            <w:lang w:val="en-US" w:eastAsia="zh-CN"/>
          </w:rPr>
          <w:t>/</w:t>
        </w:r>
      </w:ins>
      <w:bookmarkStart w:id="105" w:name="_GoBack"/>
      <w:bookmarkEnd w:id="105"/>
    </w:p>
    <w:bookmarkEnd w:id="63"/>
    <w:p>
      <w:pPr>
        <w:pStyle w:val="6"/>
        <w:rPr>
          <w:rFonts w:ascii="宋体" w:hAnsi="宋体" w:eastAsia="宋体" w:cs="宋体"/>
          <w:color w:val="auto"/>
          <w:highlight w:val="none"/>
        </w:rPr>
      </w:pPr>
      <w:bookmarkStart w:id="75" w:name="_Toc535834497"/>
      <w:r>
        <w:rPr>
          <w:rFonts w:hint="eastAsia" w:ascii="宋体" w:hAnsi="宋体" w:eastAsia="宋体" w:cs="宋体"/>
          <w:color w:val="auto"/>
          <w:highlight w:val="none"/>
        </w:rPr>
        <w:t>1. 评标方法</w:t>
      </w:r>
      <w:bookmarkEnd w:id="75"/>
    </w:p>
    <w:p>
      <w:pPr>
        <w:pStyle w:val="6"/>
        <w:ind w:firstLine="420" w:firstLineChars="200"/>
        <w:rPr>
          <w:rFonts w:ascii="宋体" w:hAnsi="宋体" w:eastAsia="宋体" w:cs="宋体"/>
          <w:b w:val="0"/>
          <w:bCs w:val="0"/>
          <w:color w:val="auto"/>
          <w:sz w:val="21"/>
          <w:szCs w:val="24"/>
          <w:highlight w:val="none"/>
          <w:u w:val="single"/>
        </w:rPr>
      </w:pPr>
      <w:r>
        <w:rPr>
          <w:rFonts w:hint="eastAsia" w:ascii="宋体" w:hAnsi="宋体" w:eastAsia="宋体" w:cs="宋体"/>
          <w:b w:val="0"/>
          <w:bCs w:val="0"/>
          <w:color w:val="auto"/>
          <w:sz w:val="21"/>
          <w:szCs w:val="24"/>
          <w:highlight w:val="none"/>
        </w:rPr>
        <w:t>本次评标采用综合评估法。评标委员会对满足招标文件实质性要求的投标文件，按照本章第 2.2 款规定的评分标准进行打分，并按总得分由高到低顺序推荐3名中标候选人。</w:t>
      </w:r>
      <w:bookmarkStart w:id="76" w:name="_Toc535834498"/>
      <w:r>
        <w:rPr>
          <w:rFonts w:hint="eastAsia" w:ascii="宋体" w:hAnsi="宋体" w:eastAsia="宋体" w:cs="宋体"/>
          <w:b w:val="0"/>
          <w:bCs w:val="0"/>
          <w:color w:val="auto"/>
          <w:sz w:val="21"/>
          <w:szCs w:val="24"/>
          <w:highlight w:val="none"/>
          <w:u w:val="single"/>
        </w:rPr>
        <w:t>综合评分相等时，以投标报价低的优先； 投标报价也相等的，以投标人诚信得分高的优先。如投标报价、诚信得分均相等，则由评标委员会</w:t>
      </w:r>
      <w:r>
        <w:rPr>
          <w:rFonts w:hint="eastAsia" w:ascii="宋体" w:hAnsi="宋体" w:eastAsia="宋体" w:cs="宋体"/>
          <w:b w:val="0"/>
          <w:bCs w:val="0"/>
          <w:color w:val="auto"/>
          <w:sz w:val="21"/>
          <w:szCs w:val="24"/>
          <w:highlight w:val="none"/>
          <w:u w:val="single"/>
          <w:lang w:eastAsia="zh-CN"/>
        </w:rPr>
        <w:t>采用记名</w:t>
      </w:r>
      <w:r>
        <w:rPr>
          <w:rFonts w:hint="eastAsia" w:ascii="宋体" w:hAnsi="宋体" w:eastAsia="宋体" w:cs="宋体"/>
          <w:b w:val="0"/>
          <w:bCs w:val="0"/>
          <w:color w:val="auto"/>
          <w:sz w:val="21"/>
          <w:szCs w:val="24"/>
          <w:highlight w:val="none"/>
          <w:u w:val="single"/>
        </w:rPr>
        <w:t>投票表决推荐排名优先的投标人。</w:t>
      </w:r>
    </w:p>
    <w:p>
      <w:pPr>
        <w:pStyle w:val="6"/>
        <w:rPr>
          <w:rFonts w:ascii="宋体" w:hAnsi="宋体" w:eastAsia="宋体" w:cs="宋体"/>
          <w:color w:val="auto"/>
          <w:highlight w:val="none"/>
        </w:rPr>
      </w:pPr>
      <w:r>
        <w:rPr>
          <w:rFonts w:hint="eastAsia" w:ascii="宋体" w:hAnsi="宋体" w:eastAsia="宋体" w:cs="宋体"/>
          <w:color w:val="auto"/>
          <w:highlight w:val="none"/>
        </w:rPr>
        <w:t>2. 评审标准</w:t>
      </w:r>
      <w:bookmarkEnd w:id="76"/>
    </w:p>
    <w:p>
      <w:pPr>
        <w:pStyle w:val="7"/>
        <w:spacing w:before="62" w:beforeLines="20" w:after="62" w:afterLines="20" w:line="360" w:lineRule="auto"/>
        <w:rPr>
          <w:rFonts w:ascii="宋体" w:hAnsi="宋体" w:cs="宋体"/>
          <w:color w:val="auto"/>
          <w:highlight w:val="none"/>
        </w:rPr>
      </w:pPr>
      <w:bookmarkStart w:id="77" w:name="_Toc535834499"/>
      <w:r>
        <w:rPr>
          <w:rFonts w:hint="eastAsia" w:ascii="宋体" w:hAnsi="宋体" w:cs="宋体"/>
          <w:color w:val="auto"/>
          <w:highlight w:val="none"/>
        </w:rPr>
        <w:t>2.1 初步评审标准</w:t>
      </w:r>
      <w:bookmarkEnd w:id="77"/>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2.1.3 响应性评审标准：见评标办法前附表。</w:t>
      </w:r>
    </w:p>
    <w:p>
      <w:pPr>
        <w:pStyle w:val="7"/>
        <w:spacing w:before="62" w:beforeLines="20" w:after="62" w:afterLines="20" w:line="360" w:lineRule="auto"/>
        <w:rPr>
          <w:rFonts w:ascii="宋体" w:hAnsi="宋体" w:cs="宋体"/>
          <w:color w:val="auto"/>
          <w:highlight w:val="none"/>
        </w:rPr>
      </w:pPr>
      <w:bookmarkStart w:id="78" w:name="_Toc535834500"/>
      <w:r>
        <w:rPr>
          <w:rFonts w:hint="eastAsia" w:ascii="宋体" w:hAnsi="宋体" w:cs="宋体"/>
          <w:color w:val="auto"/>
          <w:highlight w:val="none"/>
        </w:rPr>
        <w:t>2.2 分值构成与评分标准</w:t>
      </w:r>
      <w:bookmarkEnd w:id="7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分值构成</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（1）资信业绩部分：见评标办法前附表；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（2）检测方案部分：见评标办法前附表；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（3）投标报价：见评标办法前附表；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（4）其他评分因素：见评标办法前附表。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pPr>
        <w:spacing w:line="360" w:lineRule="auto"/>
        <w:ind w:firstLine="1050" w:firstLineChars="500"/>
        <w:rPr>
          <w:rFonts w:ascii="宋体" w:hAnsi="宋体" w:cs="宋体"/>
          <w:color w:val="auto"/>
          <w:highlight w:val="none"/>
        </w:rPr>
      </w:pPr>
      <w:r>
        <w:rPr>
          <w:rFonts w:hint="eastAsia" w:ascii="宋体" w:hAnsi="宋体" w:cs="宋体"/>
          <w:color w:val="auto"/>
          <w:highlight w:val="none"/>
        </w:rPr>
        <w:t>评标基准价计算方法：见评标办法前附表。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投标报价的偏差率计算</w:t>
      </w:r>
    </w:p>
    <w:p>
      <w:pPr>
        <w:spacing w:line="360" w:lineRule="auto"/>
        <w:ind w:firstLine="1050" w:firstLineChars="500"/>
        <w:rPr>
          <w:rFonts w:ascii="宋体" w:hAnsi="宋体" w:cs="宋体"/>
          <w:color w:val="auto"/>
          <w:highlight w:val="none"/>
        </w:rPr>
      </w:pPr>
      <w:r>
        <w:rPr>
          <w:rFonts w:hint="eastAsia" w:ascii="宋体" w:hAnsi="宋体" w:cs="宋体"/>
          <w:color w:val="auto"/>
          <w:highlight w:val="none"/>
        </w:rPr>
        <w:t>投标报价的偏差率计算公式：见评标办法前附表。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评分标准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（1）资信业绩评分标准：见评标办法前附表；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（2）检测方案评分标准：见评标办法前附表；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（3）投标报价评分标准：见评标办法前附表；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（4）其他因素评分标准：见评标办法前附表。</w:t>
      </w:r>
    </w:p>
    <w:p>
      <w:pPr>
        <w:pStyle w:val="6"/>
        <w:rPr>
          <w:rFonts w:ascii="宋体" w:hAnsi="宋体" w:eastAsia="宋体" w:cs="宋体"/>
          <w:color w:val="auto"/>
          <w:highlight w:val="none"/>
        </w:rPr>
      </w:pPr>
      <w:bookmarkStart w:id="79" w:name="_Toc535834501"/>
      <w:r>
        <w:rPr>
          <w:rFonts w:hint="eastAsia" w:ascii="宋体" w:hAnsi="宋体" w:eastAsia="宋体" w:cs="宋体"/>
          <w:color w:val="auto"/>
          <w:highlight w:val="none"/>
        </w:rPr>
        <w:t>3. 评标程序</w:t>
      </w:r>
      <w:bookmarkEnd w:id="79"/>
    </w:p>
    <w:p>
      <w:pPr>
        <w:pStyle w:val="7"/>
        <w:spacing w:before="62" w:beforeLines="20" w:after="62" w:afterLines="20" w:line="360" w:lineRule="auto"/>
        <w:rPr>
          <w:rFonts w:ascii="宋体" w:hAnsi="宋体" w:cs="宋体"/>
          <w:color w:val="auto"/>
          <w:highlight w:val="none"/>
        </w:rPr>
      </w:pPr>
      <w:bookmarkStart w:id="80" w:name="_Toc535834502"/>
      <w:r>
        <w:rPr>
          <w:rFonts w:hint="eastAsia" w:ascii="宋体" w:hAnsi="宋体" w:cs="宋体"/>
          <w:color w:val="auto"/>
          <w:highlight w:val="none"/>
        </w:rPr>
        <w:t>3.1 初步评审</w:t>
      </w:r>
      <w:bookmarkEnd w:id="80"/>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 投标人有以下情形之一的，评标委员会应当否决其投标：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（1）投标文件没有对招标文件的实质性要求和条件作出响应，或者对招标文件的偏差超出招标文件规定的偏差范围或最高项数；</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（2）有串通投标、弄虚作假、行贿等违法行为。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（2）总价金额与单价金额不一致的，以单价金额为准，但单价金额小数点有明显错误的除外。</w:t>
      </w:r>
    </w:p>
    <w:p>
      <w:pPr>
        <w:pStyle w:val="7"/>
        <w:spacing w:before="62" w:beforeLines="20" w:after="62" w:afterLines="20" w:line="360" w:lineRule="auto"/>
        <w:rPr>
          <w:rFonts w:ascii="宋体" w:hAnsi="宋体" w:cs="宋体"/>
          <w:color w:val="auto"/>
          <w:highlight w:val="none"/>
        </w:rPr>
      </w:pPr>
      <w:bookmarkStart w:id="81" w:name="_Toc535834503"/>
      <w:r>
        <w:rPr>
          <w:rFonts w:hint="eastAsia" w:ascii="宋体" w:hAnsi="宋体" w:cs="宋体"/>
          <w:color w:val="auto"/>
          <w:highlight w:val="none"/>
        </w:rPr>
        <w:t>3.2 详细评审</w:t>
      </w:r>
      <w:bookmarkEnd w:id="81"/>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3.2.1 评标委员会按本章第 2.2 款规定的量化因素和分值进行打分，并计算出综合评估得分。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（1）按本章第 2.2.4（1）目规定的评审因素和分值对资信业绩部分计算出得分 A；</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（2）按本章第 2.2.4（2）目规定的评审因素和分值对检测方案部分计算出得分 B；</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（3）按本章第 2.2.4（3）目规定的评审因素和分值对投标报价计算出得分 C；</w:t>
      </w:r>
    </w:p>
    <w:p>
      <w:pPr>
        <w:spacing w:line="360" w:lineRule="auto"/>
        <w:ind w:firstLine="420" w:firstLineChars="200"/>
        <w:rPr>
          <w:rFonts w:ascii="宋体" w:hAnsi="宋体" w:cs="宋体"/>
          <w:strike/>
          <w:color w:val="auto"/>
          <w:highlight w:val="none"/>
        </w:rPr>
      </w:pPr>
      <w:r>
        <w:rPr>
          <w:rFonts w:hint="eastAsia" w:ascii="宋体" w:hAnsi="宋体" w:cs="宋体"/>
          <w:strike/>
          <w:color w:val="auto"/>
          <w:highlight w:val="none"/>
        </w:rPr>
        <w:t>（4）按本章第 2.2.4（4）目规定的评审因素和分值对其他部分计算出得分 D。</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投标人得分=A+B+C</w:t>
      </w:r>
      <w:r>
        <w:rPr>
          <w:rFonts w:hint="eastAsia" w:ascii="宋体" w:hAnsi="宋体" w:cs="宋体"/>
          <w:strike/>
          <w:color w:val="auto"/>
          <w:highlight w:val="none"/>
        </w:rPr>
        <w:t>+D</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pacing w:before="62" w:beforeLines="20" w:after="62" w:afterLines="20" w:line="360" w:lineRule="auto"/>
        <w:rPr>
          <w:rFonts w:ascii="宋体" w:hAnsi="宋体" w:cs="宋体"/>
          <w:color w:val="auto"/>
          <w:highlight w:val="none"/>
        </w:rPr>
      </w:pPr>
      <w:bookmarkStart w:id="82" w:name="_Toc535834504"/>
      <w:r>
        <w:rPr>
          <w:rFonts w:hint="eastAsia" w:ascii="宋体" w:hAnsi="宋体" w:cs="宋体"/>
          <w:color w:val="auto"/>
          <w:highlight w:val="none"/>
        </w:rPr>
        <w:t>3.3 投标文件的澄清</w:t>
      </w:r>
      <w:bookmarkEnd w:id="82"/>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澄清、说明或补正不得超出投标文件的范围且不得改变投标文件的实质性内容，并构成投标文件的组成部分。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评标委员会对投标人提交的澄清、说明或补正有疑问的，可以要求投标人进一步澄清、说明或补正，直至满足评标委员会的要求。</w:t>
      </w:r>
    </w:p>
    <w:p>
      <w:pPr>
        <w:pStyle w:val="7"/>
        <w:spacing w:before="62" w:beforeLines="20" w:after="62" w:afterLines="20" w:line="360" w:lineRule="auto"/>
        <w:rPr>
          <w:rFonts w:ascii="宋体" w:hAnsi="宋体" w:cs="宋体"/>
          <w:color w:val="auto"/>
          <w:highlight w:val="none"/>
        </w:rPr>
      </w:pPr>
      <w:bookmarkStart w:id="83" w:name="_Toc535834505"/>
      <w:r>
        <w:rPr>
          <w:rFonts w:hint="eastAsia" w:ascii="宋体" w:hAnsi="宋体" w:cs="宋体"/>
          <w:color w:val="auto"/>
          <w:highlight w:val="none"/>
        </w:rPr>
        <w:t>3.4 评标结果</w:t>
      </w:r>
      <w:bookmarkEnd w:id="83"/>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3.4.2 评标委员会完成评标后，应当向招标人提交书面评标报告和中标候选人名单。</w:t>
      </w:r>
    </w:p>
    <w:p>
      <w:pPr>
        <w:pStyle w:val="5"/>
        <w:spacing w:before="62" w:beforeLines="20" w:after="62" w:afterLines="20" w:line="360" w:lineRule="auto"/>
        <w:jc w:val="center"/>
        <w:rPr>
          <w:rFonts w:ascii="宋体" w:hAnsi="宋体" w:cs="宋体"/>
          <w:color w:val="auto"/>
          <w:highlight w:val="none"/>
        </w:rPr>
      </w:pPr>
      <w:r>
        <w:rPr>
          <w:rFonts w:hint="eastAsia" w:ascii="宋体" w:hAnsi="宋体" w:cs="宋体"/>
          <w:color w:val="auto"/>
          <w:highlight w:val="none"/>
        </w:rPr>
        <w:br w:type="page"/>
      </w:r>
      <w:bookmarkStart w:id="84" w:name="_Toc535834506"/>
      <w:r>
        <w:rPr>
          <w:rFonts w:hint="eastAsia" w:ascii="宋体" w:hAnsi="宋体" w:cs="宋体"/>
          <w:color w:val="auto"/>
          <w:highlight w:val="none"/>
        </w:rPr>
        <w:t>第四章 合同条款及格式</w:t>
      </w:r>
      <w:bookmarkEnd w:id="84"/>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（另册）</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5"/>
        <w:spacing w:before="62" w:beforeLines="20" w:after="62" w:afterLines="20" w:line="360" w:lineRule="auto"/>
        <w:jc w:val="center"/>
        <w:rPr>
          <w:rFonts w:ascii="宋体" w:hAnsi="宋体" w:cs="宋体"/>
          <w:color w:val="auto"/>
          <w:highlight w:val="none"/>
        </w:rPr>
      </w:pPr>
      <w:bookmarkStart w:id="85" w:name="_Toc535834507"/>
      <w:r>
        <w:rPr>
          <w:rFonts w:hint="eastAsia" w:ascii="宋体" w:hAnsi="宋体" w:cs="宋体"/>
          <w:color w:val="auto"/>
          <w:highlight w:val="none"/>
        </w:rPr>
        <w:t>第二卷</w:t>
      </w:r>
      <w:bookmarkEnd w:id="85"/>
    </w:p>
    <w:p>
      <w:pPr>
        <w:pStyle w:val="5"/>
        <w:spacing w:before="62" w:beforeLines="20" w:after="62" w:afterLines="20" w:line="360" w:lineRule="auto"/>
        <w:rPr>
          <w:rFonts w:ascii="宋体" w:hAnsi="宋体" w:cs="宋体"/>
          <w:color w:val="auto"/>
          <w:highlight w:val="none"/>
        </w:rPr>
        <w:sectPr>
          <w:headerReference r:id="rId3" w:type="default"/>
          <w:footerReference r:id="rId4" w:type="default"/>
          <w:pgSz w:w="11906" w:h="16838"/>
          <w:pgMar w:top="1440" w:right="1440" w:bottom="1440" w:left="1440" w:header="851" w:footer="992" w:gutter="0"/>
          <w:pgNumType w:start="1"/>
          <w:cols w:space="720" w:num="1"/>
          <w:docGrid w:type="lines" w:linePitch="312" w:charSpace="0"/>
        </w:sectPr>
      </w:pPr>
      <w:bookmarkStart w:id="86" w:name="_Toc535834508"/>
    </w:p>
    <w:bookmarkEnd w:id="86"/>
    <w:p>
      <w:pPr>
        <w:jc w:val="center"/>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第五章  委托人要求</w:t>
      </w:r>
    </w:p>
    <w:p>
      <w:pPr>
        <w:jc w:val="center"/>
        <w:rPr>
          <w:rFonts w:ascii="宋体" w:hAnsi="宋体" w:cs="宋体"/>
          <w:b/>
          <w:bCs/>
          <w:color w:val="auto"/>
          <w:kern w:val="44"/>
          <w:sz w:val="44"/>
          <w:szCs w:val="44"/>
          <w:highlight w:val="none"/>
        </w:rPr>
      </w:pPr>
    </w:p>
    <w:p>
      <w:pPr>
        <w:spacing w:line="360" w:lineRule="auto"/>
        <w:ind w:firstLine="420" w:firstLineChars="200"/>
        <w:contextualSpacing/>
        <w:rPr>
          <w:rFonts w:ascii="宋体" w:hAnsi="宋体"/>
          <w:b/>
          <w:color w:val="auto"/>
          <w:szCs w:val="21"/>
          <w:highlight w:val="none"/>
        </w:rPr>
      </w:pPr>
      <w:r>
        <w:rPr>
          <w:rFonts w:hint="eastAsia" w:ascii="宋体" w:hAnsi="宋体"/>
          <w:color w:val="auto"/>
          <w:szCs w:val="21"/>
          <w:highlight w:val="none"/>
        </w:rPr>
        <w:t>委托人要求通常包括但不限于以下内容：</w:t>
      </w:r>
    </w:p>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一、技术要求</w:t>
      </w:r>
    </w:p>
    <w:p>
      <w:pPr>
        <w:spacing w:line="360" w:lineRule="auto"/>
        <w:ind w:firstLine="422" w:firstLineChars="200"/>
        <w:contextualSpacing/>
        <w:rPr>
          <w:rFonts w:ascii="宋体" w:hAnsi="宋体"/>
          <w:b/>
          <w:color w:val="auto"/>
          <w:szCs w:val="21"/>
          <w:highlight w:val="none"/>
        </w:rPr>
      </w:pPr>
      <w:bookmarkStart w:id="87" w:name="_Toc482188638"/>
      <w:bookmarkStart w:id="88" w:name="_Toc511557111"/>
      <w:r>
        <w:rPr>
          <w:rFonts w:hint="eastAsia" w:ascii="宋体" w:hAnsi="宋体"/>
          <w:b/>
          <w:color w:val="auto"/>
          <w:szCs w:val="21"/>
          <w:highlight w:val="none"/>
        </w:rPr>
        <w:t>（一）、技术标准、规范汇总</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依据本项目设计文件的要求，本次招标检测技术服务须达到但不限于下列现行主要的中华人民共和国以及省、市或行业的检测技术标准或规范的要求。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1、建设用砂 GB/T 14684-2011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2、建筑用碎石、卵石GB/T 14685-2011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3、普通混凝土长期性能和耐久性能试验方法GB/T 50082-2009</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4、普通混凝土配合比设计规程JGJ 55-2011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5、建筑砂浆基本性能试验方法标准JGJ/T 70-2009</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6、砌筑砂浆配合比设计规程JGJ98-2010</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7、砌墙砖试验方法</w:t>
      </w:r>
      <w:r>
        <w:rPr>
          <w:rFonts w:ascii="宋体" w:hAnsi="宋体" w:cs="宋体"/>
          <w:color w:val="auto"/>
          <w:szCs w:val="21"/>
          <w:highlight w:val="none"/>
        </w:rPr>
        <w:t>GB/T 2542-2012</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8、混凝土小型空心砌块试验方法GB/T 4111-2013</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9、蒸压加气混凝土砌块</w:t>
      </w:r>
      <w:r>
        <w:rPr>
          <w:rFonts w:ascii="宋体" w:hAnsi="宋体" w:cs="宋体"/>
          <w:color w:val="auto"/>
          <w:szCs w:val="21"/>
          <w:highlight w:val="none"/>
        </w:rPr>
        <w:t>GB 11968-2006</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10、蒸压灰砂砖</w:t>
      </w:r>
      <w:r>
        <w:rPr>
          <w:rFonts w:ascii="宋体" w:hAnsi="宋体" w:cs="宋体"/>
          <w:color w:val="auto"/>
          <w:szCs w:val="21"/>
          <w:highlight w:val="none"/>
        </w:rPr>
        <w:t>GB 11945-1999</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11、聚氨乙烯（PVC）防水卷材GB 12952-2011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12、弹性体改性沥青防水卷材GB 18242-2008</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13、水泥基渗透结晶型防水材料GB 18445-2012</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14、聚合物水泥防水涂料</w:t>
      </w:r>
      <w:r>
        <w:rPr>
          <w:rFonts w:ascii="宋体" w:hAnsi="宋体" w:cs="宋体"/>
          <w:color w:val="auto"/>
          <w:szCs w:val="21"/>
          <w:highlight w:val="none"/>
        </w:rPr>
        <w:t>GB/T 23445-2009</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15、建筑防水涂料试验方法GB/T 16777-2008</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16、聚氨酯防水涂料</w:t>
      </w:r>
      <w:r>
        <w:rPr>
          <w:rFonts w:ascii="宋体" w:hAnsi="宋体" w:cs="宋体"/>
          <w:color w:val="auto"/>
          <w:szCs w:val="21"/>
          <w:highlight w:val="none"/>
        </w:rPr>
        <w:t>GB/T 19250-2013</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铝合金建筑型材GB/T </w:t>
      </w:r>
      <w:r>
        <w:rPr>
          <w:rFonts w:ascii="宋体" w:hAnsi="宋体" w:cs="宋体"/>
          <w:color w:val="auto"/>
          <w:szCs w:val="21"/>
          <w:highlight w:val="none"/>
        </w:rPr>
        <w:t>19250-2013</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18、城镇排水管道检测与评估技术规程</w:t>
      </w:r>
      <w:r>
        <w:rPr>
          <w:rFonts w:ascii="宋体" w:hAnsi="宋体" w:cs="宋体"/>
          <w:color w:val="auto"/>
          <w:szCs w:val="21"/>
          <w:highlight w:val="none"/>
        </w:rPr>
        <w:t xml:space="preserve"> CJJ 181-2012</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19、塑料管道系统</w:t>
      </w:r>
      <w:r>
        <w:rPr>
          <w:rFonts w:ascii="宋体" w:hAnsi="宋体" w:cs="宋体"/>
          <w:color w:val="auto"/>
          <w:szCs w:val="21"/>
          <w:highlight w:val="none"/>
        </w:rPr>
        <w:t>塑料部件尺寸的测定 GB/T 8806-2008</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20、埋地排水用钢带增强聚乙烯</w:t>
      </w:r>
      <w:r>
        <w:rPr>
          <w:rFonts w:ascii="宋体" w:hAnsi="宋体" w:cs="宋体"/>
          <w:color w:val="auto"/>
          <w:szCs w:val="21"/>
          <w:highlight w:val="none"/>
        </w:rPr>
        <w:t>(PE)螺旋波纹管 CJ/T 225-2011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21、热塑性塑料管材、管件</w:t>
      </w:r>
      <w:r>
        <w:rPr>
          <w:rFonts w:ascii="宋体" w:hAnsi="宋体" w:cs="宋体"/>
          <w:color w:val="auto"/>
          <w:szCs w:val="21"/>
          <w:highlight w:val="none"/>
        </w:rPr>
        <w:t xml:space="preserve"> 维卡软化温度的测定GB/T 8802-2001</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22、给排水管道工程施工及验收规范</w:t>
      </w:r>
      <w:r>
        <w:rPr>
          <w:rFonts w:ascii="宋体" w:hAnsi="宋体" w:cs="宋体"/>
          <w:color w:val="auto"/>
          <w:szCs w:val="21"/>
          <w:highlight w:val="none"/>
        </w:rPr>
        <w:t xml:space="preserve"> GB50268-2008</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23、金属管</w:t>
      </w:r>
      <w:r>
        <w:rPr>
          <w:rFonts w:ascii="宋体" w:hAnsi="宋体" w:cs="宋体"/>
          <w:color w:val="auto"/>
          <w:szCs w:val="21"/>
          <w:highlight w:val="none"/>
        </w:rPr>
        <w:t xml:space="preserve"> 弯曲试验方法 GB/T 244-2008</w:t>
      </w:r>
    </w:p>
    <w:p>
      <w:pPr>
        <w:spacing w:line="360" w:lineRule="auto"/>
        <w:ind w:firstLine="420" w:firstLineChars="200"/>
        <w:contextualSpacing/>
        <w:rPr>
          <w:rFonts w:ascii="宋体" w:hAnsi="宋体"/>
          <w:bCs/>
          <w:color w:val="auto"/>
          <w:kern w:val="0"/>
          <w:szCs w:val="21"/>
          <w:highlight w:val="none"/>
        </w:rPr>
      </w:pPr>
      <w:r>
        <w:rPr>
          <w:rFonts w:hint="eastAsia" w:ascii="宋体" w:hAnsi="宋体"/>
          <w:bCs/>
          <w:color w:val="auto"/>
          <w:kern w:val="0"/>
          <w:szCs w:val="21"/>
          <w:highlight w:val="none"/>
        </w:rPr>
        <w:t>24、其他国家、省市或行业的相关技术标准、规范</w:t>
      </w:r>
      <w:r>
        <w:rPr>
          <w:rFonts w:hint="eastAsia" w:ascii="宋体" w:hAnsi="宋体"/>
          <w:bCs/>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25、设计方提供的设计文件要求。</w:t>
      </w:r>
    </w:p>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（二）、检测服务项目质量控制要求</w:t>
      </w:r>
    </w:p>
    <w:p>
      <w:pPr>
        <w:pStyle w:val="39"/>
        <w:ind w:firstLine="420" w:firstLineChars="200"/>
        <w:contextualSpacing/>
        <w:jc w:val="both"/>
        <w:rPr>
          <w:rFonts w:ascii="宋体" w:hAnsi="宋体" w:eastAsia="宋体"/>
          <w:bCs/>
          <w:color w:val="auto"/>
          <w:sz w:val="21"/>
          <w:szCs w:val="21"/>
          <w:highlight w:val="none"/>
        </w:rPr>
      </w:pPr>
      <w:r>
        <w:rPr>
          <w:rFonts w:ascii="宋体" w:hAnsi="宋体" w:eastAsia="宋体"/>
          <w:bCs/>
          <w:color w:val="auto"/>
          <w:sz w:val="21"/>
          <w:szCs w:val="21"/>
          <w:highlight w:val="none"/>
        </w:rPr>
        <w:t>1</w:t>
      </w:r>
      <w:r>
        <w:rPr>
          <w:rFonts w:hint="eastAsia" w:ascii="宋体" w:hAnsi="宋体" w:eastAsia="宋体"/>
          <w:bCs/>
          <w:color w:val="auto"/>
          <w:sz w:val="21"/>
          <w:szCs w:val="21"/>
          <w:highlight w:val="none"/>
        </w:rPr>
        <w:t>、投标单位应建立为完成本投标检测投标项目而实施质量管理所需要组织结构，明示组织结构框图，并用文字明示各级人员职责，并提供质量检测工作受外界或领导机构影响的规定。并必须形成质量体系文件协调整个工作机构运转列出有效的、文体化的技术和管理程序，以便以最好的、最实际的方式来指导整个组织的工作人员、设备及信息的协调活动。质量体系文件应包括以下内容：</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（1）有效完成本项目的质量方针，包括目标和承诺；</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（2）投入本项目的组织结构框图；</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（3）各检测人员工作岗位及其职责；</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（4）样品质量管理程序；</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（5）检测工作申诉处理程序；</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（6）保密和保护所有权程序。</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2、投标单位必须对本投标项目投入足够的检测人员，这些检测人员必须经过必要的与其承担任务相适应的教育、培训、并有相应的技术知识和经验。</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3、投标单位应配备足够的检测仪器设备。检测仪器设备必须在检定/校准有效期内,并在检定/校准有效期满后应进行检定/校准。各计量检测仪器设备都必须严格按要求有明显的标志。</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4、检测投标单位必须有近3年内从事本工程类似检测工程的经验。</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5、检测投标单位必须为配合施工和安全与质量监督编写各项实施的检测项目的《检测工作手册》。</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6、检测报告必须严格进行内部三级审核制度。</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（a）检测工作人员要熟悉并严格按照检测规程和方法，检测工作，同时做好数据记录；</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（b）各检测工作校核者应掌握检测规程和技术，检查数据与原始记录符合，事实符合，严格按照规范进行；</w:t>
      </w:r>
    </w:p>
    <w:p>
      <w:pPr>
        <w:pStyle w:val="39"/>
        <w:ind w:firstLine="420" w:firstLineChars="200"/>
        <w:contextualSpacing/>
        <w:jc w:val="both"/>
        <w:rPr>
          <w:rFonts w:ascii="宋体" w:hAnsi="宋体" w:eastAsia="宋体"/>
          <w:bCs/>
          <w:color w:val="auto"/>
          <w:sz w:val="21"/>
          <w:szCs w:val="21"/>
          <w:highlight w:val="none"/>
        </w:rPr>
      </w:pPr>
      <w:r>
        <w:rPr>
          <w:rFonts w:hint="eastAsia" w:ascii="宋体" w:hAnsi="宋体" w:eastAsia="宋体"/>
          <w:bCs/>
          <w:color w:val="auto"/>
          <w:sz w:val="21"/>
          <w:szCs w:val="21"/>
          <w:highlight w:val="none"/>
        </w:rPr>
        <w:t>（c）报告审核者保证程序合法，报告有效。</w:t>
      </w:r>
    </w:p>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（三）、检测实施要点</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1、本项目技术方案必须符合广东省、国家及地方现行有关技术规范或规定以及设计单位的技术要求。</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2、检测单位应在完成现场检测作业后5个工作日内完成检测报告，并向建设单位提交一式伍份成果报告（成果报告按所属市政施工标段分别装订）。</w:t>
      </w:r>
    </w:p>
    <w:bookmarkEnd w:id="87"/>
    <w:bookmarkEnd w:id="88"/>
    <w:p>
      <w:pPr>
        <w:spacing w:line="360" w:lineRule="auto"/>
        <w:contextualSpacing/>
        <w:rPr>
          <w:rFonts w:ascii="宋体" w:hAnsi="宋体"/>
          <w:b/>
          <w:color w:val="auto"/>
          <w:szCs w:val="21"/>
          <w:highlight w:val="none"/>
        </w:rPr>
      </w:pPr>
      <w:r>
        <w:rPr>
          <w:rFonts w:hint="eastAsia" w:ascii="宋体" w:hAnsi="宋体"/>
          <w:color w:val="auto"/>
          <w:szCs w:val="21"/>
          <w:highlight w:val="none"/>
        </w:rPr>
        <w:t>二、</w:t>
      </w:r>
      <w:r>
        <w:rPr>
          <w:rFonts w:hint="eastAsia" w:ascii="宋体" w:hAnsi="宋体"/>
          <w:b/>
          <w:color w:val="auto"/>
          <w:szCs w:val="21"/>
          <w:highlight w:val="none"/>
        </w:rPr>
        <w:t>关于投标报价</w:t>
      </w:r>
    </w:p>
    <w:p>
      <w:pPr>
        <w:spacing w:line="360" w:lineRule="auto"/>
        <w:ind w:left="420" w:leftChars="200" w:firstLine="420" w:firstLineChars="200"/>
        <w:contextualSpacing/>
        <w:rPr>
          <w:rFonts w:ascii="宋体" w:hAnsi="宋体"/>
          <w:color w:val="auto"/>
          <w:szCs w:val="21"/>
          <w:highlight w:val="none"/>
        </w:rPr>
      </w:pPr>
      <w:r>
        <w:rPr>
          <w:rFonts w:hint="eastAsia" w:ascii="宋体" w:hAnsi="宋体"/>
          <w:color w:val="auto"/>
          <w:szCs w:val="21"/>
          <w:highlight w:val="none"/>
        </w:rPr>
        <w:t>1、投标人根据现行检测或监测规范和有关收费标准，严格按招标人提供的工程量清单里的报价表进行报价,不得增减，并严格按工程量清单报价表中项目顺序填写综合单价、总报价,不得改动报价顺序（出现小数的，小数点后保留二位小数，第三位小数四舍五入）。</w:t>
      </w:r>
    </w:p>
    <w:p>
      <w:pPr>
        <w:spacing w:line="360" w:lineRule="auto"/>
        <w:ind w:left="420" w:leftChars="200" w:firstLine="420" w:firstLineChars="200"/>
        <w:contextualSpacing/>
        <w:rPr>
          <w:rFonts w:ascii="宋体" w:hAnsi="宋体"/>
          <w:color w:val="auto"/>
          <w:szCs w:val="21"/>
          <w:highlight w:val="none"/>
        </w:rPr>
      </w:pPr>
      <w:r>
        <w:rPr>
          <w:rFonts w:hint="eastAsia" w:ascii="宋体" w:hAnsi="宋体"/>
          <w:color w:val="auto"/>
          <w:szCs w:val="21"/>
          <w:highlight w:val="none"/>
        </w:rPr>
        <w:t>2、投标人应认真阅读本招标文件、技术文件及其他资料，根据招标文件要求的工作范围、工作内容、技术成果深度、服务期、人员和工作量等，确定检测或监测工作的方法、设备以及费用等，考虑工作量变化的风险、各种不确定因素，以本企业的优势和承受能力，按照市场价格态势结合自身实力和现场踏勘情况合理报价。</w:t>
      </w:r>
    </w:p>
    <w:p>
      <w:pPr>
        <w:spacing w:line="360" w:lineRule="auto"/>
        <w:ind w:left="420" w:leftChars="200" w:firstLine="420" w:firstLineChars="200"/>
        <w:contextualSpacing/>
        <w:rPr>
          <w:rFonts w:ascii="宋体" w:hAnsi="宋体"/>
          <w:color w:val="auto"/>
          <w:szCs w:val="21"/>
          <w:highlight w:val="none"/>
        </w:rPr>
      </w:pPr>
      <w:r>
        <w:rPr>
          <w:rFonts w:hint="eastAsia" w:ascii="宋体" w:hAnsi="宋体"/>
          <w:color w:val="auto"/>
          <w:szCs w:val="21"/>
          <w:highlight w:val="none"/>
        </w:rPr>
        <w:t>3、投标人的投标价均包括但不限于：劳务(含技术人员)费、材料费、机械费(含仪器设备、软件等使用费、进出场费等费用)、设备使用费、设备进出场费、检测试验费、监测设备费、报告编写费、临时设施费、差旅交通费、就餐费、住宿费、管理费、规费、利润、税金、保险费、相关协调费及其他实物和技术工作收费等全部相关费用，以及合同明示或暗示的所有责任、义务和风险，是对完成设计图纸及工程量清单约定项目技术服务的全部偿付，与工作相关的其它辅助工作产生的费用已包含在相应的项目的报价中，不再另行计费。该报价也已经包含了为完成所有招标要求所可能产生的不可预见的费用。</w:t>
      </w:r>
    </w:p>
    <w:p>
      <w:pPr>
        <w:spacing w:line="360" w:lineRule="auto"/>
        <w:ind w:left="420" w:leftChars="200" w:firstLine="420" w:firstLineChars="200"/>
        <w:contextualSpacing/>
        <w:rPr>
          <w:rFonts w:ascii="宋体" w:hAnsi="宋体"/>
          <w:color w:val="auto"/>
          <w:szCs w:val="21"/>
          <w:highlight w:val="none"/>
        </w:rPr>
      </w:pPr>
      <w:r>
        <w:rPr>
          <w:rFonts w:hint="eastAsia" w:ascii="宋体" w:hAnsi="宋体"/>
          <w:color w:val="auto"/>
          <w:szCs w:val="21"/>
          <w:highlight w:val="none"/>
        </w:rPr>
        <w:t>4、</w:t>
      </w:r>
      <w:r>
        <w:rPr>
          <w:rFonts w:hint="eastAsia" w:ascii="宋体" w:hAnsi="宋体" w:cs="Times New Roman"/>
          <w:color w:val="auto"/>
          <w:sz w:val="21"/>
          <w:szCs w:val="21"/>
          <w:highlight w:val="none"/>
          <w:u w:val="none"/>
          <w:lang w:eastAsia="zh-CN"/>
        </w:rPr>
        <w:t>①</w:t>
      </w:r>
      <w:r>
        <w:rPr>
          <w:rFonts w:hint="eastAsia" w:ascii="宋体" w:hAnsi="宋体" w:eastAsia="宋体"/>
          <w:color w:val="auto"/>
          <w:sz w:val="21"/>
          <w:szCs w:val="21"/>
          <w:highlight w:val="none"/>
        </w:rPr>
        <w:t>结算时《</w:t>
      </w:r>
      <w:r>
        <w:rPr>
          <w:rFonts w:hint="eastAsia" w:ascii="宋体" w:hAnsi="宋体" w:eastAsia="宋体" w:cs="Times New Roman"/>
          <w:bCs w:val="0"/>
          <w:color w:val="auto"/>
          <w:sz w:val="21"/>
          <w:szCs w:val="21"/>
          <w:highlight w:val="none"/>
          <w:u w:val="none"/>
          <w:lang w:eastAsia="zh-CN"/>
        </w:rPr>
        <w:t>从化区全域土地综合整治试点鳌头万亩良田示范项目第三方检测和监测</w:t>
      </w:r>
      <w:r>
        <w:rPr>
          <w:rFonts w:hint="eastAsia" w:ascii="宋体" w:hAnsi="宋体" w:eastAsia="宋体" w:cs="Times New Roman"/>
          <w:bCs w:val="0"/>
          <w:color w:val="auto"/>
          <w:sz w:val="21"/>
          <w:szCs w:val="21"/>
          <w:highlight w:val="none"/>
          <w:u w:val="none"/>
          <w:lang w:val="en-US" w:eastAsia="zh-CN"/>
        </w:rPr>
        <w:t>投标清单</w:t>
      </w:r>
      <w:r>
        <w:rPr>
          <w:rFonts w:hint="eastAsia" w:ascii="宋体" w:hAnsi="宋体" w:eastAsia="宋体"/>
          <w:color w:val="auto"/>
          <w:sz w:val="21"/>
          <w:szCs w:val="21"/>
          <w:highlight w:val="none"/>
        </w:rPr>
        <w:t>》中</w:t>
      </w:r>
      <w:r>
        <w:rPr>
          <w:rFonts w:hint="eastAsia" w:ascii="宋体" w:hAnsi="宋体" w:eastAsia="宋体"/>
          <w:color w:val="auto"/>
          <w:sz w:val="21"/>
          <w:szCs w:val="21"/>
          <w:highlight w:val="none"/>
          <w:lang w:eastAsia="zh-CN"/>
        </w:rPr>
        <w:t>有</w:t>
      </w:r>
      <w:r>
        <w:rPr>
          <w:rFonts w:hint="eastAsia" w:ascii="宋体" w:hAnsi="宋体" w:eastAsia="宋体"/>
          <w:color w:val="auto"/>
          <w:sz w:val="21"/>
          <w:szCs w:val="21"/>
          <w:highlight w:val="none"/>
        </w:rPr>
        <w:t>的检测监测项目，按《</w:t>
      </w:r>
      <w:r>
        <w:rPr>
          <w:rFonts w:hint="eastAsia" w:ascii="宋体" w:hAnsi="宋体" w:eastAsia="宋体" w:cs="Times New Roman"/>
          <w:bCs w:val="0"/>
          <w:color w:val="auto"/>
          <w:sz w:val="21"/>
          <w:szCs w:val="21"/>
          <w:highlight w:val="none"/>
          <w:u w:val="none"/>
          <w:lang w:eastAsia="zh-CN"/>
        </w:rPr>
        <w:t>从化区全域土地综合整治试点鳌头万亩良田示范项目第三方检测和监测</w:t>
      </w:r>
      <w:r>
        <w:rPr>
          <w:rFonts w:hint="eastAsia" w:ascii="宋体" w:hAnsi="宋体" w:eastAsia="宋体" w:cs="Times New Roman"/>
          <w:bCs w:val="0"/>
          <w:color w:val="auto"/>
          <w:sz w:val="21"/>
          <w:szCs w:val="21"/>
          <w:highlight w:val="none"/>
          <w:u w:val="none"/>
          <w:lang w:val="en-US" w:eastAsia="zh-CN"/>
        </w:rPr>
        <w:t>投标清单</w:t>
      </w:r>
      <w:r>
        <w:rPr>
          <w:rFonts w:hint="eastAsia" w:ascii="宋体" w:hAnsi="宋体" w:eastAsia="宋体"/>
          <w:color w:val="auto"/>
          <w:sz w:val="21"/>
          <w:szCs w:val="21"/>
          <w:highlight w:val="none"/>
        </w:rPr>
        <w:t>》的</w:t>
      </w:r>
      <w:r>
        <w:rPr>
          <w:rFonts w:hint="eastAsia" w:ascii="宋体" w:hAnsi="宋体" w:eastAsia="宋体"/>
          <w:color w:val="auto"/>
          <w:sz w:val="21"/>
          <w:szCs w:val="21"/>
          <w:highlight w:val="none"/>
          <w:lang w:eastAsia="zh-CN"/>
        </w:rPr>
        <w:t>综合</w:t>
      </w:r>
      <w:r>
        <w:rPr>
          <w:rFonts w:hint="eastAsia" w:ascii="宋体" w:hAnsi="宋体" w:eastAsia="宋体"/>
          <w:color w:val="auto"/>
          <w:sz w:val="21"/>
          <w:szCs w:val="21"/>
          <w:highlight w:val="none"/>
        </w:rPr>
        <w:t>单价乘以实际工作量（经委托人、监理、造价咨询单位确认的实际工作量）进行结算</w:t>
      </w:r>
      <w:r>
        <w:rPr>
          <w:rFonts w:hint="eastAsia" w:ascii="宋体" w:hAnsi="宋体" w:eastAsia="宋体"/>
          <w:color w:val="auto"/>
          <w:sz w:val="21"/>
          <w:szCs w:val="21"/>
          <w:highlight w:val="none"/>
          <w:lang w:eastAsia="zh-CN"/>
        </w:rPr>
        <w:t>；②</w:t>
      </w:r>
      <w:r>
        <w:rPr>
          <w:rFonts w:hint="eastAsia" w:ascii="宋体" w:hAnsi="宋体" w:eastAsia="宋体"/>
          <w:color w:val="auto"/>
          <w:sz w:val="21"/>
          <w:szCs w:val="21"/>
          <w:highlight w:val="none"/>
        </w:rPr>
        <w:t>《</w:t>
      </w:r>
      <w:r>
        <w:rPr>
          <w:rFonts w:hint="eastAsia" w:ascii="宋体" w:hAnsi="宋体" w:eastAsia="宋体" w:cs="Times New Roman"/>
          <w:bCs w:val="0"/>
          <w:color w:val="auto"/>
          <w:sz w:val="21"/>
          <w:szCs w:val="21"/>
          <w:highlight w:val="none"/>
          <w:u w:val="none"/>
          <w:lang w:eastAsia="zh-CN"/>
        </w:rPr>
        <w:t>从化区全域土地综合整治试点鳌头万亩良田示范项目第三方检测和监测</w:t>
      </w:r>
      <w:r>
        <w:rPr>
          <w:rFonts w:hint="eastAsia" w:ascii="宋体" w:hAnsi="宋体" w:eastAsia="宋体" w:cs="Times New Roman"/>
          <w:bCs w:val="0"/>
          <w:color w:val="auto"/>
          <w:sz w:val="21"/>
          <w:szCs w:val="21"/>
          <w:highlight w:val="none"/>
          <w:u w:val="none"/>
          <w:lang w:val="en-US" w:eastAsia="zh-CN"/>
        </w:rPr>
        <w:t>投标清单</w:t>
      </w:r>
      <w:r>
        <w:rPr>
          <w:rFonts w:hint="eastAsia" w:ascii="宋体" w:hAnsi="宋体" w:eastAsia="宋体"/>
          <w:color w:val="auto"/>
          <w:sz w:val="21"/>
          <w:szCs w:val="21"/>
          <w:highlight w:val="none"/>
        </w:rPr>
        <w:t>》中没有的检测项目</w:t>
      </w:r>
      <w:r>
        <w:rPr>
          <w:rFonts w:hint="eastAsia" w:ascii="宋体" w:hAnsi="宋体" w:eastAsia="宋体"/>
          <w:color w:val="auto"/>
          <w:sz w:val="21"/>
          <w:szCs w:val="21"/>
          <w:highlight w:val="none"/>
          <w:lang w:eastAsia="zh-CN"/>
        </w:rPr>
        <w:t>及</w:t>
      </w:r>
      <w:r>
        <w:rPr>
          <w:rFonts w:hint="eastAsia" w:ascii="宋体" w:hAnsi="宋体" w:eastAsia="宋体"/>
          <w:color w:val="auto"/>
          <w:sz w:val="21"/>
          <w:szCs w:val="21"/>
          <w:highlight w:val="none"/>
          <w:lang w:eastAsia="zh-Hans"/>
        </w:rPr>
        <w:t>无法</w:t>
      </w:r>
      <w:r>
        <w:rPr>
          <w:rFonts w:hint="eastAsia" w:ascii="宋体" w:hAnsi="宋体" w:eastAsia="宋体"/>
          <w:color w:val="auto"/>
          <w:sz w:val="21"/>
          <w:szCs w:val="21"/>
          <w:highlight w:val="none"/>
        </w:rPr>
        <w:t>按照国家省市区收费标准</w:t>
      </w:r>
      <w:r>
        <w:rPr>
          <w:rFonts w:hint="eastAsia" w:ascii="宋体" w:hAnsi="宋体" w:eastAsia="宋体"/>
          <w:color w:val="auto"/>
          <w:sz w:val="21"/>
          <w:szCs w:val="21"/>
          <w:highlight w:val="none"/>
          <w:lang w:eastAsia="zh-Hans"/>
        </w:rPr>
        <w:t>确定全费用单价的，</w:t>
      </w:r>
      <w:r>
        <w:rPr>
          <w:rFonts w:hint="eastAsia" w:ascii="宋体" w:hAnsi="宋体" w:eastAsia="宋体"/>
          <w:color w:val="auto"/>
          <w:sz w:val="21"/>
          <w:szCs w:val="21"/>
          <w:highlight w:val="none"/>
        </w:rPr>
        <w:t>按照委托人认可的行业标准</w:t>
      </w:r>
      <w:r>
        <w:rPr>
          <w:rFonts w:hint="eastAsia" w:ascii="宋体" w:hAnsi="宋体" w:eastAsia="宋体"/>
          <w:color w:val="auto"/>
          <w:sz w:val="21"/>
          <w:szCs w:val="21"/>
          <w:highlight w:val="none"/>
          <w:lang w:eastAsia="zh-CN"/>
        </w:rPr>
        <w:t>和</w:t>
      </w:r>
      <w:r>
        <w:rPr>
          <w:rFonts w:hint="eastAsia" w:ascii="宋体" w:hAnsi="宋体" w:eastAsia="宋体"/>
          <w:color w:val="auto"/>
          <w:sz w:val="21"/>
          <w:szCs w:val="21"/>
          <w:highlight w:val="none"/>
        </w:rPr>
        <w:t>市场价</w:t>
      </w:r>
      <w:r>
        <w:rPr>
          <w:rFonts w:hint="eastAsia" w:ascii="宋体" w:hAnsi="宋体" w:eastAsia="宋体"/>
          <w:color w:val="auto"/>
          <w:sz w:val="21"/>
          <w:szCs w:val="21"/>
          <w:highlight w:val="none"/>
          <w:lang w:eastAsia="zh-Hans"/>
        </w:rPr>
        <w:t>确定全费用单价</w:t>
      </w:r>
      <w:r>
        <w:rPr>
          <w:rFonts w:hint="eastAsia" w:ascii="宋体" w:hAnsi="宋体" w:eastAsia="宋体"/>
          <w:color w:val="auto"/>
          <w:sz w:val="21"/>
          <w:szCs w:val="21"/>
          <w:highlight w:val="none"/>
        </w:rPr>
        <w:t>下浮</w:t>
      </w:r>
      <w:r>
        <w:rPr>
          <w:rFonts w:hint="eastAsia" w:ascii="宋体" w:hAnsi="宋体" w:eastAsia="宋体"/>
          <w:color w:val="auto"/>
          <w:sz w:val="21"/>
          <w:szCs w:val="21"/>
          <w:highlight w:val="none"/>
          <w:lang w:val="en-US" w:eastAsia="zh-CN"/>
        </w:rPr>
        <w:t>(检测项目下浮30%，监测项目下浮40%)</w:t>
      </w:r>
      <w:r>
        <w:rPr>
          <w:rFonts w:hint="eastAsia" w:ascii="宋体" w:hAnsi="宋体" w:eastAsia="宋体"/>
          <w:color w:val="auto"/>
          <w:sz w:val="21"/>
          <w:szCs w:val="21"/>
          <w:highlight w:val="none"/>
          <w:lang w:eastAsia="zh-Hans"/>
        </w:rPr>
        <w:t>，</w:t>
      </w:r>
      <w:r>
        <w:rPr>
          <w:rFonts w:hint="eastAsia" w:ascii="宋体" w:hAnsi="宋体" w:eastAsia="宋体"/>
          <w:color w:val="auto"/>
          <w:sz w:val="21"/>
          <w:szCs w:val="21"/>
          <w:highlight w:val="none"/>
        </w:rPr>
        <w:t>乘以实际工作量（经委托人、监理、造价咨询单位确认的实际工作量）进行结算</w:t>
      </w:r>
      <w:r>
        <w:rPr>
          <w:rFonts w:hint="eastAsia" w:ascii="宋体" w:hAnsi="宋体" w:eastAsia="宋体"/>
          <w:color w:val="auto"/>
          <w:sz w:val="21"/>
          <w:szCs w:val="21"/>
          <w:highlight w:val="none"/>
          <w:lang w:eastAsia="zh-CN"/>
        </w:rPr>
        <w:t>；③</w:t>
      </w:r>
      <w:r>
        <w:rPr>
          <w:rFonts w:hint="eastAsia" w:ascii="宋体" w:hAnsi="宋体" w:eastAsia="宋体"/>
          <w:color w:val="auto"/>
          <w:sz w:val="21"/>
          <w:szCs w:val="21"/>
          <w:highlight w:val="none"/>
        </w:rPr>
        <w:t>《</w:t>
      </w:r>
      <w:r>
        <w:rPr>
          <w:rFonts w:hint="eastAsia" w:ascii="宋体" w:hAnsi="宋体" w:eastAsia="宋体" w:cs="Times New Roman"/>
          <w:bCs w:val="0"/>
          <w:color w:val="auto"/>
          <w:sz w:val="21"/>
          <w:szCs w:val="21"/>
          <w:highlight w:val="none"/>
          <w:u w:val="none"/>
          <w:lang w:eastAsia="zh-CN"/>
        </w:rPr>
        <w:t>从化区全域土地综合整治试点鳌头万亩良田示范项目第三方检测和监测</w:t>
      </w:r>
      <w:r>
        <w:rPr>
          <w:rFonts w:hint="eastAsia" w:ascii="宋体" w:hAnsi="宋体" w:eastAsia="宋体" w:cs="Times New Roman"/>
          <w:bCs w:val="0"/>
          <w:color w:val="auto"/>
          <w:sz w:val="21"/>
          <w:szCs w:val="21"/>
          <w:highlight w:val="none"/>
          <w:u w:val="none"/>
          <w:lang w:val="en-US" w:eastAsia="zh-CN"/>
        </w:rPr>
        <w:t>投标清单</w:t>
      </w:r>
      <w:r>
        <w:rPr>
          <w:rFonts w:hint="eastAsia" w:ascii="宋体" w:hAnsi="宋体" w:eastAsia="宋体"/>
          <w:color w:val="auto"/>
          <w:sz w:val="21"/>
          <w:szCs w:val="21"/>
          <w:highlight w:val="none"/>
        </w:rPr>
        <w:t>》以外的检测项目涉及两个及以上收费标准的，按最低价格计取</w:t>
      </w:r>
      <w:r>
        <w:rPr>
          <w:rFonts w:hint="eastAsia" w:ascii="宋体" w:hAnsi="宋体" w:eastAsia="宋体"/>
          <w:color w:val="auto"/>
          <w:sz w:val="21"/>
          <w:szCs w:val="21"/>
          <w:highlight w:val="none"/>
          <w:lang w:eastAsia="zh-CN"/>
        </w:rPr>
        <w:t>；④</w:t>
      </w:r>
      <w:r>
        <w:rPr>
          <w:rFonts w:hint="eastAsia" w:ascii="宋体" w:hAnsi="宋体" w:eastAsia="宋体"/>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当结算总价大于签订合同价或概算评审价时，以合同价或概算评审价较低者作为封顶结算价。</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当结算价小于签订合同价时，以合同投标单价进行包干，工程量按实结算。</w:t>
      </w:r>
      <w:r>
        <w:rPr>
          <w:rFonts w:hint="eastAsia" w:ascii="宋体" w:hAnsi="宋体" w:eastAsia="宋体" w:cs="Times New Roman"/>
          <w:color w:val="auto"/>
          <w:sz w:val="21"/>
          <w:szCs w:val="21"/>
          <w:highlight w:val="none"/>
        </w:rPr>
        <w:t>最终结算以</w:t>
      </w:r>
      <w:r>
        <w:rPr>
          <w:rFonts w:hint="eastAsia" w:ascii="宋体" w:hAnsi="宋体" w:eastAsia="宋体" w:cs="Times New Roman"/>
          <w:color w:val="auto"/>
          <w:sz w:val="21"/>
          <w:szCs w:val="21"/>
          <w:highlight w:val="none"/>
          <w:lang w:eastAsia="zh-CN"/>
        </w:rPr>
        <w:t>从化区财政部门</w:t>
      </w:r>
      <w:r>
        <w:rPr>
          <w:rFonts w:hint="eastAsia" w:ascii="宋体" w:hAnsi="宋体" w:eastAsia="宋体" w:cs="Times New Roman"/>
          <w:color w:val="auto"/>
          <w:sz w:val="21"/>
          <w:szCs w:val="21"/>
          <w:highlight w:val="none"/>
        </w:rPr>
        <w:t>审定结算价为准。</w:t>
      </w:r>
      <w:r>
        <w:rPr>
          <w:rFonts w:hint="eastAsia" w:ascii="宋体" w:hAnsi="宋体" w:eastAsia="宋体" w:cs="Times New Roman"/>
          <w:color w:val="auto"/>
          <w:sz w:val="21"/>
          <w:szCs w:val="21"/>
          <w:highlight w:val="none"/>
          <w:u w:val="none"/>
        </w:rPr>
        <w:t>如收费标准中检测项目的单价需另行计算技术服务费或者机械设备进退场费的，请检测单位自行综合考虑，不予另行计算。</w:t>
      </w:r>
    </w:p>
    <w:p>
      <w:pPr>
        <w:spacing w:line="360" w:lineRule="auto"/>
        <w:ind w:left="420" w:leftChars="200" w:firstLine="420" w:firstLineChars="200"/>
        <w:contextualSpacing/>
        <w:rPr>
          <w:rFonts w:ascii="宋体" w:hAnsi="宋体"/>
          <w:color w:val="auto"/>
          <w:szCs w:val="21"/>
          <w:highlight w:val="none"/>
        </w:rPr>
      </w:pPr>
      <w:r>
        <w:rPr>
          <w:rFonts w:hint="eastAsia" w:ascii="宋体" w:hAnsi="宋体"/>
          <w:color w:val="auto"/>
          <w:szCs w:val="21"/>
          <w:highlight w:val="none"/>
        </w:rPr>
        <w:t>5、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pPr>
        <w:spacing w:line="360" w:lineRule="auto"/>
        <w:ind w:left="420" w:leftChars="200" w:firstLine="420" w:firstLineChars="200"/>
        <w:contextualSpacing/>
        <w:rPr>
          <w:rFonts w:ascii="宋体" w:hAnsi="宋体"/>
          <w:b/>
          <w:bCs/>
          <w:color w:val="auto"/>
          <w:szCs w:val="21"/>
          <w:highlight w:val="none"/>
        </w:rPr>
      </w:pPr>
      <w:r>
        <w:rPr>
          <w:rFonts w:hint="eastAsia" w:ascii="宋体" w:hAnsi="宋体"/>
          <w:color w:val="auto"/>
          <w:szCs w:val="21"/>
          <w:highlight w:val="none"/>
        </w:rPr>
        <w:t>6、投标人的投标总报价不得超过最高投标限价，且各项单价报价不得高于粤建检协[2015]8号文件的收费指导价</w:t>
      </w:r>
      <w:r>
        <w:rPr>
          <w:rFonts w:hint="eastAsia" w:ascii="宋体" w:hAnsi="宋体"/>
          <w:color w:val="auto"/>
          <w:szCs w:val="21"/>
          <w:highlight w:val="none"/>
          <w:lang w:eastAsia="zh-CN"/>
        </w:rPr>
        <w:t>及招标工程量清单最高限价</w:t>
      </w:r>
      <w:r>
        <w:rPr>
          <w:rFonts w:hint="eastAsia" w:ascii="宋体" w:hAnsi="宋体"/>
          <w:color w:val="auto"/>
          <w:szCs w:val="21"/>
          <w:highlight w:val="none"/>
        </w:rPr>
        <w:t>。</w:t>
      </w:r>
    </w:p>
    <w:p>
      <w:pPr>
        <w:pStyle w:val="2"/>
        <w:ind w:firstLine="211"/>
        <w:jc w:val="left"/>
        <w:rPr>
          <w:color w:val="auto"/>
          <w:highlight w:val="none"/>
        </w:rPr>
        <w:sectPr>
          <w:pgSz w:w="11906" w:h="16838"/>
          <w:pgMar w:top="1440" w:right="1440" w:bottom="1440" w:left="1440" w:header="851" w:footer="992" w:gutter="0"/>
          <w:cols w:space="720" w:num="1"/>
          <w:docGrid w:type="lines" w:linePitch="312" w:charSpace="0"/>
        </w:sectPr>
      </w:pPr>
      <w:r>
        <w:rPr>
          <w:rFonts w:hint="eastAsia" w:ascii="宋体" w:hAnsi="宋体"/>
          <w:b/>
          <w:color w:val="auto"/>
          <w:szCs w:val="21"/>
          <w:highlight w:val="none"/>
        </w:rPr>
        <w:t>三、其他要求详见按合同。</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5"/>
        <w:spacing w:before="62" w:beforeLines="20" w:after="62" w:afterLines="20" w:line="360" w:lineRule="auto"/>
        <w:jc w:val="center"/>
        <w:rPr>
          <w:rFonts w:ascii="宋体" w:hAnsi="宋体" w:cs="宋体"/>
          <w:color w:val="auto"/>
          <w:highlight w:val="none"/>
        </w:rPr>
      </w:pPr>
      <w:bookmarkStart w:id="89" w:name="_Toc535834509"/>
      <w:r>
        <w:rPr>
          <w:rFonts w:hint="eastAsia" w:ascii="宋体" w:hAnsi="宋体" w:cs="宋体"/>
          <w:color w:val="auto"/>
          <w:highlight w:val="none"/>
        </w:rPr>
        <w:t>第三卷</w:t>
      </w:r>
      <w:bookmarkEnd w:id="89"/>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pStyle w:val="5"/>
        <w:spacing w:before="62" w:beforeLines="20" w:after="62" w:afterLines="20" w:line="360" w:lineRule="auto"/>
        <w:jc w:val="center"/>
        <w:rPr>
          <w:rFonts w:ascii="宋体" w:hAnsi="宋体" w:cs="宋体"/>
          <w:color w:val="auto"/>
          <w:highlight w:val="none"/>
        </w:rPr>
      </w:pPr>
      <w:bookmarkStart w:id="90" w:name="_Toc535834510"/>
      <w:r>
        <w:rPr>
          <w:rFonts w:hint="eastAsia" w:ascii="宋体" w:hAnsi="宋体" w:cs="宋体"/>
          <w:color w:val="auto"/>
          <w:highlight w:val="none"/>
        </w:rPr>
        <w:t>第六章 投标文件格式</w:t>
      </w:r>
      <w:bookmarkEnd w:id="90"/>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jc w:val="center"/>
        <w:rPr>
          <w:rFonts w:ascii="宋体" w:hAnsi="宋体" w:cs="宋体"/>
          <w:color w:val="auto"/>
          <w:highlight w:val="none"/>
        </w:rPr>
      </w:pPr>
      <w:r>
        <w:rPr>
          <w:rFonts w:hint="eastAsia" w:ascii="宋体" w:hAnsi="宋体" w:cs="宋体"/>
          <w:b/>
          <w:color w:val="auto"/>
          <w:sz w:val="32"/>
          <w:szCs w:val="32"/>
          <w:highlight w:val="none"/>
          <w:u w:val="single"/>
        </w:rPr>
        <w:t>从化区全域土地综合整治试点鳌头万亩良田示范项目第三方检测和监测</w:t>
      </w:r>
    </w:p>
    <w:p>
      <w:pPr>
        <w:spacing w:line="360" w:lineRule="auto"/>
        <w:ind w:firstLine="420" w:firstLineChars="200"/>
        <w:jc w:val="center"/>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投 标 文 件</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投标人：</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（盖单位章）</w:t>
      </w:r>
    </w:p>
    <w:p>
      <w:pPr>
        <w:spacing w:line="360" w:lineRule="auto"/>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法定代表人或其委托代理人：</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（签字或盖章）</w:t>
      </w:r>
    </w:p>
    <w:p>
      <w:pPr>
        <w:spacing w:line="360" w:lineRule="auto"/>
        <w:ind w:firstLine="3052" w:firstLineChars="950"/>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日</w:t>
      </w: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91" w:name="_Toc535834511"/>
      <w:r>
        <w:rPr>
          <w:rFonts w:hint="eastAsia" w:ascii="宋体" w:hAnsi="宋体" w:eastAsia="宋体" w:cs="宋体"/>
          <w:color w:val="auto"/>
          <w:highlight w:val="none"/>
        </w:rPr>
        <w:t>目录</w:t>
      </w:r>
      <w:bookmarkEnd w:id="9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一、投标函及投标函附录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二、法定代表人身份证明（适用于无委托代理人的情况）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二、授权委托书（适用于有委托代理人的情况）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三、联合体协议书（如有）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五、</w:t>
      </w:r>
      <w:r>
        <w:rPr>
          <w:rFonts w:hint="eastAsia" w:ascii="宋体" w:hAnsi="宋体" w:cs="宋体"/>
          <w:color w:val="auto"/>
          <w:sz w:val="24"/>
          <w:highlight w:val="none"/>
          <w:u w:val="single"/>
        </w:rPr>
        <w:t>投标报价书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六、资格审查资料</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七、</w:t>
      </w:r>
      <w:r>
        <w:rPr>
          <w:rFonts w:hint="eastAsia" w:ascii="宋体" w:hAnsi="宋体" w:cs="宋体"/>
          <w:color w:val="auto"/>
          <w:sz w:val="24"/>
          <w:highlight w:val="none"/>
          <w:u w:val="single"/>
        </w:rPr>
        <w:t>检测方案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color w:val="auto"/>
          <w:sz w:val="24"/>
          <w:highlight w:val="none"/>
          <w:u w:val="single"/>
        </w:rPr>
        <w:t>投标单位情况介绍</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① 一般情况表</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② 投标单位简历表</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③ 拟委派的项目负责人、技术负责人、安全质量负责人及投入本项目的主要技术人员的组成情况</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④ 拟委派的项目负责人、技术负责人、安全质量负责人及投入本项目的主要技术人员简历</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⑤ 拟投入本项目的主要试验检测及监测设备</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⑥ 投标单位201</w:t>
      </w:r>
      <w:r>
        <w:rPr>
          <w:rFonts w:ascii="宋体" w:hAnsi="宋体" w:cs="宋体"/>
          <w:color w:val="auto"/>
          <w:sz w:val="24"/>
          <w:highlight w:val="none"/>
          <w:u w:val="single"/>
        </w:rPr>
        <w:t>9</w:t>
      </w:r>
      <w:r>
        <w:rPr>
          <w:rFonts w:hint="eastAsia" w:ascii="宋体" w:hAnsi="宋体" w:cs="宋体"/>
          <w:color w:val="auto"/>
          <w:sz w:val="24"/>
          <w:highlight w:val="none"/>
          <w:u w:val="single"/>
        </w:rPr>
        <w:t>年1月1日至今承担过类似业绩</w:t>
      </w:r>
    </w:p>
    <w:p>
      <w:pPr>
        <w:spacing w:line="360" w:lineRule="auto"/>
        <w:ind w:left="840" w:leftChars="400"/>
        <w:rPr>
          <w:rFonts w:ascii="宋体" w:hAnsi="宋体" w:cs="宋体"/>
          <w:color w:val="auto"/>
          <w:sz w:val="24"/>
          <w:highlight w:val="none"/>
          <w:u w:val="single"/>
        </w:rPr>
      </w:pPr>
      <w:r>
        <w:rPr>
          <w:rFonts w:hint="eastAsia" w:ascii="宋体" w:hAnsi="宋体" w:cs="宋体"/>
          <w:color w:val="auto"/>
          <w:sz w:val="24"/>
          <w:highlight w:val="none"/>
          <w:u w:val="single"/>
        </w:rPr>
        <w:t>⑦ 其他证明企业资信实力、获奖证明资料等复印件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九、其他资料</w:t>
      </w: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92" w:name="_Toc535834512"/>
      <w:r>
        <w:rPr>
          <w:rFonts w:hint="eastAsia" w:ascii="宋体" w:hAnsi="宋体" w:eastAsia="宋体" w:cs="宋体"/>
          <w:color w:val="auto"/>
          <w:highlight w:val="none"/>
        </w:rPr>
        <w:t>一、投标函及投标函附录</w:t>
      </w:r>
      <w:bookmarkEnd w:id="92"/>
    </w:p>
    <w:p>
      <w:pPr>
        <w:pStyle w:val="7"/>
        <w:spacing w:before="62" w:beforeLines="20" w:after="62" w:afterLines="20" w:line="360" w:lineRule="auto"/>
        <w:rPr>
          <w:rFonts w:ascii="宋体" w:hAnsi="宋体" w:cs="宋体"/>
          <w:color w:val="auto"/>
          <w:highlight w:val="none"/>
        </w:rPr>
      </w:pPr>
      <w:bookmarkStart w:id="93" w:name="_Toc535834513"/>
      <w:r>
        <w:rPr>
          <w:rFonts w:hint="eastAsia" w:ascii="宋体" w:hAnsi="宋体" w:cs="宋体"/>
          <w:color w:val="auto"/>
          <w:highlight w:val="none"/>
        </w:rPr>
        <w:t>（一）投标函</w:t>
      </w:r>
      <w:bookmarkEnd w:id="93"/>
    </w:p>
    <w:p>
      <w:pPr>
        <w:snapToGrid w:val="0"/>
        <w:spacing w:line="340" w:lineRule="exact"/>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（招标人名称）：</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highlight w:val="none"/>
        </w:rPr>
        <w:t>（项目名称）招标项目招标文件的全部内容，愿意以人民币（大写）</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）的投标总报价</w:t>
      </w:r>
      <w:r>
        <w:rPr>
          <w:rFonts w:hint="eastAsia" w:ascii="宋体" w:hAnsi="宋体" w:cs="宋体"/>
          <w:color w:val="auto"/>
          <w:highlight w:val="none"/>
          <w:u w:val="single"/>
        </w:rPr>
        <w:t>（此报价包括但不限于设备、劳务、管理、交通、维护、保险、利润、税金、政策性文件规定及合同包含的所有风险、责任等各项所有费用）</w:t>
      </w:r>
      <w:r>
        <w:rPr>
          <w:rFonts w:hint="eastAsia" w:ascii="宋体" w:hAnsi="宋体" w:cs="宋体"/>
          <w:color w:val="auto"/>
          <w:highlight w:val="none"/>
        </w:rPr>
        <w:t>，按合同约定完成全部</w:t>
      </w:r>
      <w:r>
        <w:rPr>
          <w:rFonts w:hint="eastAsia" w:ascii="宋体" w:hAnsi="宋体" w:cs="宋体"/>
          <w:color w:val="auto"/>
          <w:highlight w:val="none"/>
          <w:u w:val="single"/>
        </w:rPr>
        <w:t>检测监测技术服务</w:t>
      </w:r>
      <w:r>
        <w:rPr>
          <w:rFonts w:hint="eastAsia" w:ascii="宋体" w:hAnsi="宋体" w:cs="宋体"/>
          <w:color w:val="auto"/>
          <w:highlight w:val="none"/>
        </w:rPr>
        <w:t>工作。</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2. 我方的投标文件包括下列内容：</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（1）投标函及投标函附录；</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（2）法定代表人身份证明或授权委托书；</w:t>
      </w:r>
    </w:p>
    <w:p>
      <w:pPr>
        <w:snapToGrid w:val="0"/>
        <w:spacing w:line="340" w:lineRule="exact"/>
        <w:ind w:firstLine="420" w:firstLineChars="200"/>
        <w:rPr>
          <w:color w:val="auto"/>
          <w:highlight w:val="none"/>
        </w:rPr>
      </w:pPr>
      <w:r>
        <w:rPr>
          <w:rFonts w:hint="eastAsia" w:ascii="宋体" w:hAnsi="宋体" w:cs="宋体"/>
          <w:color w:val="auto"/>
          <w:highlight w:val="none"/>
        </w:rPr>
        <w:t>（3）联合体协议书（如有）；</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（4）投标保证金；</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投标报价书；</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（6）资格审查资料；</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u w:val="single"/>
        </w:rPr>
        <w:t>检测方案；</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highlight w:val="none"/>
          <w:u w:val="single"/>
        </w:rPr>
        <w:t>投标单位情况介绍；</w:t>
      </w:r>
    </w:p>
    <w:p>
      <w:pPr>
        <w:snapToGrid w:val="0"/>
        <w:spacing w:line="340" w:lineRule="exact"/>
        <w:ind w:firstLine="420" w:firstLineChars="200"/>
        <w:rPr>
          <w:rFonts w:ascii="宋体" w:hAnsi="宋体" w:cs="宋体"/>
          <w:color w:val="auto"/>
          <w:highlight w:val="none"/>
          <w:u w:val="single"/>
        </w:rPr>
      </w:pPr>
      <w:r>
        <w:rPr>
          <w:rFonts w:hint="eastAsia" w:ascii="宋体" w:hAnsi="宋体" w:cs="宋体"/>
          <w:color w:val="auto"/>
          <w:highlight w:val="none"/>
        </w:rPr>
        <w:t>（9）</w:t>
      </w:r>
      <w:r>
        <w:rPr>
          <w:rFonts w:hint="eastAsia" w:ascii="宋体" w:hAnsi="宋体" w:cs="宋体"/>
          <w:color w:val="auto"/>
          <w:highlight w:val="none"/>
          <w:u w:val="single"/>
        </w:rPr>
        <w:t>其他资料（如有）。</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投标文件的上述组成部分如存在内容不一致的，以投标函为准。</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3．我方承诺在招标文件规定的投标有效期内不撤销投标文件。</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4．如我方中标，我方承诺：</w:t>
      </w:r>
    </w:p>
    <w:p>
      <w:pPr>
        <w:snapToGrid w:val="0"/>
        <w:spacing w:line="340" w:lineRule="exact"/>
        <w:ind w:firstLine="840" w:firstLineChars="400"/>
        <w:rPr>
          <w:rFonts w:ascii="宋体" w:hAnsi="宋体" w:cs="宋体"/>
          <w:color w:val="auto"/>
          <w:highlight w:val="none"/>
        </w:rPr>
      </w:pPr>
      <w:r>
        <w:rPr>
          <w:rFonts w:hint="eastAsia" w:ascii="宋体" w:hAnsi="宋体" w:cs="宋体"/>
          <w:color w:val="auto"/>
          <w:highlight w:val="none"/>
        </w:rPr>
        <w:t>（1）在收到中标通知书后，在中标通知书规定的期限内与你方签订合同；</w:t>
      </w:r>
    </w:p>
    <w:p>
      <w:pPr>
        <w:snapToGrid w:val="0"/>
        <w:spacing w:line="340" w:lineRule="exact"/>
        <w:ind w:firstLine="840" w:firstLineChars="400"/>
        <w:rPr>
          <w:rFonts w:ascii="宋体" w:hAnsi="宋体" w:cs="宋体"/>
          <w:color w:val="auto"/>
          <w:highlight w:val="none"/>
        </w:rPr>
      </w:pPr>
      <w:r>
        <w:rPr>
          <w:rFonts w:hint="eastAsia" w:ascii="宋体" w:hAnsi="宋体" w:cs="宋体"/>
          <w:color w:val="auto"/>
          <w:highlight w:val="none"/>
        </w:rPr>
        <w:t>（2）在签订合同时不向你方提出附加条件；</w:t>
      </w:r>
    </w:p>
    <w:p>
      <w:pPr>
        <w:snapToGrid w:val="0"/>
        <w:spacing w:line="340" w:lineRule="exact"/>
        <w:ind w:firstLine="840" w:firstLineChars="400"/>
        <w:rPr>
          <w:rFonts w:ascii="宋体" w:hAnsi="宋体" w:cs="宋体"/>
          <w:color w:val="auto"/>
          <w:highlight w:val="none"/>
        </w:rPr>
      </w:pPr>
      <w:r>
        <w:rPr>
          <w:rFonts w:hint="eastAsia" w:ascii="宋体" w:hAnsi="宋体" w:cs="宋体"/>
          <w:color w:val="auto"/>
          <w:highlight w:val="none"/>
        </w:rPr>
        <w:t>（3）按照招标文件要求提交履约保证金；</w:t>
      </w:r>
    </w:p>
    <w:p>
      <w:pPr>
        <w:snapToGrid w:val="0"/>
        <w:spacing w:line="340" w:lineRule="exact"/>
        <w:ind w:firstLine="840" w:firstLineChars="400"/>
        <w:rPr>
          <w:rFonts w:ascii="宋体" w:hAnsi="宋体" w:cs="宋体"/>
          <w:color w:val="auto"/>
          <w:highlight w:val="none"/>
        </w:rPr>
      </w:pPr>
      <w:r>
        <w:rPr>
          <w:rFonts w:hint="eastAsia" w:ascii="宋体" w:hAnsi="宋体" w:cs="宋体"/>
          <w:color w:val="auto"/>
          <w:highlight w:val="none"/>
        </w:rPr>
        <w:t>（4）在合同约定的期限内完成合同规定的全部义务。</w:t>
      </w:r>
    </w:p>
    <w:p>
      <w:pPr>
        <w:snapToGrid w:val="0"/>
        <w:spacing w:line="340" w:lineRule="exact"/>
        <w:ind w:left="1365" w:leftChars="400" w:hanging="525" w:hangingChars="250"/>
        <w:rPr>
          <w:rFonts w:ascii="宋体" w:hAnsi="宋体" w:cs="宋体"/>
          <w:color w:val="auto"/>
          <w:highlight w:val="none"/>
          <w:u w:val="single"/>
        </w:rPr>
      </w:pPr>
      <w:r>
        <w:rPr>
          <w:rFonts w:hint="eastAsia" w:ascii="宋体" w:hAnsi="宋体" w:cs="宋体"/>
          <w:color w:val="auto"/>
          <w:highlight w:val="none"/>
        </w:rPr>
        <w:t>（5）</w:t>
      </w:r>
      <w:r>
        <w:rPr>
          <w:rFonts w:hint="eastAsia" w:ascii="宋体" w:hAnsi="宋体" w:cs="宋体"/>
          <w:color w:val="auto"/>
          <w:highlight w:val="none"/>
          <w:u w:val="single"/>
        </w:rPr>
        <w:t>按规定日期及金额（中标价的0.9%）向广州公共资源交易中心交纳交易服务费。</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5．我方在此声明，所递交的投标文件及有关资料内容完整、真实和准确，且不存在第二章“投标人须知”第 1.4.3 项规定的任何一种情形。</w:t>
      </w:r>
    </w:p>
    <w:p>
      <w:pPr>
        <w:snapToGrid w:val="0"/>
        <w:spacing w:line="340" w:lineRule="exact"/>
        <w:ind w:firstLine="420" w:firstLineChars="200"/>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szCs w:val="21"/>
          <w:highlight w:val="none"/>
          <w:u w:val="single"/>
        </w:rPr>
        <w:t xml:space="preserve">                                     </w:t>
      </w:r>
      <w:r>
        <w:rPr>
          <w:rFonts w:hint="eastAsia" w:ascii="宋体" w:hAnsi="宋体" w:cs="宋体"/>
          <w:color w:val="auto"/>
          <w:highlight w:val="none"/>
        </w:rPr>
        <w:t>（其他补充说明）。</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highlight w:val="none"/>
        </w:rPr>
        <w:t>（盖单位章）</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highlight w:val="none"/>
        </w:rPr>
        <w:t>（签字或盖章）</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szCs w:val="21"/>
          <w:highlight w:val="none"/>
          <w:u w:val="single"/>
        </w:rPr>
        <w:t xml:space="preserve">                                        </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网    址：</w:t>
      </w:r>
      <w:r>
        <w:rPr>
          <w:rFonts w:hint="eastAsia" w:ascii="宋体" w:hAnsi="宋体" w:cs="宋体"/>
          <w:color w:val="auto"/>
          <w:szCs w:val="21"/>
          <w:highlight w:val="none"/>
          <w:u w:val="single"/>
        </w:rPr>
        <w:t xml:space="preserve">                                        </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szCs w:val="21"/>
          <w:highlight w:val="none"/>
          <w:u w:val="single"/>
        </w:rPr>
        <w:t xml:space="preserve">                                        </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szCs w:val="21"/>
          <w:highlight w:val="none"/>
          <w:u w:val="single"/>
        </w:rPr>
        <w:t xml:space="preserve">                                        </w:t>
      </w:r>
    </w:p>
    <w:p>
      <w:pPr>
        <w:spacing w:line="340" w:lineRule="exact"/>
        <w:ind w:firstLine="2835" w:firstLineChars="1350"/>
        <w:rPr>
          <w:rFonts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szCs w:val="21"/>
          <w:highlight w:val="none"/>
          <w:u w:val="single"/>
        </w:rPr>
        <w:t xml:space="preserve">                                        </w:t>
      </w:r>
    </w:p>
    <w:p>
      <w:pPr>
        <w:spacing w:line="340" w:lineRule="exact"/>
        <w:ind w:firstLine="4935" w:firstLineChars="2350"/>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rPr>
        <w:t>日</w:t>
      </w:r>
    </w:p>
    <w:p>
      <w:pPr>
        <w:pStyle w:val="7"/>
        <w:spacing w:before="62" w:beforeLines="20" w:after="62" w:afterLines="20" w:line="360" w:lineRule="auto"/>
        <w:rPr>
          <w:rFonts w:ascii="宋体" w:hAnsi="宋体" w:cs="宋体"/>
          <w:color w:val="auto"/>
          <w:highlight w:val="none"/>
        </w:rPr>
      </w:pPr>
      <w:r>
        <w:rPr>
          <w:rFonts w:hint="eastAsia" w:ascii="宋体" w:hAnsi="宋体" w:cs="宋体"/>
          <w:color w:val="auto"/>
          <w:highlight w:val="none"/>
        </w:rPr>
        <w:br w:type="page"/>
      </w:r>
      <w:bookmarkStart w:id="94" w:name="_Toc535834514"/>
      <w:r>
        <w:rPr>
          <w:rFonts w:hint="eastAsia" w:ascii="宋体" w:hAnsi="宋体" w:cs="宋体"/>
          <w:color w:val="auto"/>
          <w:highlight w:val="none"/>
        </w:rPr>
        <w:t>（二）投标函附录</w:t>
      </w:r>
      <w:bookmarkEnd w:id="94"/>
    </w:p>
    <w:p>
      <w:pPr>
        <w:spacing w:line="360" w:lineRule="auto"/>
        <w:ind w:firstLine="420" w:firstLineChars="200"/>
        <w:rPr>
          <w:rFonts w:ascii="宋体" w:hAnsi="宋体" w:cs="宋体"/>
          <w:color w:val="auto"/>
          <w:highlight w:val="none"/>
        </w:rPr>
      </w:pPr>
    </w:p>
    <w:tbl>
      <w:tblPr>
        <w:tblStyle w:val="29"/>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34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28"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序号</w:t>
            </w:r>
          </w:p>
        </w:tc>
        <w:tc>
          <w:tcPr>
            <w:tcW w:w="1980"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项目</w:t>
            </w:r>
          </w:p>
        </w:tc>
        <w:tc>
          <w:tcPr>
            <w:tcW w:w="3420"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内容</w:t>
            </w:r>
          </w:p>
        </w:tc>
        <w:tc>
          <w:tcPr>
            <w:tcW w:w="2160" w:type="dxa"/>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项目负责人</w:t>
            </w:r>
          </w:p>
        </w:tc>
        <w:tc>
          <w:tcPr>
            <w:tcW w:w="3420" w:type="dxa"/>
            <w:vAlign w:val="center"/>
          </w:tcPr>
          <w:p>
            <w:pPr>
              <w:spacing w:line="360" w:lineRule="auto"/>
              <w:rPr>
                <w:rFonts w:ascii="宋体" w:hAnsi="宋体" w:cs="宋体"/>
                <w:color w:val="auto"/>
                <w:highlight w:val="none"/>
                <w:u w:val="singl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u w:val="single"/>
              </w:rPr>
            </w:pPr>
            <w:r>
              <w:rPr>
                <w:rFonts w:hint="eastAsia" w:ascii="宋体" w:hAnsi="宋体" w:cs="宋体"/>
                <w:color w:val="auto"/>
                <w:highlight w:val="none"/>
              </w:rPr>
              <w:t>技术职称及证号：</w:t>
            </w:r>
            <w:r>
              <w:rPr>
                <w:rFonts w:hint="eastAsia" w:ascii="宋体" w:hAnsi="宋体" w:cs="宋体"/>
                <w:color w:val="auto"/>
                <w:highlight w:val="none"/>
                <w:u w:val="single"/>
              </w:rPr>
              <w:t xml:space="preserve">            </w:t>
            </w:r>
          </w:p>
        </w:tc>
        <w:tc>
          <w:tcPr>
            <w:tcW w:w="2160" w:type="dxa"/>
            <w:vAlign w:val="center"/>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服务期限</w:t>
            </w:r>
          </w:p>
        </w:tc>
        <w:tc>
          <w:tcPr>
            <w:tcW w:w="3420"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按招标文件要求</w:t>
            </w:r>
          </w:p>
        </w:tc>
        <w:tc>
          <w:tcPr>
            <w:tcW w:w="2160" w:type="dxa"/>
            <w:vAlign w:val="center"/>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合同价款确定方式</w:t>
            </w:r>
          </w:p>
        </w:tc>
        <w:tc>
          <w:tcPr>
            <w:tcW w:w="3420"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按招标文件要求</w:t>
            </w:r>
          </w:p>
        </w:tc>
        <w:tc>
          <w:tcPr>
            <w:tcW w:w="2160" w:type="dxa"/>
            <w:vAlign w:val="center"/>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质量标准</w:t>
            </w:r>
          </w:p>
        </w:tc>
        <w:tc>
          <w:tcPr>
            <w:tcW w:w="3420"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按招标文件要求</w:t>
            </w:r>
          </w:p>
        </w:tc>
        <w:tc>
          <w:tcPr>
            <w:tcW w:w="2160" w:type="dxa"/>
            <w:vAlign w:val="center"/>
          </w:tcPr>
          <w:p>
            <w:pPr>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82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1980"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投标有效期</w:t>
            </w:r>
          </w:p>
        </w:tc>
        <w:tc>
          <w:tcPr>
            <w:tcW w:w="3420" w:type="dxa"/>
            <w:vAlign w:val="center"/>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按招标文件要求</w:t>
            </w:r>
          </w:p>
        </w:tc>
        <w:tc>
          <w:tcPr>
            <w:tcW w:w="2160" w:type="dxa"/>
            <w:vAlign w:val="center"/>
          </w:tcPr>
          <w:p>
            <w:pPr>
              <w:spacing w:line="360" w:lineRule="auto"/>
              <w:rPr>
                <w:rFonts w:ascii="宋体" w:hAnsi="宋体" w:cs="宋体"/>
                <w:color w:val="auto"/>
                <w:highlight w:val="none"/>
              </w:rPr>
            </w:pPr>
          </w:p>
        </w:tc>
      </w:tr>
    </w:tbl>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exact"/>
        <w:ind w:firstLine="2835" w:firstLineChars="1350"/>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highlight w:val="none"/>
        </w:rPr>
        <w:t>（盖单位章）</w:t>
      </w:r>
    </w:p>
    <w:p>
      <w:pPr>
        <w:spacing w:line="360" w:lineRule="exact"/>
        <w:ind w:firstLine="2835" w:firstLineChars="1350"/>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highlight w:val="none"/>
        </w:rPr>
        <w:t>（签字或盖章）</w:t>
      </w:r>
    </w:p>
    <w:p>
      <w:pPr>
        <w:spacing w:line="360" w:lineRule="exact"/>
        <w:ind w:firstLine="4935" w:firstLineChars="2350"/>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rPr>
        <w:t>日</w:t>
      </w: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95" w:name="_Toc535834515"/>
      <w:r>
        <w:rPr>
          <w:rFonts w:hint="eastAsia" w:ascii="宋体" w:hAnsi="宋体" w:eastAsia="宋体" w:cs="宋体"/>
          <w:color w:val="auto"/>
          <w:highlight w:val="none"/>
        </w:rPr>
        <w:t>二、法定代表人身份证明</w:t>
      </w:r>
      <w:bookmarkEnd w:id="95"/>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highlight w:val="none"/>
        </w:rPr>
        <w:t>职务：</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highlight w:val="none"/>
        </w:rPr>
        <w:t>（投标人名称）的法定代表人。</w:t>
      </w:r>
    </w:p>
    <w:p>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特此证明。</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附：法定代表人身份证复印件。</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注：本身份证明需由投标人加盖单位公章。</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exact"/>
        <w:ind w:firstLine="3465" w:firstLineChars="1650"/>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highlight w:val="none"/>
        </w:rPr>
        <w:t>（盖单位章）</w:t>
      </w:r>
    </w:p>
    <w:p>
      <w:pPr>
        <w:spacing w:line="360" w:lineRule="exact"/>
        <w:ind w:firstLine="4305" w:firstLineChars="2050"/>
        <w:rPr>
          <w:rFonts w:ascii="宋体" w:hAnsi="宋体" w:cs="宋体"/>
          <w:color w:val="auto"/>
          <w:highlight w:val="none"/>
        </w:rPr>
      </w:pPr>
    </w:p>
    <w:p>
      <w:pPr>
        <w:spacing w:line="360" w:lineRule="exact"/>
        <w:ind w:firstLine="4305" w:firstLineChars="2050"/>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rPr>
        <w:t>日</w:t>
      </w: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96" w:name="_Toc535834516"/>
      <w:r>
        <w:rPr>
          <w:rFonts w:hint="eastAsia" w:ascii="宋体" w:hAnsi="宋体" w:eastAsia="宋体" w:cs="宋体"/>
          <w:color w:val="auto"/>
          <w:highlight w:val="none"/>
        </w:rPr>
        <w:t>二、授权委托书</w:t>
      </w:r>
      <w:bookmarkEnd w:id="96"/>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highlight w:val="none"/>
        </w:rPr>
        <w:t>（姓名）为我方代理人。代理人根据授权，以我方名义签署、澄清确认、递交、撤回、修改</w:t>
      </w:r>
      <w:r>
        <w:rPr>
          <w:rFonts w:hint="eastAsia" w:ascii="宋体" w:hAnsi="宋体" w:cs="宋体"/>
          <w:color w:val="auto"/>
          <w:highlight w:val="none"/>
          <w:u w:val="single"/>
        </w:rPr>
        <w:t xml:space="preserve">               （项目名称）            </w:t>
      </w:r>
      <w:r>
        <w:rPr>
          <w:rFonts w:hint="eastAsia" w:ascii="宋体" w:hAnsi="宋体" w:cs="宋体"/>
          <w:color w:val="auto"/>
          <w:highlight w:val="none"/>
        </w:rPr>
        <w:t>招标项目投标文件、签订合同和处理有关事宜，其法律后果由我方承担。</w:t>
      </w:r>
    </w:p>
    <w:p>
      <w:pPr>
        <w:spacing w:line="360" w:lineRule="auto"/>
        <w:rPr>
          <w:rFonts w:ascii="宋体" w:hAnsi="宋体" w:cs="宋体"/>
          <w:color w:val="auto"/>
          <w:highlight w:val="none"/>
        </w:rPr>
      </w:pPr>
      <w:r>
        <w:rPr>
          <w:rFonts w:hint="eastAsia" w:ascii="宋体" w:hAnsi="宋体" w:cs="宋体"/>
          <w:color w:val="auto"/>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代理人无转委托权。</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附：法定代表人身份证复印件及委托代理人身份证复印件</w:t>
      </w:r>
    </w:p>
    <w:p>
      <w:pPr>
        <w:spacing w:line="360" w:lineRule="auto"/>
        <w:ind w:firstLine="420" w:firstLineChars="200"/>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注：本授权委托书需由投标人加盖单位公章并由其法定代表人和委托代理人签字。</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2730" w:firstLineChars="1300"/>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highlight w:val="none"/>
        </w:rPr>
        <w:t>（盖单位章）</w:t>
      </w:r>
    </w:p>
    <w:p>
      <w:pPr>
        <w:spacing w:line="360" w:lineRule="auto"/>
        <w:rPr>
          <w:rFonts w:ascii="宋体" w:hAnsi="宋体" w:cs="宋体"/>
          <w:color w:val="auto"/>
          <w:highlight w:val="none"/>
        </w:rPr>
      </w:pPr>
      <w:r>
        <w:rPr>
          <w:rFonts w:hint="eastAsia" w:ascii="宋体" w:hAnsi="宋体" w:cs="宋体"/>
          <w:color w:val="auto"/>
          <w:highlight w:val="none"/>
        </w:rPr>
        <w:t xml:space="preserve">    </w:t>
      </w:r>
    </w:p>
    <w:p>
      <w:pPr>
        <w:spacing w:line="360" w:lineRule="auto"/>
        <w:ind w:firstLine="2730" w:firstLineChars="1300"/>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highlight w:val="none"/>
        </w:rPr>
        <w:t>（签字或盖章）</w:t>
      </w:r>
    </w:p>
    <w:p>
      <w:pPr>
        <w:spacing w:line="360" w:lineRule="auto"/>
        <w:ind w:firstLine="420" w:firstLineChars="200"/>
        <w:rPr>
          <w:rFonts w:ascii="宋体" w:hAnsi="宋体" w:cs="宋体"/>
          <w:color w:val="auto"/>
          <w:highlight w:val="none"/>
        </w:rPr>
      </w:pPr>
    </w:p>
    <w:p>
      <w:pPr>
        <w:spacing w:line="360" w:lineRule="auto"/>
        <w:ind w:firstLine="2730" w:firstLineChars="1300"/>
        <w:rPr>
          <w:rFonts w:ascii="宋体" w:hAnsi="宋体" w:cs="宋体"/>
          <w:color w:val="auto"/>
          <w:highlight w:val="none"/>
        </w:rPr>
      </w:pPr>
      <w:r>
        <w:rPr>
          <w:rFonts w:hint="eastAsia" w:ascii="宋体" w:hAnsi="宋体" w:cs="宋体"/>
          <w:color w:val="auto"/>
          <w:highlight w:val="none"/>
        </w:rPr>
        <w:t>身份证号码：</w:t>
      </w:r>
      <w:r>
        <w:rPr>
          <w:rFonts w:hint="eastAsia" w:ascii="宋体" w:hAnsi="宋体" w:cs="宋体"/>
          <w:color w:val="auto"/>
          <w:szCs w:val="21"/>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 xml:space="preserve">    </w:t>
      </w:r>
    </w:p>
    <w:p>
      <w:pPr>
        <w:spacing w:line="360" w:lineRule="auto"/>
        <w:ind w:firstLine="2730" w:firstLineChars="1300"/>
        <w:rPr>
          <w:rFonts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highlight w:val="none"/>
        </w:rPr>
        <w:t>（签字或盖章）</w:t>
      </w:r>
    </w:p>
    <w:p>
      <w:pPr>
        <w:spacing w:line="360" w:lineRule="auto"/>
        <w:rPr>
          <w:rFonts w:ascii="宋体" w:hAnsi="宋体" w:cs="宋体"/>
          <w:color w:val="auto"/>
          <w:highlight w:val="none"/>
        </w:rPr>
      </w:pPr>
      <w:r>
        <w:rPr>
          <w:rFonts w:hint="eastAsia" w:ascii="宋体" w:hAnsi="宋体" w:cs="宋体"/>
          <w:color w:val="auto"/>
          <w:highlight w:val="none"/>
        </w:rPr>
        <w:t xml:space="preserve">    </w:t>
      </w:r>
    </w:p>
    <w:p>
      <w:pPr>
        <w:spacing w:line="360" w:lineRule="auto"/>
        <w:ind w:firstLine="2730" w:firstLineChars="1300"/>
        <w:rPr>
          <w:rFonts w:ascii="宋体" w:hAnsi="宋体" w:cs="宋体"/>
          <w:color w:val="auto"/>
          <w:highlight w:val="none"/>
        </w:rPr>
      </w:pPr>
      <w:r>
        <w:rPr>
          <w:rFonts w:hint="eastAsia" w:ascii="宋体" w:hAnsi="宋体" w:cs="宋体"/>
          <w:color w:val="auto"/>
          <w:highlight w:val="none"/>
        </w:rPr>
        <w:t>身份证号码：</w:t>
      </w:r>
      <w:r>
        <w:rPr>
          <w:rFonts w:hint="eastAsia" w:ascii="宋体" w:hAnsi="宋体" w:cs="宋体"/>
          <w:color w:val="auto"/>
          <w:szCs w:val="21"/>
          <w:highlight w:val="none"/>
          <w:u w:val="single"/>
        </w:rPr>
        <w:t xml:space="preserve">                                        </w:t>
      </w:r>
    </w:p>
    <w:p>
      <w:pPr>
        <w:spacing w:line="360" w:lineRule="auto"/>
        <w:ind w:firstLine="420" w:firstLineChars="200"/>
        <w:rPr>
          <w:rFonts w:ascii="宋体" w:hAnsi="宋体" w:cs="宋体"/>
          <w:color w:val="auto"/>
          <w:highlight w:val="none"/>
        </w:rPr>
      </w:pPr>
    </w:p>
    <w:p>
      <w:pPr>
        <w:spacing w:line="360" w:lineRule="auto"/>
        <w:ind w:firstLine="5670" w:firstLineChars="2700"/>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rPr>
        <w:t>日</w:t>
      </w: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pStyle w:val="2"/>
        <w:ind w:firstLine="210"/>
        <w:rPr>
          <w:color w:val="auto"/>
          <w:highlight w:val="none"/>
        </w:rPr>
      </w:pPr>
    </w:p>
    <w:p>
      <w:pPr>
        <w:wordWrap w:val="0"/>
        <w:spacing w:line="360" w:lineRule="auto"/>
        <w:jc w:val="center"/>
        <w:outlineLvl w:val="1"/>
        <w:rPr>
          <w:rFonts w:ascii="宋体" w:hAnsi="宋体" w:cs="宋体"/>
          <w:b/>
          <w:color w:val="auto"/>
          <w:sz w:val="32"/>
          <w:szCs w:val="20"/>
          <w:highlight w:val="none"/>
        </w:rPr>
      </w:pPr>
      <w:bookmarkStart w:id="97" w:name="_Toc12926"/>
      <w:bookmarkStart w:id="98" w:name="_Toc27583"/>
      <w:r>
        <w:rPr>
          <w:rFonts w:hint="eastAsia" w:ascii="宋体" w:hAnsi="宋体" w:cs="宋体"/>
          <w:b/>
          <w:color w:val="auto"/>
          <w:sz w:val="32"/>
          <w:szCs w:val="20"/>
          <w:highlight w:val="none"/>
        </w:rPr>
        <w:t>三、联合体共同投标协议</w:t>
      </w:r>
      <w:bookmarkEnd w:id="97"/>
      <w:bookmarkEnd w:id="98"/>
      <w:r>
        <w:rPr>
          <w:rFonts w:hint="eastAsia" w:ascii="宋体" w:hAnsi="宋体" w:cs="宋体"/>
          <w:b/>
          <w:color w:val="auto"/>
          <w:sz w:val="32"/>
          <w:szCs w:val="20"/>
          <w:highlight w:val="none"/>
        </w:rPr>
        <w:t>（联合体投标的需提供）</w:t>
      </w:r>
    </w:p>
    <w:p>
      <w:pPr>
        <w:spacing w:line="360" w:lineRule="auto"/>
        <w:rPr>
          <w:rFonts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(主办方单位名称)、</w:t>
      </w:r>
      <w:r>
        <w:rPr>
          <w:rFonts w:hint="eastAsia" w:ascii="宋体" w:hAnsi="宋体"/>
          <w:color w:val="auto"/>
          <w:highlight w:val="none"/>
          <w:u w:val="single"/>
        </w:rPr>
        <w:t xml:space="preserve">               </w:t>
      </w:r>
      <w:r>
        <w:rPr>
          <w:rFonts w:hint="eastAsia" w:ascii="宋体" w:hAnsi="宋体"/>
          <w:color w:val="auto"/>
          <w:highlight w:val="none"/>
        </w:rPr>
        <w:t>(成员方单位名称)自愿组成联合体，共同参加</w:t>
      </w:r>
      <w:r>
        <w:rPr>
          <w:rFonts w:hint="eastAsia" w:ascii="宋体" w:hAnsi="宋体"/>
          <w:color w:val="auto"/>
          <w:kern w:val="0"/>
          <w:highlight w:val="none"/>
          <w:u w:val="single"/>
        </w:rPr>
        <w:t xml:space="preserve">               </w:t>
      </w:r>
      <w:r>
        <w:rPr>
          <w:rFonts w:hint="eastAsia" w:ascii="宋体" w:hAnsi="宋体"/>
          <w:color w:val="auto"/>
          <w:highlight w:val="none"/>
        </w:rPr>
        <w:t>投标。现就联合体投标事宜订立如下协议。</w:t>
      </w:r>
    </w:p>
    <w:p>
      <w:pPr>
        <w:topLinePunct/>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u w:val="single"/>
        </w:rPr>
        <w:t xml:space="preserve">       </w:t>
      </w:r>
      <w:r>
        <w:rPr>
          <w:rFonts w:hint="eastAsia" w:ascii="宋体" w:hAnsi="宋体"/>
          <w:color w:val="auto"/>
          <w:highlight w:val="none"/>
        </w:rPr>
        <w:t>为联合体主办方。</w:t>
      </w:r>
    </w:p>
    <w:p>
      <w:pPr>
        <w:topLinePunct/>
        <w:spacing w:line="360" w:lineRule="auto"/>
        <w:ind w:firstLine="420" w:firstLineChars="200"/>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20" w:firstLineChars="200"/>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pPr>
        <w:topLinePunct/>
        <w:spacing w:line="360" w:lineRule="auto"/>
        <w:ind w:firstLine="420" w:firstLineChars="200"/>
        <w:rPr>
          <w:rFonts w:ascii="宋体" w:hAnsi="宋体"/>
          <w:color w:val="auto"/>
          <w:highlight w:val="none"/>
        </w:rPr>
      </w:pPr>
      <w:r>
        <w:rPr>
          <w:rFonts w:hint="eastAsia" w:ascii="宋体" w:hAnsi="宋体"/>
          <w:color w:val="auto"/>
          <w:highlight w:val="none"/>
        </w:rPr>
        <w:t>4、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360" w:lineRule="auto"/>
        <w:ind w:firstLine="420" w:firstLineChars="200"/>
        <w:rPr>
          <w:rFonts w:ascii="宋体" w:hAnsi="宋体"/>
          <w:color w:val="auto"/>
          <w:sz w:val="18"/>
          <w:szCs w:val="18"/>
          <w:highlight w:val="none"/>
        </w:rPr>
      </w:pPr>
      <w:r>
        <w:rPr>
          <w:rFonts w:hint="eastAsia" w:ascii="宋体" w:hAnsi="宋体"/>
          <w:color w:val="auto"/>
          <w:highlight w:val="none"/>
        </w:rPr>
        <w:t>5、联合体各成员单位内部的职责分工如下：</w:t>
      </w:r>
    </w:p>
    <w:p>
      <w:pPr>
        <w:widowControl/>
        <w:shd w:val="clear" w:color="auto" w:fill="FFFFFF"/>
        <w:topLinePunct/>
        <w:snapToGrid w:val="0"/>
        <w:spacing w:line="360" w:lineRule="auto"/>
        <w:ind w:left="141" w:leftChars="67" w:firstLine="420" w:firstLineChars="200"/>
        <w:jc w:val="left"/>
        <w:rPr>
          <w:rFonts w:ascii="宋体" w:hAnsi="宋体"/>
          <w:color w:val="auto"/>
          <w:szCs w:val="21"/>
          <w:highlight w:val="none"/>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主办方单位名称）：主要承担本项目的    工作，具体按合同要求。</w:t>
      </w:r>
    </w:p>
    <w:p>
      <w:pPr>
        <w:widowControl/>
        <w:shd w:val="clear" w:color="auto" w:fill="FFFFFF"/>
        <w:topLinePunct/>
        <w:snapToGrid w:val="0"/>
        <w:spacing w:line="360" w:lineRule="auto"/>
        <w:ind w:left="141" w:leftChars="67" w:firstLine="420" w:firstLineChars="200"/>
        <w:jc w:val="left"/>
        <w:rPr>
          <w:rFonts w:ascii="宋体" w:hAnsi="宋体"/>
          <w:color w:val="auto"/>
          <w:highlight w:val="non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（成员方单位名称）：主要承担本项目的</w:t>
      </w:r>
      <w:r>
        <w:rPr>
          <w:rFonts w:hint="eastAsia" w:ascii="宋体" w:hAnsi="宋体"/>
          <w:color w:val="auto"/>
          <w:highlight w:val="none"/>
          <w:u w:val="single"/>
        </w:rPr>
        <w:t xml:space="preserve">    </w:t>
      </w:r>
      <w:r>
        <w:rPr>
          <w:rFonts w:hint="eastAsia" w:ascii="宋体" w:hAnsi="宋体"/>
          <w:color w:val="auto"/>
          <w:highlight w:val="none"/>
        </w:rPr>
        <w:t>工作，具体按合同要求。</w:t>
      </w:r>
    </w:p>
    <w:p>
      <w:pPr>
        <w:topLinePunct/>
        <w:spacing w:line="360" w:lineRule="auto"/>
        <w:ind w:firstLine="420" w:firstLineChars="200"/>
        <w:rPr>
          <w:rFonts w:ascii="宋体" w:hAnsi="宋体"/>
          <w:color w:val="auto"/>
          <w:highlight w:val="none"/>
        </w:rPr>
      </w:pPr>
      <w:r>
        <w:rPr>
          <w:rFonts w:hint="eastAsia" w:ascii="宋体" w:hAnsi="宋体"/>
          <w:color w:val="auto"/>
          <w:highlight w:val="none"/>
        </w:rPr>
        <w:t xml:space="preserve">6、本协议书自签署之日起生效，合同履行完毕后自动失效。 </w:t>
      </w:r>
    </w:p>
    <w:p>
      <w:pPr>
        <w:topLinePunct/>
        <w:spacing w:line="360" w:lineRule="auto"/>
        <w:ind w:firstLine="420" w:firstLineChars="200"/>
        <w:rPr>
          <w:rFonts w:ascii="宋体" w:hAnsi="宋体"/>
          <w:color w:val="auto"/>
          <w:highlight w:val="none"/>
        </w:rPr>
      </w:pPr>
      <w:r>
        <w:rPr>
          <w:rFonts w:hint="eastAsia" w:ascii="宋体" w:hAnsi="宋体"/>
          <w:color w:val="auto"/>
          <w:highlight w:val="none"/>
        </w:rPr>
        <w:t xml:space="preserve"> </w:t>
      </w:r>
    </w:p>
    <w:p>
      <w:pPr>
        <w:topLinePunct/>
        <w:spacing w:line="360" w:lineRule="auto"/>
        <w:rPr>
          <w:rFonts w:ascii="宋体" w:hAnsi="宋体"/>
          <w:color w:val="auto"/>
          <w:highlight w:val="none"/>
        </w:rPr>
      </w:pPr>
      <w:r>
        <w:rPr>
          <w:rFonts w:hint="eastAsia" w:ascii="宋体" w:hAnsi="宋体"/>
          <w:color w:val="auto"/>
          <w:highlight w:val="none"/>
        </w:rPr>
        <w:t>联合体主办方名称：</w:t>
      </w:r>
      <w:r>
        <w:rPr>
          <w:rFonts w:hint="eastAsia" w:ascii="宋体" w:hAnsi="宋体"/>
          <w:color w:val="auto"/>
          <w:highlight w:val="none"/>
          <w:u w:val="single"/>
        </w:rPr>
        <w:t xml:space="preserve">                                 </w:t>
      </w:r>
      <w:r>
        <w:rPr>
          <w:rFonts w:hint="eastAsia" w:ascii="宋体" w:hAnsi="宋体"/>
          <w:color w:val="auto"/>
          <w:highlight w:val="none"/>
        </w:rPr>
        <w:t>（盖单位章）</w:t>
      </w:r>
    </w:p>
    <w:p>
      <w:pPr>
        <w:topLinePunct/>
        <w:spacing w:line="360" w:lineRule="auto"/>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（签字或盖章）</w:t>
      </w:r>
    </w:p>
    <w:p>
      <w:pPr>
        <w:topLinePunct/>
        <w:spacing w:line="360" w:lineRule="auto"/>
        <w:rPr>
          <w:rFonts w:ascii="宋体" w:hAnsi="宋体"/>
          <w:color w:val="auto"/>
          <w:highlight w:val="none"/>
        </w:rPr>
      </w:pPr>
      <w:r>
        <w:rPr>
          <w:rFonts w:hint="eastAsia" w:ascii="宋体" w:hAnsi="宋体"/>
          <w:color w:val="auto"/>
          <w:highlight w:val="none"/>
        </w:rPr>
        <w:t xml:space="preserve"> </w:t>
      </w:r>
    </w:p>
    <w:p>
      <w:pPr>
        <w:topLinePunct/>
        <w:spacing w:line="360" w:lineRule="auto"/>
        <w:rPr>
          <w:rFonts w:ascii="宋体" w:hAnsi="宋体"/>
          <w:color w:val="auto"/>
          <w:highlight w:val="none"/>
        </w:rPr>
      </w:pPr>
      <w:r>
        <w:rPr>
          <w:rFonts w:hint="eastAsia" w:ascii="宋体" w:hAnsi="宋体"/>
          <w:color w:val="auto"/>
          <w:highlight w:val="none"/>
        </w:rPr>
        <w:t>成员一名称：</w:t>
      </w:r>
      <w:r>
        <w:rPr>
          <w:rFonts w:hint="eastAsia" w:ascii="宋体" w:hAnsi="宋体"/>
          <w:color w:val="auto"/>
          <w:highlight w:val="none"/>
          <w:u w:val="single"/>
        </w:rPr>
        <w:t xml:space="preserve">                                 </w:t>
      </w:r>
      <w:r>
        <w:rPr>
          <w:rFonts w:hint="eastAsia" w:ascii="宋体" w:hAnsi="宋体"/>
          <w:color w:val="auto"/>
          <w:highlight w:val="none"/>
        </w:rPr>
        <w:t>（盖单位章）</w:t>
      </w:r>
    </w:p>
    <w:p>
      <w:pPr>
        <w:topLinePunct/>
        <w:spacing w:line="360" w:lineRule="auto"/>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（签字或盖章）</w:t>
      </w:r>
    </w:p>
    <w:p>
      <w:pPr>
        <w:topLinePunct/>
        <w:spacing w:line="360" w:lineRule="auto"/>
        <w:rPr>
          <w:rFonts w:ascii="宋体" w:hAnsi="宋体"/>
          <w:color w:val="auto"/>
          <w:highlight w:val="none"/>
        </w:rPr>
      </w:pPr>
      <w:r>
        <w:rPr>
          <w:rFonts w:hint="eastAsia" w:ascii="宋体" w:hAnsi="宋体"/>
          <w:color w:val="auto"/>
          <w:highlight w:val="none"/>
        </w:rPr>
        <w:t xml:space="preserve"> </w:t>
      </w:r>
    </w:p>
    <w:p>
      <w:pPr>
        <w:spacing w:line="312" w:lineRule="auto"/>
        <w:ind w:firstLine="420"/>
        <w:rPr>
          <w:color w:val="auto"/>
          <w:highlight w:val="none"/>
        </w:rPr>
      </w:pPr>
    </w:p>
    <w:p>
      <w:pPr>
        <w:spacing w:line="360" w:lineRule="auto"/>
        <w:ind w:firstLine="2879" w:firstLineChars="1371"/>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widowControl/>
        <w:snapToGrid w:val="0"/>
        <w:spacing w:line="360" w:lineRule="auto"/>
        <w:ind w:right="102"/>
        <w:jc w:val="left"/>
        <w:rPr>
          <w:rFonts w:ascii="宋体" w:hAnsi="宋体"/>
          <w:color w:val="auto"/>
          <w:highlight w:val="none"/>
        </w:rPr>
      </w:pPr>
      <w:r>
        <w:rPr>
          <w:rFonts w:hint="eastAsia" w:ascii="宋体" w:hAnsi="宋体"/>
          <w:color w:val="auto"/>
          <w:highlight w:val="none"/>
        </w:rPr>
        <w:t>注：单独投标的，无需提交本协议书。</w:t>
      </w:r>
    </w:p>
    <w:p>
      <w:pPr>
        <w:pStyle w:val="2"/>
        <w:ind w:firstLine="210"/>
        <w:rPr>
          <w:color w:val="auto"/>
          <w:highlight w:val="none"/>
        </w:rPr>
      </w:pPr>
    </w:p>
    <w:p>
      <w:pPr>
        <w:pStyle w:val="6"/>
        <w:jc w:val="center"/>
        <w:rPr>
          <w:rFonts w:ascii="宋体" w:hAnsi="宋体" w:eastAsia="宋体" w:cs="宋体"/>
          <w:color w:val="auto"/>
          <w:highlight w:val="none"/>
        </w:rPr>
      </w:pPr>
      <w:r>
        <w:rPr>
          <w:rFonts w:hint="eastAsia" w:ascii="Times New Roman" w:hAnsi="Times New Roman" w:eastAsia="宋体"/>
          <w:color w:val="auto"/>
          <w:highlight w:val="none"/>
        </w:rPr>
        <w:br w:type="page"/>
      </w:r>
      <w:bookmarkStart w:id="99" w:name="_Toc535834518"/>
      <w:r>
        <w:rPr>
          <w:rFonts w:hint="eastAsia" w:ascii="Times New Roman" w:hAnsi="Times New Roman" w:eastAsia="宋体"/>
          <w:color w:val="auto"/>
          <w:highlight w:val="none"/>
        </w:rPr>
        <w:t>四、</w:t>
      </w:r>
      <w:r>
        <w:rPr>
          <w:rFonts w:hint="eastAsia" w:ascii="宋体" w:hAnsi="宋体" w:eastAsia="宋体" w:cs="宋体"/>
          <w:color w:val="auto"/>
          <w:highlight w:val="none"/>
        </w:rPr>
        <w:t>投标保证金</w:t>
      </w:r>
      <w:bookmarkEnd w:id="99"/>
    </w:p>
    <w:p>
      <w:pPr>
        <w:spacing w:line="360" w:lineRule="auto"/>
        <w:ind w:firstLine="562" w:firstLineChars="200"/>
        <w:jc w:val="center"/>
        <w:rPr>
          <w:rFonts w:ascii="宋体" w:hAnsi="宋体" w:cs="宋体"/>
          <w:color w:val="auto"/>
          <w:szCs w:val="21"/>
          <w:highlight w:val="none"/>
        </w:rPr>
      </w:pPr>
      <w:r>
        <w:rPr>
          <w:rFonts w:hint="eastAsia"/>
          <w:b/>
          <w:color w:val="auto"/>
          <w:sz w:val="28"/>
          <w:szCs w:val="28"/>
          <w:highlight w:val="none"/>
          <w:u w:val="single"/>
        </w:rPr>
        <w:t>（提供保证金凭证复印件）</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由广州公共资源交易中心代收投标保证金的，其缴纳情况以广州公共资源交易中心数据库记录的信息为准。（详见本招标文件第二章投标人须知前附表3.4.1）</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（投标人可以放投标保证金汇款凭证扫描件，也可以不放。如采用投标保函或投标保证保险的形式提交的，该证明文件扫描件需附在投标文件中。）</w:t>
      </w:r>
    </w:p>
    <w:p>
      <w:pPr>
        <w:spacing w:line="440" w:lineRule="exact"/>
        <w:ind w:firstLine="420" w:firstLineChars="200"/>
        <w:rPr>
          <w:rFonts w:ascii="宋体" w:hAnsi="宋体" w:cs="宋体"/>
          <w:color w:val="auto"/>
          <w:szCs w:val="21"/>
          <w:highlight w:val="none"/>
        </w:rPr>
      </w:pP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100" w:name="_Toc535834519"/>
      <w:r>
        <w:rPr>
          <w:rFonts w:hint="eastAsia" w:ascii="宋体" w:hAnsi="宋体" w:eastAsia="宋体" w:cs="宋体"/>
          <w:color w:val="auto"/>
          <w:highlight w:val="none"/>
        </w:rPr>
        <w:t>五、</w:t>
      </w:r>
      <w:bookmarkEnd w:id="100"/>
      <w:r>
        <w:rPr>
          <w:rFonts w:hint="eastAsia" w:ascii="宋体" w:hAnsi="宋体" w:eastAsia="宋体" w:cs="宋体"/>
          <w:color w:val="auto"/>
          <w:highlight w:val="none"/>
        </w:rPr>
        <w:t>投标报价书</w:t>
      </w:r>
    </w:p>
    <w:p>
      <w:pPr>
        <w:jc w:val="center"/>
        <w:rPr>
          <w:rFonts w:hAnsi="宋体"/>
          <w:b/>
          <w:color w:val="auto"/>
          <w:sz w:val="30"/>
          <w:szCs w:val="30"/>
          <w:highlight w:val="none"/>
        </w:rPr>
      </w:pPr>
      <w:r>
        <w:rPr>
          <w:rFonts w:hint="eastAsia"/>
          <w:b/>
          <w:color w:val="auto"/>
          <w:sz w:val="30"/>
          <w:szCs w:val="30"/>
          <w:highlight w:val="none"/>
        </w:rPr>
        <w:t>（一）、总报价表</w:t>
      </w:r>
    </w:p>
    <w:p>
      <w:pPr>
        <w:pStyle w:val="18"/>
        <w:spacing w:line="360" w:lineRule="auto"/>
        <w:rPr>
          <w:rFonts w:hAnsi="宋体"/>
          <w:color w:val="auto"/>
          <w:highlight w:val="none"/>
        </w:rPr>
      </w:pPr>
    </w:p>
    <w:p>
      <w:pPr>
        <w:pStyle w:val="18"/>
        <w:spacing w:line="360" w:lineRule="auto"/>
        <w:rPr>
          <w:color w:val="auto"/>
          <w:highlight w:val="none"/>
        </w:rPr>
      </w:pPr>
      <w:r>
        <w:rPr>
          <w:rFonts w:hint="eastAsia" w:hAnsi="宋体"/>
          <w:color w:val="auto"/>
          <w:highlight w:val="none"/>
        </w:rPr>
        <w:t>项目名称：</w:t>
      </w:r>
      <w:r>
        <w:rPr>
          <w:rFonts w:hint="eastAsia" w:hAnsi="宋体"/>
          <w:color w:val="auto"/>
          <w:highlight w:val="none"/>
          <w:u w:val="single"/>
        </w:rPr>
        <w:t xml:space="preserve">                                        </w:t>
      </w:r>
      <w:r>
        <w:rPr>
          <w:rFonts w:hint="eastAsia"/>
          <w:color w:val="auto"/>
          <w:highlight w:val="none"/>
        </w:rPr>
        <w:t xml:space="preserve"> </w:t>
      </w:r>
    </w:p>
    <w:tbl>
      <w:tblPr>
        <w:tblStyle w:val="29"/>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884"/>
        <w:gridCol w:w="1115"/>
        <w:gridCol w:w="2294"/>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exact"/>
        </w:trPr>
        <w:tc>
          <w:tcPr>
            <w:tcW w:w="820" w:type="dxa"/>
          </w:tcPr>
          <w:p>
            <w:pPr>
              <w:pStyle w:val="19"/>
              <w:tabs>
                <w:tab w:val="left" w:pos="1620"/>
                <w:tab w:val="left" w:pos="1800"/>
                <w:tab w:val="left" w:pos="2520"/>
              </w:tabs>
              <w:snapToGrid w:val="0"/>
              <w:spacing w:before="156" w:beforeLines="50" w:after="120" w:line="360" w:lineRule="auto"/>
              <w:ind w:left="5250"/>
              <w:jc w:val="center"/>
              <w:rPr>
                <w:bCs/>
                <w:color w:val="auto"/>
                <w:sz w:val="24"/>
                <w:highlight w:val="none"/>
              </w:rPr>
            </w:pPr>
            <w:r>
              <w:rPr>
                <w:rFonts w:hint="eastAsia"/>
                <w:bCs/>
                <w:color w:val="auto"/>
                <w:sz w:val="24"/>
                <w:highlight w:val="none"/>
              </w:rPr>
              <w:t>序号</w:t>
            </w:r>
          </w:p>
        </w:tc>
        <w:tc>
          <w:tcPr>
            <w:tcW w:w="2884" w:type="dxa"/>
          </w:tcPr>
          <w:p>
            <w:pPr>
              <w:tabs>
                <w:tab w:val="left" w:pos="1620"/>
                <w:tab w:val="left" w:pos="1800"/>
                <w:tab w:val="left" w:pos="2520"/>
              </w:tabs>
              <w:snapToGrid w:val="0"/>
              <w:spacing w:before="156" w:beforeLines="50" w:after="120" w:line="360" w:lineRule="auto"/>
              <w:jc w:val="center"/>
              <w:rPr>
                <w:bCs/>
                <w:color w:val="auto"/>
                <w:sz w:val="24"/>
                <w:highlight w:val="none"/>
              </w:rPr>
            </w:pPr>
            <w:r>
              <w:rPr>
                <w:rFonts w:hint="eastAsia"/>
                <w:bCs/>
                <w:color w:val="auto"/>
                <w:sz w:val="24"/>
                <w:highlight w:val="none"/>
              </w:rPr>
              <w:t>项目名称</w:t>
            </w:r>
          </w:p>
        </w:tc>
        <w:tc>
          <w:tcPr>
            <w:tcW w:w="1115" w:type="dxa"/>
          </w:tcPr>
          <w:p>
            <w:pPr>
              <w:tabs>
                <w:tab w:val="left" w:pos="1620"/>
                <w:tab w:val="left" w:pos="1800"/>
                <w:tab w:val="left" w:pos="2520"/>
              </w:tabs>
              <w:snapToGrid w:val="0"/>
              <w:spacing w:before="156" w:beforeLines="50" w:after="120" w:line="360" w:lineRule="auto"/>
              <w:jc w:val="center"/>
              <w:rPr>
                <w:bCs/>
                <w:color w:val="auto"/>
                <w:sz w:val="24"/>
                <w:highlight w:val="none"/>
              </w:rPr>
            </w:pPr>
            <w:r>
              <w:rPr>
                <w:rFonts w:hint="eastAsia"/>
                <w:bCs/>
                <w:color w:val="auto"/>
                <w:sz w:val="24"/>
                <w:highlight w:val="none"/>
              </w:rPr>
              <w:t>单位</w:t>
            </w:r>
          </w:p>
        </w:tc>
        <w:tc>
          <w:tcPr>
            <w:tcW w:w="2294" w:type="dxa"/>
          </w:tcPr>
          <w:p>
            <w:pPr>
              <w:pStyle w:val="36"/>
              <w:widowControl w:val="0"/>
              <w:tabs>
                <w:tab w:val="left" w:pos="1620"/>
                <w:tab w:val="left" w:pos="1800"/>
                <w:tab w:val="left" w:pos="2520"/>
              </w:tabs>
              <w:adjustRightInd/>
              <w:snapToGrid w:val="0"/>
              <w:spacing w:before="156" w:beforeLines="50" w:line="360" w:lineRule="auto"/>
              <w:rPr>
                <w:rFonts w:ascii="Times New Roman" w:eastAsia="宋体"/>
                <w:bCs/>
                <w:color w:val="auto"/>
                <w:kern w:val="2"/>
                <w:sz w:val="24"/>
                <w:szCs w:val="24"/>
                <w:highlight w:val="none"/>
              </w:rPr>
            </w:pPr>
            <w:r>
              <w:rPr>
                <w:rFonts w:hint="eastAsia" w:ascii="Times New Roman" w:eastAsia="宋体"/>
                <w:bCs/>
                <w:color w:val="auto"/>
                <w:kern w:val="2"/>
                <w:sz w:val="24"/>
                <w:szCs w:val="24"/>
                <w:highlight w:val="none"/>
              </w:rPr>
              <w:t>金 额</w:t>
            </w:r>
          </w:p>
        </w:tc>
        <w:tc>
          <w:tcPr>
            <w:tcW w:w="2254" w:type="dxa"/>
          </w:tcPr>
          <w:p>
            <w:pPr>
              <w:pStyle w:val="36"/>
              <w:widowControl w:val="0"/>
              <w:tabs>
                <w:tab w:val="left" w:pos="1620"/>
                <w:tab w:val="left" w:pos="1800"/>
                <w:tab w:val="left" w:pos="2520"/>
              </w:tabs>
              <w:adjustRightInd/>
              <w:snapToGrid w:val="0"/>
              <w:spacing w:before="156" w:beforeLines="50" w:line="360" w:lineRule="auto"/>
              <w:rPr>
                <w:rFonts w:ascii="Times New Roman" w:eastAsia="宋体"/>
                <w:bCs/>
                <w:color w:val="auto"/>
                <w:kern w:val="2"/>
                <w:sz w:val="24"/>
                <w:szCs w:val="24"/>
                <w:highlight w:val="none"/>
              </w:rPr>
            </w:pPr>
            <w:r>
              <w:rPr>
                <w:rFonts w:hint="eastAsia" w:ascii="Times New Roman" w:eastAsia="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exact"/>
        </w:trPr>
        <w:tc>
          <w:tcPr>
            <w:tcW w:w="820" w:type="dxa"/>
            <w:vAlign w:val="center"/>
          </w:tcPr>
          <w:p>
            <w:pPr>
              <w:tabs>
                <w:tab w:val="left" w:pos="1620"/>
                <w:tab w:val="left" w:pos="1800"/>
                <w:tab w:val="left" w:pos="2520"/>
              </w:tabs>
              <w:snapToGrid w:val="0"/>
              <w:spacing w:before="156" w:beforeLines="50" w:after="120" w:line="360" w:lineRule="auto"/>
              <w:jc w:val="center"/>
              <w:rPr>
                <w:bCs/>
                <w:color w:val="auto"/>
                <w:highlight w:val="none"/>
              </w:rPr>
            </w:pPr>
            <w:r>
              <w:rPr>
                <w:rFonts w:hint="eastAsia"/>
                <w:bCs/>
                <w:color w:val="auto"/>
                <w:highlight w:val="none"/>
              </w:rPr>
              <w:t>1</w:t>
            </w:r>
          </w:p>
        </w:tc>
        <w:tc>
          <w:tcPr>
            <w:tcW w:w="2884" w:type="dxa"/>
            <w:vAlign w:val="center"/>
          </w:tcPr>
          <w:p>
            <w:pPr>
              <w:tabs>
                <w:tab w:val="left" w:pos="1620"/>
                <w:tab w:val="left" w:pos="1800"/>
                <w:tab w:val="left" w:pos="2520"/>
              </w:tabs>
              <w:snapToGrid w:val="0"/>
              <w:spacing w:before="156" w:beforeLines="50" w:after="120" w:line="360" w:lineRule="auto"/>
              <w:jc w:val="center"/>
              <w:rPr>
                <w:bCs/>
                <w:color w:val="auto"/>
                <w:highlight w:val="none"/>
              </w:rPr>
            </w:pPr>
            <w:r>
              <w:rPr>
                <w:rFonts w:hint="eastAsia" w:ascii="宋体" w:hAnsi="宋体" w:cs="宋体"/>
                <w:color w:val="auto"/>
                <w:kern w:val="0"/>
                <w:sz w:val="24"/>
                <w:highlight w:val="none"/>
                <w:u w:val="single"/>
              </w:rPr>
              <w:t>从化区全域土地综合整治试点鳌头万亩良田示范项目第三方检测和监测</w:t>
            </w:r>
          </w:p>
        </w:tc>
        <w:tc>
          <w:tcPr>
            <w:tcW w:w="1115" w:type="dxa"/>
            <w:vAlign w:val="center"/>
          </w:tcPr>
          <w:p>
            <w:pPr>
              <w:pStyle w:val="39"/>
              <w:tabs>
                <w:tab w:val="left" w:pos="1620"/>
                <w:tab w:val="left" w:pos="1800"/>
                <w:tab w:val="left" w:pos="2520"/>
              </w:tabs>
              <w:snapToGrid w:val="0"/>
              <w:spacing w:before="156" w:beforeLines="50" w:after="120"/>
              <w:rPr>
                <w:rFonts w:ascii="Times New Roman" w:eastAsia="宋体"/>
                <w:bCs/>
                <w:color w:val="auto"/>
                <w:kern w:val="2"/>
                <w:sz w:val="21"/>
                <w:szCs w:val="24"/>
                <w:highlight w:val="none"/>
              </w:rPr>
            </w:pPr>
            <w:r>
              <w:rPr>
                <w:rFonts w:hint="eastAsia" w:ascii="Times New Roman" w:eastAsia="宋体"/>
                <w:bCs/>
                <w:color w:val="auto"/>
                <w:kern w:val="2"/>
                <w:sz w:val="21"/>
                <w:szCs w:val="24"/>
                <w:highlight w:val="none"/>
              </w:rPr>
              <w:t>元</w:t>
            </w:r>
          </w:p>
        </w:tc>
        <w:tc>
          <w:tcPr>
            <w:tcW w:w="2294" w:type="dxa"/>
            <w:vAlign w:val="center"/>
          </w:tcPr>
          <w:p>
            <w:pPr>
              <w:tabs>
                <w:tab w:val="left" w:pos="1620"/>
                <w:tab w:val="left" w:pos="1800"/>
                <w:tab w:val="left" w:pos="2520"/>
              </w:tabs>
              <w:snapToGrid w:val="0"/>
              <w:spacing w:before="156" w:beforeLines="50" w:after="120" w:line="360" w:lineRule="auto"/>
              <w:jc w:val="center"/>
              <w:rPr>
                <w:bCs/>
                <w:color w:val="auto"/>
                <w:highlight w:val="none"/>
              </w:rPr>
            </w:pPr>
          </w:p>
        </w:tc>
        <w:tc>
          <w:tcPr>
            <w:tcW w:w="2254" w:type="dxa"/>
            <w:vAlign w:val="center"/>
          </w:tcPr>
          <w:p>
            <w:pPr>
              <w:tabs>
                <w:tab w:val="left" w:pos="1620"/>
                <w:tab w:val="left" w:pos="1800"/>
                <w:tab w:val="left" w:pos="2520"/>
              </w:tabs>
              <w:snapToGrid w:val="0"/>
              <w:spacing w:before="156" w:beforeLines="50" w:after="120" w:line="360" w:lineRule="auto"/>
              <w:jc w:val="center"/>
              <w:rPr>
                <w:bCs/>
                <w:color w:val="auto"/>
                <w:highlight w:val="none"/>
              </w:rPr>
            </w:pPr>
            <w:r>
              <w:rPr>
                <w:rFonts w:hint="eastAsia"/>
                <w:bCs/>
                <w:color w:val="auto"/>
                <w:highlight w:val="none"/>
              </w:rPr>
              <w:t>按工程量清单计价表总计额填写</w:t>
            </w:r>
          </w:p>
        </w:tc>
      </w:tr>
    </w:tbl>
    <w:p>
      <w:pPr>
        <w:pStyle w:val="18"/>
        <w:spacing w:line="360" w:lineRule="auto"/>
        <w:rPr>
          <w:rFonts w:ascii="Times New Roman" w:hAnsi="Times New Roman"/>
          <w:bCs/>
          <w:color w:val="auto"/>
          <w:szCs w:val="24"/>
          <w:highlight w:val="none"/>
        </w:rPr>
      </w:pPr>
    </w:p>
    <w:p>
      <w:pPr>
        <w:pStyle w:val="18"/>
        <w:spacing w:line="360" w:lineRule="auto"/>
        <w:ind w:left="737" w:hanging="737"/>
        <w:rPr>
          <w:rFonts w:hAnsi="宋体"/>
          <w:color w:val="auto"/>
          <w:szCs w:val="21"/>
          <w:highlight w:val="none"/>
        </w:rPr>
      </w:pPr>
      <w:r>
        <w:rPr>
          <w:rFonts w:hint="eastAsia" w:ascii="Times New Roman" w:hAnsi="Times New Roman"/>
          <w:bCs/>
          <w:color w:val="auto"/>
          <w:szCs w:val="21"/>
          <w:highlight w:val="none"/>
        </w:rPr>
        <w:t>说明：上述</w:t>
      </w:r>
      <w:r>
        <w:rPr>
          <w:rFonts w:hint="eastAsia" w:hAnsi="宋体"/>
          <w:color w:val="auto"/>
          <w:szCs w:val="21"/>
          <w:highlight w:val="none"/>
        </w:rPr>
        <w:t>技术服务总费用包括但不限于人工费、材料费、设备使用费、设备进出场费、检测试验费、报告编写费、各项管理费，以及所有因工程质量检测应交纳的政府规费、利润、税金、风险费用等，不论实际费用有无发生，亦不论各项费用有无涨落，均不再调整。</w:t>
      </w:r>
    </w:p>
    <w:p>
      <w:pPr>
        <w:pStyle w:val="18"/>
        <w:spacing w:line="360" w:lineRule="auto"/>
        <w:ind w:left="737" w:hanging="737"/>
        <w:rPr>
          <w:rFonts w:hAnsi="宋体"/>
          <w:color w:val="auto"/>
          <w:szCs w:val="21"/>
          <w:highlight w:val="none"/>
        </w:rPr>
      </w:pPr>
    </w:p>
    <w:p>
      <w:pPr>
        <w:pStyle w:val="18"/>
        <w:spacing w:line="360" w:lineRule="auto"/>
        <w:ind w:left="737" w:hanging="737"/>
        <w:rPr>
          <w:rFonts w:hAnsi="宋体"/>
          <w:color w:val="auto"/>
          <w:szCs w:val="21"/>
          <w:highlight w:val="none"/>
        </w:rPr>
      </w:pPr>
    </w:p>
    <w:p>
      <w:pPr>
        <w:pStyle w:val="18"/>
        <w:spacing w:line="360" w:lineRule="auto"/>
        <w:ind w:left="737" w:hanging="737"/>
        <w:rPr>
          <w:rFonts w:hAnsi="宋体"/>
          <w:color w:val="auto"/>
          <w:szCs w:val="21"/>
          <w:highlight w:val="none"/>
        </w:rPr>
      </w:pPr>
    </w:p>
    <w:p>
      <w:pPr>
        <w:spacing w:line="360" w:lineRule="auto"/>
        <w:rPr>
          <w:rFonts w:ascii="宋体" w:hAnsi="宋体"/>
          <w:bCs/>
          <w:color w:val="auto"/>
          <w:sz w:val="24"/>
          <w:highlight w:val="none"/>
        </w:rPr>
      </w:pPr>
      <w:r>
        <w:rPr>
          <w:rFonts w:hint="eastAsia" w:ascii="宋体" w:hAnsi="宋体"/>
          <w:bCs/>
          <w:color w:val="auto"/>
          <w:sz w:val="24"/>
          <w:highlight w:val="none"/>
        </w:rPr>
        <w:t>投标人（盖章）：</w:t>
      </w: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r>
        <w:rPr>
          <w:rFonts w:hint="eastAsia" w:ascii="宋体" w:hAnsi="宋体"/>
          <w:color w:val="auto"/>
          <w:spacing w:val="18"/>
          <w:sz w:val="24"/>
          <w:highlight w:val="none"/>
        </w:rPr>
        <w:t>法定</w:t>
      </w:r>
      <w:r>
        <w:rPr>
          <w:rFonts w:ascii="宋体" w:hAnsi="宋体"/>
          <w:color w:val="auto"/>
          <w:spacing w:val="18"/>
          <w:sz w:val="24"/>
          <w:highlight w:val="none"/>
        </w:rPr>
        <w:t>代表人(或被授权人)</w:t>
      </w:r>
      <w:r>
        <w:rPr>
          <w:rFonts w:hint="eastAsia" w:ascii="宋体" w:hAnsi="宋体"/>
          <w:bCs/>
          <w:color w:val="auto"/>
          <w:sz w:val="24"/>
          <w:highlight w:val="none"/>
        </w:rPr>
        <w:t>：</w:t>
      </w:r>
    </w:p>
    <w:p>
      <w:pPr>
        <w:spacing w:line="360" w:lineRule="auto"/>
        <w:rPr>
          <w:rFonts w:ascii="宋体" w:hAnsi="宋体"/>
          <w:bCs/>
          <w:color w:val="auto"/>
          <w:sz w:val="24"/>
          <w:highlight w:val="none"/>
        </w:rPr>
      </w:pP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年  月  日</w:t>
      </w:r>
    </w:p>
    <w:p>
      <w:pPr>
        <w:widowControl/>
        <w:jc w:val="center"/>
        <w:rPr>
          <w:b/>
          <w:color w:val="auto"/>
          <w:sz w:val="30"/>
          <w:szCs w:val="30"/>
          <w:highlight w:val="none"/>
        </w:rPr>
      </w:pPr>
      <w:r>
        <w:rPr>
          <w:b/>
          <w:color w:val="auto"/>
          <w:sz w:val="30"/>
          <w:szCs w:val="30"/>
          <w:highlight w:val="none"/>
        </w:rPr>
        <w:br w:type="page"/>
      </w:r>
      <w:r>
        <w:rPr>
          <w:rFonts w:hint="eastAsia"/>
          <w:b/>
          <w:color w:val="auto"/>
          <w:sz w:val="30"/>
          <w:szCs w:val="30"/>
          <w:highlight w:val="none"/>
        </w:rPr>
        <w:t>（二）、工程量清单计价表</w:t>
      </w:r>
    </w:p>
    <w:p>
      <w:pPr>
        <w:pStyle w:val="2"/>
        <w:ind w:firstLine="0" w:firstLineChars="0"/>
        <w:rPr>
          <w:color w:val="auto"/>
          <w:highlight w:val="none"/>
        </w:rPr>
      </w:pPr>
    </w:p>
    <w:p>
      <w:pPr>
        <w:pStyle w:val="6"/>
        <w:rPr>
          <w:rFonts w:ascii="宋体" w:hAnsi="宋体" w:eastAsia="宋体"/>
          <w:b w:val="0"/>
          <w:color w:val="auto"/>
          <w:sz w:val="24"/>
          <w:szCs w:val="24"/>
          <w:highlight w:val="none"/>
        </w:rPr>
      </w:pPr>
    </w:p>
    <w:p>
      <w:pPr>
        <w:pStyle w:val="6"/>
        <w:rPr>
          <w:rFonts w:ascii="宋体" w:hAnsi="宋体" w:eastAsia="宋体" w:cs="宋体"/>
          <w:color w:val="auto"/>
          <w:highlight w:val="none"/>
        </w:rPr>
      </w:pPr>
      <w:bookmarkStart w:id="101" w:name="_Toc535834520"/>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pStyle w:val="6"/>
        <w:rPr>
          <w:rFonts w:ascii="宋体" w:hAnsi="宋体" w:eastAsia="宋体" w:cs="宋体"/>
          <w:color w:val="auto"/>
          <w:highlight w:val="none"/>
        </w:rPr>
      </w:pPr>
    </w:p>
    <w:p>
      <w:pPr>
        <w:rPr>
          <w:color w:val="auto"/>
          <w:highlight w:val="none"/>
        </w:rPr>
      </w:pPr>
    </w:p>
    <w:p>
      <w:pPr>
        <w:pStyle w:val="6"/>
        <w:rPr>
          <w:rFonts w:ascii="宋体" w:hAnsi="宋体" w:eastAsia="宋体" w:cs="宋体"/>
          <w:color w:val="auto"/>
          <w:highlight w:val="none"/>
        </w:rPr>
      </w:pPr>
      <w:r>
        <w:rPr>
          <w:rFonts w:hint="eastAsia" w:ascii="宋体" w:hAnsi="宋体" w:eastAsia="宋体" w:cs="宋体"/>
          <w:color w:val="auto"/>
          <w:highlight w:val="none"/>
        </w:rPr>
        <w:t>六、资格审查资料</w:t>
      </w:r>
      <w:bookmarkEnd w:id="101"/>
    </w:p>
    <w:tbl>
      <w:tblPr>
        <w:tblStyle w:val="29"/>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64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color w:val="auto"/>
                <w:highlight w:val="none"/>
              </w:rPr>
            </w:pPr>
            <w:r>
              <w:rPr>
                <w:rFonts w:hint="eastAsia" w:ascii="宋体" w:hAnsi="宋体" w:cs="宋体"/>
                <w:b/>
                <w:bCs/>
                <w:color w:val="auto"/>
                <w:highlight w:val="none"/>
              </w:rPr>
              <w:t>序号</w:t>
            </w:r>
          </w:p>
        </w:tc>
        <w:tc>
          <w:tcPr>
            <w:tcW w:w="6641"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highlight w:val="none"/>
              </w:rPr>
            </w:pPr>
            <w:r>
              <w:rPr>
                <w:rFonts w:hint="eastAsia" w:ascii="宋体" w:hAnsi="宋体" w:cs="宋体"/>
                <w:b/>
                <w:bCs/>
                <w:color w:val="auto"/>
                <w:highlight w:val="none"/>
              </w:rPr>
              <w:t>审查内容</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highlight w:val="none"/>
              </w:rPr>
            </w:pPr>
            <w:r>
              <w:rPr>
                <w:rFonts w:hint="eastAsia" w:ascii="宋体" w:hAnsi="宋体" w:cs="宋体"/>
                <w:b/>
                <w:bCs/>
                <w:color w:val="auto"/>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1</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rPr>
              <w:t>投标人参加投标的意思表达清楚，投标人代表被授权有效。</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2</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rPr>
              <w:t>投标人具有独立法人资格，持有事业单位登记管理部门核发的事业单位法人证书或工商行政管理部门核发的企业法人营业执照，且在营业期限内。</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3</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rPr>
              <w:t>投标人（若为联合体投标，指承担检测任务的单位）具备建设行政主管部门颁发的建设工程质量检测机构资质证书（检测范围覆盖主体结构工程现场检测、见证取样材料检测等内容），且证书在有效期内。</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4</w:t>
            </w:r>
          </w:p>
        </w:tc>
        <w:tc>
          <w:tcPr>
            <w:tcW w:w="6641" w:type="dxa"/>
            <w:tcBorders>
              <w:top w:val="single" w:color="auto" w:sz="4" w:space="0"/>
              <w:left w:val="nil"/>
              <w:bottom w:val="single" w:color="auto" w:sz="4" w:space="0"/>
              <w:right w:val="single" w:color="auto" w:sz="4" w:space="0"/>
            </w:tcBorders>
            <w:vAlign w:val="center"/>
          </w:tcPr>
          <w:p>
            <w:pPr>
              <w:wordWrap w:val="0"/>
              <w:topLinePunct/>
              <w:rPr>
                <w:rFonts w:ascii="宋体" w:hAnsi="宋体"/>
                <w:color w:val="auto"/>
                <w:szCs w:val="21"/>
                <w:highlight w:val="none"/>
              </w:rPr>
            </w:pPr>
            <w:r>
              <w:rPr>
                <w:rFonts w:hint="eastAsia" w:ascii="宋体" w:hAnsi="宋体"/>
                <w:color w:val="auto"/>
                <w:szCs w:val="21"/>
                <w:highlight w:val="none"/>
              </w:rPr>
              <w:t>投标人（若为联合体投标，指承担监测任务的单位）须具有建设行政主管部门颁发的以下①或②或③的勘察资质之一：</w:t>
            </w:r>
          </w:p>
          <w:p>
            <w:pPr>
              <w:wordWrap w:val="0"/>
              <w:topLinePunct/>
              <w:ind w:firstLine="420" w:firstLineChars="200"/>
              <w:rPr>
                <w:rFonts w:ascii="宋体" w:hAnsi="宋体"/>
                <w:color w:val="auto"/>
                <w:szCs w:val="21"/>
                <w:highlight w:val="none"/>
              </w:rPr>
            </w:pPr>
            <w:r>
              <w:rPr>
                <w:rFonts w:hint="eastAsia" w:ascii="宋体" w:hAnsi="宋体"/>
                <w:color w:val="auto"/>
                <w:szCs w:val="21"/>
                <w:highlight w:val="none"/>
              </w:rPr>
              <w:t>①工程勘察综合类甲级资质；</w:t>
            </w:r>
          </w:p>
          <w:p>
            <w:pPr>
              <w:wordWrap w:val="0"/>
              <w:topLinePunct/>
              <w:ind w:firstLine="420" w:firstLineChars="200"/>
              <w:rPr>
                <w:rFonts w:ascii="宋体" w:hAnsi="宋体"/>
                <w:color w:val="auto"/>
                <w:szCs w:val="21"/>
                <w:highlight w:val="none"/>
              </w:rPr>
            </w:pPr>
            <w:r>
              <w:rPr>
                <w:rFonts w:hint="eastAsia" w:ascii="宋体" w:hAnsi="宋体"/>
                <w:color w:val="auto"/>
                <w:szCs w:val="21"/>
                <w:highlight w:val="none"/>
              </w:rPr>
              <w:t>②工程勘察专业资质岩土工程乙级或以上；</w:t>
            </w:r>
          </w:p>
          <w:p>
            <w:pPr>
              <w:wordWrap w:val="0"/>
              <w:topLinePunct/>
              <w:ind w:firstLine="420" w:firstLineChars="200"/>
              <w:rPr>
                <w:rFonts w:ascii="宋体" w:hAnsi="宋体"/>
                <w:color w:val="auto"/>
                <w:szCs w:val="21"/>
                <w:highlight w:val="none"/>
              </w:rPr>
            </w:pPr>
            <w:r>
              <w:rPr>
                <w:rFonts w:hint="eastAsia" w:ascii="宋体" w:hAnsi="宋体"/>
                <w:color w:val="auto"/>
                <w:szCs w:val="21"/>
                <w:highlight w:val="none"/>
              </w:rPr>
              <w:t>③工程勘察专业资质岩土工程（物探测试检测监测）乙级或以上。</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ascii="宋体" w:hAnsi="宋体" w:cs="宋体"/>
                <w:color w:val="auto"/>
                <w:highlight w:val="none"/>
              </w:rPr>
              <w:t>5</w:t>
            </w:r>
          </w:p>
        </w:tc>
        <w:tc>
          <w:tcPr>
            <w:tcW w:w="6641" w:type="dxa"/>
            <w:tcBorders>
              <w:top w:val="single" w:color="auto" w:sz="4" w:space="0"/>
              <w:left w:val="nil"/>
              <w:bottom w:val="single" w:color="auto" w:sz="4" w:space="0"/>
              <w:right w:val="single" w:color="auto" w:sz="4" w:space="0"/>
            </w:tcBorders>
            <w:vAlign w:val="center"/>
          </w:tcPr>
          <w:p>
            <w:pPr>
              <w:wordWrap w:val="0"/>
              <w:topLinePunct/>
              <w:rPr>
                <w:rFonts w:ascii="宋体" w:hAnsi="宋体"/>
                <w:color w:val="auto"/>
                <w:szCs w:val="21"/>
                <w:highlight w:val="none"/>
              </w:rPr>
            </w:pPr>
            <w:r>
              <w:rPr>
                <w:rFonts w:hint="eastAsia" w:ascii="宋体" w:hAnsi="宋体"/>
                <w:color w:val="auto"/>
                <w:szCs w:val="21"/>
                <w:highlight w:val="none"/>
              </w:rPr>
              <w:t>投标人持有质量技术监督部门颁发的CMA计量认证合格证书（认证范围须覆盖本次招标的主要内容,范围须涵盖包括：（1）检测认证范围为：地基基础工程检测、主体结构工程现场检测、见证取样检测。（2）监测认证范围为：基坑监测、主体沉降观测、高支模监测。如CMA计量认证合格证书中的认证项目与上述名称不同，但表达的意思一致也视为满足该项条件），且计量认证证书需在有效期内。</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6</w:t>
            </w:r>
          </w:p>
        </w:tc>
        <w:tc>
          <w:tcPr>
            <w:tcW w:w="6641" w:type="dxa"/>
            <w:tcBorders>
              <w:top w:val="single" w:color="auto" w:sz="4" w:space="0"/>
              <w:left w:val="nil"/>
              <w:bottom w:val="single" w:color="auto" w:sz="4" w:space="0"/>
              <w:right w:val="single" w:color="auto" w:sz="4" w:space="0"/>
            </w:tcBorders>
            <w:vAlign w:val="center"/>
          </w:tcPr>
          <w:p>
            <w:pPr>
              <w:wordWrap w:val="0"/>
              <w:topLinePunct/>
              <w:rPr>
                <w:rFonts w:ascii="宋体" w:hAnsi="宋体"/>
                <w:color w:val="auto"/>
                <w:szCs w:val="21"/>
                <w:highlight w:val="none"/>
              </w:rPr>
            </w:pPr>
            <w:r>
              <w:rPr>
                <w:rFonts w:hint="eastAsia" w:ascii="宋体" w:hAnsi="宋体"/>
                <w:color w:val="auto"/>
                <w:szCs w:val="21"/>
                <w:highlight w:val="none"/>
              </w:rPr>
              <w:t>投标人（若为联合体投标，指联合体各方）须在广州市住建行业信用管理平台建立诚信档案。</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ascii="宋体" w:hAnsi="宋体" w:cs="宋体"/>
                <w:color w:val="auto"/>
                <w:highlight w:val="none"/>
              </w:rPr>
              <w:t>7</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highlight w:val="none"/>
              </w:rPr>
            </w:pPr>
            <w:r>
              <w:rPr>
                <w:rFonts w:hint="eastAsia" w:ascii="宋体" w:hAnsi="宋体"/>
                <w:color w:val="auto"/>
                <w:szCs w:val="21"/>
                <w:highlight w:val="none"/>
              </w:rPr>
              <w:t>投标人拟担任本工程项目负责人须具有工程类工程师或以上技术职称。</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ascii="宋体" w:hAnsi="宋体" w:cs="宋体"/>
                <w:color w:val="auto"/>
                <w:highlight w:val="none"/>
              </w:rPr>
              <w:t>8</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t>投标人已按照招标公告附件一的内容签署盖章的 《投标人声明》；</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ascii="宋体" w:hAnsi="宋体" w:cs="宋体"/>
                <w:color w:val="auto"/>
                <w:highlight w:val="none"/>
              </w:rPr>
              <w:t>9</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t>投标人已按照招标公告附件二的内容签署盖章《投标承诺函》；</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1</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t>未被纳入失信联合惩戒名单且被限制参加财政投资工程或政府投资工程或建设工程投标的（具体名单以递交投标文件截止时间“信用广州”https://credit1.gz.gov.cn/sgs/sgsXkNew公布的“失信黑名单”为准）。（注：因联合惩戒措施表述存在细微差别，惩戒措施与上文不完全一致但措施内容相同的，也应属于被限制参与相关项目的投标。）</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highlight w:val="none"/>
              </w:rPr>
            </w:pPr>
            <w:r>
              <w:rPr>
                <w:rFonts w:ascii="宋体" w:hAnsi="宋体" w:cs="宋体"/>
                <w:color w:val="auto"/>
                <w:highlight w:val="none"/>
              </w:rPr>
              <w:t>12</w:t>
            </w:r>
          </w:p>
        </w:tc>
        <w:tc>
          <w:tcPr>
            <w:tcW w:w="6641" w:type="dxa"/>
            <w:tcBorders>
              <w:top w:val="single" w:color="auto" w:sz="4" w:space="0"/>
              <w:left w:val="nil"/>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t>关于联合体投标：本项目允许联合体投标。</w:t>
            </w:r>
          </w:p>
        </w:tc>
        <w:tc>
          <w:tcPr>
            <w:tcW w:w="123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highlight w:val="none"/>
              </w:rPr>
            </w:pPr>
          </w:p>
        </w:tc>
      </w:tr>
    </w:tbl>
    <w:p>
      <w:pPr>
        <w:rPr>
          <w:rFonts w:ascii="宋体" w:hAnsi="宋体" w:cs="宋体"/>
          <w:color w:val="auto"/>
          <w:highlight w:val="none"/>
        </w:rPr>
      </w:pPr>
      <w:r>
        <w:rPr>
          <w:rFonts w:hint="eastAsia" w:ascii="宋体" w:hAnsi="宋体" w:cs="宋体"/>
          <w:color w:val="auto"/>
          <w:highlight w:val="none"/>
        </w:rPr>
        <w:t>注：资格审查详细资料附于本表后。</w:t>
      </w:r>
    </w:p>
    <w:p>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（1）投标申请公函（格式）</w:t>
      </w:r>
    </w:p>
    <w:p>
      <w:pPr>
        <w:widowControl/>
        <w:spacing w:line="360" w:lineRule="auto"/>
        <w:jc w:val="left"/>
        <w:rPr>
          <w:rFonts w:ascii="宋体" w:hAnsi="宋体" w:cs="宋体"/>
          <w:color w:val="auto"/>
          <w:kern w:val="0"/>
          <w:sz w:val="24"/>
          <w:highlight w:val="none"/>
        </w:rPr>
      </w:pPr>
    </w:p>
    <w:p>
      <w:pPr>
        <w:widowControl/>
        <w:spacing w:line="360" w:lineRule="auto"/>
        <w:jc w:val="center"/>
        <w:rPr>
          <w:rFonts w:ascii="宋体" w:hAnsi="宋体" w:cs="宋体"/>
          <w:color w:val="auto"/>
          <w:kern w:val="0"/>
          <w:sz w:val="24"/>
          <w:highlight w:val="none"/>
        </w:rPr>
      </w:pPr>
      <w:r>
        <w:rPr>
          <w:rFonts w:hint="eastAsia" w:ascii="宋体" w:hAnsi="宋体" w:cs="宋体"/>
          <w:b/>
          <w:color w:val="auto"/>
          <w:sz w:val="32"/>
          <w:szCs w:val="32"/>
          <w:highlight w:val="none"/>
        </w:rPr>
        <w:t>投标申请公函</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（招标人）           </w:t>
      </w:r>
      <w:r>
        <w:rPr>
          <w:rFonts w:hint="eastAsia" w:ascii="宋体" w:hAnsi="宋体" w:cs="宋体"/>
          <w:color w:val="auto"/>
          <w:kern w:val="0"/>
          <w:szCs w:val="21"/>
          <w:highlight w:val="none"/>
        </w:rPr>
        <w:t>：</w:t>
      </w:r>
    </w:p>
    <w:p>
      <w:pPr>
        <w:widowControl/>
        <w:spacing w:line="360" w:lineRule="auto"/>
        <w:ind w:firstLine="540"/>
        <w:jc w:val="left"/>
        <w:rPr>
          <w:rFonts w:ascii="宋体" w:hAnsi="宋体" w:cs="宋体"/>
          <w:color w:val="auto"/>
          <w:kern w:val="0"/>
          <w:szCs w:val="21"/>
          <w:highlight w:val="none"/>
        </w:rPr>
      </w:pPr>
      <w:r>
        <w:rPr>
          <w:rFonts w:hint="eastAsia" w:ascii="宋体" w:hAnsi="宋体" w:cs="宋体"/>
          <w:color w:val="auto"/>
          <w:kern w:val="0"/>
          <w:szCs w:val="21"/>
          <w:highlight w:val="none"/>
        </w:rPr>
        <w:t>按照《</w:t>
      </w:r>
      <w:r>
        <w:rPr>
          <w:rFonts w:hint="eastAsia" w:ascii="宋体" w:hAnsi="宋体" w:cs="宋体"/>
          <w:color w:val="auto"/>
          <w:kern w:val="0"/>
          <w:szCs w:val="21"/>
          <w:highlight w:val="none"/>
          <w:u w:val="single"/>
        </w:rPr>
        <w:t xml:space="preserve">               （项目名称）招标公告</w:t>
      </w:r>
      <w:r>
        <w:rPr>
          <w:rFonts w:hint="eastAsia" w:ascii="宋体" w:hAnsi="宋体" w:cs="宋体"/>
          <w:color w:val="auto"/>
          <w:kern w:val="0"/>
          <w:szCs w:val="21"/>
          <w:highlight w:val="none"/>
        </w:rPr>
        <w:t>》对资格审查文件的要求，我们递交有关资格审查的资料文件，以便贵单位审查我们参加</w:t>
      </w:r>
      <w:r>
        <w:rPr>
          <w:rFonts w:hint="eastAsia" w:ascii="宋体" w:hAnsi="宋体" w:cs="宋体"/>
          <w:color w:val="auto"/>
          <w:kern w:val="0"/>
          <w:szCs w:val="21"/>
          <w:highlight w:val="none"/>
          <w:u w:val="single"/>
        </w:rPr>
        <w:t xml:space="preserve">         （项目名称）</w:t>
      </w:r>
      <w:r>
        <w:rPr>
          <w:rFonts w:hint="eastAsia" w:ascii="宋体" w:hAnsi="宋体" w:cs="宋体"/>
          <w:color w:val="auto"/>
          <w:kern w:val="0"/>
          <w:szCs w:val="21"/>
          <w:highlight w:val="none"/>
        </w:rPr>
        <w:t>的投标资格。</w:t>
      </w:r>
    </w:p>
    <w:p>
      <w:pPr>
        <w:widowControl/>
        <w:spacing w:line="360" w:lineRule="auto"/>
        <w:ind w:firstLine="540"/>
        <w:jc w:val="left"/>
        <w:rPr>
          <w:rFonts w:ascii="宋体" w:hAnsi="宋体" w:cs="宋体"/>
          <w:color w:val="auto"/>
          <w:kern w:val="0"/>
          <w:szCs w:val="21"/>
          <w:highlight w:val="none"/>
        </w:rPr>
      </w:pPr>
      <w:r>
        <w:rPr>
          <w:rFonts w:hint="eastAsia" w:ascii="宋体" w:hAnsi="宋体" w:cs="宋体"/>
          <w:color w:val="auto"/>
          <w:kern w:val="0"/>
          <w:szCs w:val="21"/>
          <w:highlight w:val="none"/>
        </w:rPr>
        <w:t>此申请是</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单位名称）以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人名）为全权代表身份递交的。</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我们保证所有提交的资料是真实可靠的，并为提交资料的真实性负有相应的法律责任。</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我们理解招标人有权拒绝任何申请，而无需由招标人承担任何责任。</w:t>
      </w:r>
    </w:p>
    <w:p>
      <w:pPr>
        <w:widowControl/>
        <w:spacing w:line="360" w:lineRule="auto"/>
        <w:ind w:firstLine="645"/>
        <w:jc w:val="left"/>
        <w:rPr>
          <w:rFonts w:ascii="宋体" w:hAnsi="宋体" w:cs="宋体"/>
          <w:color w:val="auto"/>
          <w:kern w:val="0"/>
          <w:sz w:val="24"/>
          <w:highlight w:val="none"/>
        </w:rPr>
      </w:pPr>
    </w:p>
    <w:p>
      <w:pPr>
        <w:widowControl/>
        <w:spacing w:line="360" w:lineRule="auto"/>
        <w:ind w:firstLine="645"/>
        <w:jc w:val="left"/>
        <w:rPr>
          <w:rFonts w:ascii="宋体" w:hAnsi="宋体" w:cs="宋体"/>
          <w:color w:val="auto"/>
          <w:kern w:val="0"/>
          <w:sz w:val="24"/>
          <w:highlight w:val="none"/>
        </w:rPr>
      </w:pPr>
    </w:p>
    <w:p>
      <w:pPr>
        <w:widowControl/>
        <w:spacing w:line="360" w:lineRule="auto"/>
        <w:ind w:firstLine="645"/>
        <w:jc w:val="left"/>
        <w:rPr>
          <w:rFonts w:ascii="宋体" w:hAnsi="宋体" w:cs="宋体"/>
          <w:color w:val="auto"/>
          <w:kern w:val="0"/>
          <w:sz w:val="24"/>
          <w:highlight w:val="none"/>
        </w:rPr>
      </w:pPr>
    </w:p>
    <w:p>
      <w:pPr>
        <w:spacing w:line="360" w:lineRule="exact"/>
        <w:ind w:firstLine="2835" w:firstLineChars="1350"/>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highlight w:val="none"/>
        </w:rPr>
        <w:t>（盖单位章）</w:t>
      </w:r>
    </w:p>
    <w:p>
      <w:pPr>
        <w:spacing w:line="360" w:lineRule="exact"/>
        <w:ind w:firstLine="2835" w:firstLineChars="1350"/>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highlight w:val="none"/>
        </w:rPr>
        <w:t>（签字或盖章）</w:t>
      </w:r>
    </w:p>
    <w:p>
      <w:pPr>
        <w:spacing w:line="360" w:lineRule="exact"/>
        <w:ind w:firstLine="4935" w:firstLineChars="2350"/>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rPr>
        <w:t>日</w:t>
      </w: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102" w:name="_Toc535834521"/>
      <w:r>
        <w:rPr>
          <w:rFonts w:hint="eastAsia" w:ascii="宋体" w:hAnsi="宋体" w:eastAsia="宋体" w:cs="宋体"/>
          <w:color w:val="auto"/>
          <w:highlight w:val="none"/>
        </w:rPr>
        <w:t>七、检测方案</w:t>
      </w:r>
      <w:bookmarkEnd w:id="102"/>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（格式自定）</w:t>
      </w:r>
    </w:p>
    <w:p>
      <w:pPr>
        <w:spacing w:line="360" w:lineRule="auto"/>
        <w:ind w:firstLine="420" w:firstLineChars="200"/>
        <w:rPr>
          <w:rFonts w:ascii="宋体" w:hAnsi="宋体" w:cs="宋体"/>
          <w:color w:val="auto"/>
          <w:highlight w:val="none"/>
        </w:rPr>
      </w:pP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103" w:name="_Toc535834522"/>
      <w:r>
        <w:rPr>
          <w:rFonts w:hint="eastAsia" w:ascii="宋体" w:hAnsi="宋体" w:eastAsia="宋体" w:cs="宋体"/>
          <w:color w:val="auto"/>
          <w:highlight w:val="none"/>
        </w:rPr>
        <w:t>八、投标单位情况介绍</w:t>
      </w:r>
      <w:bookmarkEnd w:id="103"/>
    </w:p>
    <w:p>
      <w:pPr>
        <w:pStyle w:val="18"/>
        <w:spacing w:line="360" w:lineRule="auto"/>
        <w:jc w:val="center"/>
        <w:rPr>
          <w:rFonts w:hAnsi="宋体" w:cs="宋体"/>
          <w:b/>
          <w:color w:val="auto"/>
          <w:sz w:val="24"/>
          <w:highlight w:val="none"/>
        </w:rPr>
      </w:pPr>
      <w:r>
        <w:rPr>
          <w:rFonts w:hint="eastAsia" w:hAnsi="宋体" w:cs="宋体"/>
          <w:b/>
          <w:color w:val="auto"/>
          <w:sz w:val="24"/>
          <w:highlight w:val="none"/>
        </w:rPr>
        <w:t>（1）一般情况表</w:t>
      </w:r>
    </w:p>
    <w:tbl>
      <w:tblPr>
        <w:tblStyle w:val="29"/>
        <w:tblW w:w="92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02"/>
        <w:gridCol w:w="618"/>
        <w:gridCol w:w="1244"/>
        <w:gridCol w:w="478"/>
        <w:gridCol w:w="766"/>
        <w:gridCol w:w="352"/>
        <w:gridCol w:w="1402"/>
        <w:gridCol w:w="226"/>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9288" w:type="dxa"/>
            <w:gridSpan w:val="11"/>
            <w:vAlign w:val="center"/>
          </w:tcPr>
          <w:p>
            <w:pPr>
              <w:ind w:firstLine="4065" w:firstLineChars="1928"/>
              <w:rPr>
                <w:rFonts w:ascii="宋体" w:hAnsi="宋体" w:cs="宋体"/>
                <w:b/>
                <w:color w:val="auto"/>
                <w:szCs w:val="21"/>
                <w:highlight w:val="none"/>
              </w:rPr>
            </w:pPr>
            <w:r>
              <w:rPr>
                <w:rFonts w:hint="eastAsia" w:ascii="宋体" w:hAnsi="宋体" w:cs="宋体"/>
                <w:b/>
                <w:color w:val="auto"/>
                <w:szCs w:val="21"/>
                <w:highlight w:val="none"/>
              </w:rPr>
              <w:t>1、简   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单位名称</w:t>
            </w:r>
          </w:p>
        </w:tc>
        <w:tc>
          <w:tcPr>
            <w:tcW w:w="7868" w:type="dxa"/>
            <w:gridSpan w:val="10"/>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具备资质</w:t>
            </w:r>
          </w:p>
        </w:tc>
        <w:tc>
          <w:tcPr>
            <w:tcW w:w="4260" w:type="dxa"/>
            <w:gridSpan w:val="6"/>
            <w:vAlign w:val="center"/>
          </w:tcPr>
          <w:p>
            <w:pPr>
              <w:jc w:val="center"/>
              <w:rPr>
                <w:rFonts w:ascii="宋体" w:hAnsi="宋体" w:cs="宋体"/>
                <w:color w:val="auto"/>
                <w:szCs w:val="21"/>
                <w:highlight w:val="none"/>
              </w:rPr>
            </w:pPr>
          </w:p>
        </w:tc>
        <w:tc>
          <w:tcPr>
            <w:tcW w:w="2168"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9288" w:type="dxa"/>
            <w:gridSpan w:val="11"/>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2、人员架构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职工总数</w:t>
            </w:r>
          </w:p>
        </w:tc>
        <w:tc>
          <w:tcPr>
            <w:tcW w:w="1420" w:type="dxa"/>
            <w:gridSpan w:val="2"/>
            <w:vAlign w:val="center"/>
          </w:tcPr>
          <w:p>
            <w:pPr>
              <w:jc w:val="center"/>
              <w:rPr>
                <w:rFonts w:ascii="宋体" w:hAnsi="宋体" w:cs="宋体"/>
                <w:color w:val="auto"/>
                <w:szCs w:val="21"/>
                <w:highlight w:val="none"/>
              </w:rPr>
            </w:pPr>
          </w:p>
        </w:tc>
        <w:tc>
          <w:tcPr>
            <w:tcW w:w="1244"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专业人数</w:t>
            </w:r>
          </w:p>
        </w:tc>
        <w:tc>
          <w:tcPr>
            <w:tcW w:w="1244" w:type="dxa"/>
            <w:gridSpan w:val="2"/>
            <w:vAlign w:val="center"/>
          </w:tcPr>
          <w:p>
            <w:pPr>
              <w:jc w:val="center"/>
              <w:rPr>
                <w:rFonts w:ascii="宋体" w:hAnsi="宋体" w:cs="宋体"/>
                <w:color w:val="auto"/>
                <w:szCs w:val="21"/>
                <w:highlight w:val="none"/>
              </w:rPr>
            </w:pPr>
          </w:p>
        </w:tc>
        <w:tc>
          <w:tcPr>
            <w:tcW w:w="1980"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中级以上职称人数</w:t>
            </w:r>
          </w:p>
        </w:tc>
        <w:tc>
          <w:tcPr>
            <w:tcW w:w="1980" w:type="dxa"/>
            <w:gridSpan w:val="2"/>
            <w:vAlign w:val="center"/>
          </w:tcPr>
          <w:p>
            <w:pPr>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8" w:hRule="atLeast"/>
          <w:jc w:val="center"/>
        </w:trPr>
        <w:tc>
          <w:tcPr>
            <w:tcW w:w="2840"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从事试验检测（监测）工作</w:t>
            </w:r>
          </w:p>
          <w:p>
            <w:pPr>
              <w:jc w:val="center"/>
              <w:rPr>
                <w:rFonts w:ascii="宋体" w:hAnsi="宋体" w:cs="宋体"/>
                <w:color w:val="auto"/>
                <w:szCs w:val="21"/>
                <w:highlight w:val="none"/>
              </w:rPr>
            </w:pPr>
            <w:r>
              <w:rPr>
                <w:rFonts w:hint="eastAsia" w:ascii="宋体" w:hAnsi="宋体" w:cs="宋体"/>
                <w:color w:val="auto"/>
                <w:szCs w:val="21"/>
                <w:highlight w:val="none"/>
              </w:rPr>
              <w:t>10年以上人数</w:t>
            </w:r>
          </w:p>
        </w:tc>
        <w:tc>
          <w:tcPr>
            <w:tcW w:w="2488" w:type="dxa"/>
            <w:gridSpan w:val="3"/>
            <w:vAlign w:val="center"/>
          </w:tcPr>
          <w:p>
            <w:pPr>
              <w:jc w:val="center"/>
              <w:rPr>
                <w:rFonts w:ascii="宋体" w:hAnsi="宋体" w:cs="宋体"/>
                <w:color w:val="auto"/>
                <w:szCs w:val="21"/>
                <w:highlight w:val="none"/>
              </w:rPr>
            </w:pPr>
          </w:p>
        </w:tc>
        <w:tc>
          <w:tcPr>
            <w:tcW w:w="1980"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从事试验检测（监测）工作3-10年人数</w:t>
            </w: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jc w:val="center"/>
        </w:trPr>
        <w:tc>
          <w:tcPr>
            <w:tcW w:w="9288" w:type="dxa"/>
            <w:gridSpan w:val="11"/>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3、领导人名单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2222"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0"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520"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206"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从事岗位业务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222" w:type="dxa"/>
            <w:gridSpan w:val="2"/>
          </w:tcPr>
          <w:p>
            <w:pPr>
              <w:ind w:firstLine="480"/>
              <w:rPr>
                <w:rFonts w:ascii="宋体" w:hAnsi="宋体" w:cs="宋体"/>
                <w:color w:val="auto"/>
                <w:szCs w:val="21"/>
                <w:highlight w:val="none"/>
              </w:rPr>
            </w:pPr>
          </w:p>
        </w:tc>
        <w:tc>
          <w:tcPr>
            <w:tcW w:w="2340" w:type="dxa"/>
            <w:gridSpan w:val="3"/>
          </w:tcPr>
          <w:p>
            <w:pPr>
              <w:ind w:firstLine="480"/>
              <w:rPr>
                <w:rFonts w:ascii="宋体" w:hAnsi="宋体" w:cs="宋体"/>
                <w:color w:val="auto"/>
                <w:szCs w:val="21"/>
                <w:highlight w:val="none"/>
              </w:rPr>
            </w:pPr>
          </w:p>
        </w:tc>
        <w:tc>
          <w:tcPr>
            <w:tcW w:w="2520" w:type="dxa"/>
            <w:gridSpan w:val="3"/>
          </w:tcPr>
          <w:p>
            <w:pPr>
              <w:ind w:firstLine="480"/>
              <w:rPr>
                <w:rFonts w:ascii="宋体" w:hAnsi="宋体" w:cs="宋体"/>
                <w:color w:val="auto"/>
                <w:szCs w:val="21"/>
                <w:highlight w:val="none"/>
              </w:rPr>
            </w:pPr>
          </w:p>
        </w:tc>
        <w:tc>
          <w:tcPr>
            <w:tcW w:w="2206" w:type="dxa"/>
            <w:gridSpan w:val="3"/>
          </w:tcPr>
          <w:p>
            <w:pPr>
              <w:ind w:firstLine="48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2222" w:type="dxa"/>
            <w:gridSpan w:val="2"/>
          </w:tcPr>
          <w:p>
            <w:pPr>
              <w:ind w:firstLine="480"/>
              <w:rPr>
                <w:rFonts w:ascii="宋体" w:hAnsi="宋体" w:cs="宋体"/>
                <w:color w:val="auto"/>
                <w:szCs w:val="21"/>
                <w:highlight w:val="none"/>
              </w:rPr>
            </w:pPr>
          </w:p>
        </w:tc>
        <w:tc>
          <w:tcPr>
            <w:tcW w:w="2340" w:type="dxa"/>
            <w:gridSpan w:val="3"/>
          </w:tcPr>
          <w:p>
            <w:pPr>
              <w:ind w:firstLine="480"/>
              <w:rPr>
                <w:rFonts w:ascii="宋体" w:hAnsi="宋体" w:cs="宋体"/>
                <w:color w:val="auto"/>
                <w:szCs w:val="21"/>
                <w:highlight w:val="none"/>
              </w:rPr>
            </w:pPr>
          </w:p>
        </w:tc>
        <w:tc>
          <w:tcPr>
            <w:tcW w:w="2520" w:type="dxa"/>
            <w:gridSpan w:val="3"/>
          </w:tcPr>
          <w:p>
            <w:pPr>
              <w:ind w:firstLine="480"/>
              <w:rPr>
                <w:rFonts w:ascii="宋体" w:hAnsi="宋体" w:cs="宋体"/>
                <w:color w:val="auto"/>
                <w:szCs w:val="21"/>
                <w:highlight w:val="none"/>
              </w:rPr>
            </w:pPr>
          </w:p>
        </w:tc>
        <w:tc>
          <w:tcPr>
            <w:tcW w:w="2206" w:type="dxa"/>
            <w:gridSpan w:val="3"/>
          </w:tcPr>
          <w:p>
            <w:pPr>
              <w:ind w:firstLine="48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9288" w:type="dxa"/>
            <w:gridSpan w:val="11"/>
            <w:vAlign w:val="center"/>
          </w:tcPr>
          <w:p>
            <w:pPr>
              <w:ind w:firstLine="4014" w:firstLineChars="1904"/>
              <w:rPr>
                <w:rFonts w:ascii="宋体" w:hAnsi="宋体" w:cs="宋体"/>
                <w:b/>
                <w:color w:val="auto"/>
                <w:szCs w:val="21"/>
                <w:highlight w:val="none"/>
              </w:rPr>
            </w:pPr>
            <w:r>
              <w:rPr>
                <w:rFonts w:hint="eastAsia" w:ascii="宋体" w:hAnsi="宋体" w:cs="宋体"/>
                <w:b/>
                <w:color w:val="auto"/>
                <w:szCs w:val="21"/>
                <w:highlight w:val="none"/>
              </w:rPr>
              <w:t>4、联系方式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2222" w:type="dxa"/>
            <w:gridSpan w:val="2"/>
            <w:vAlign w:val="center"/>
          </w:tcPr>
          <w:p>
            <w:pPr>
              <w:ind w:firstLine="480"/>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340" w:type="dxa"/>
            <w:gridSpan w:val="3"/>
            <w:vAlign w:val="center"/>
          </w:tcPr>
          <w:p>
            <w:pPr>
              <w:ind w:firstLine="480"/>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520" w:type="dxa"/>
            <w:gridSpan w:val="3"/>
            <w:vAlign w:val="center"/>
          </w:tcPr>
          <w:p>
            <w:pPr>
              <w:ind w:firstLine="480"/>
              <w:jc w:val="center"/>
              <w:rPr>
                <w:rFonts w:ascii="宋体" w:hAnsi="宋体" w:cs="宋体"/>
                <w:color w:val="auto"/>
                <w:szCs w:val="21"/>
                <w:highlight w:val="none"/>
              </w:rPr>
            </w:pPr>
            <w:r>
              <w:rPr>
                <w:rFonts w:hint="eastAsia" w:ascii="宋体" w:hAnsi="宋体" w:cs="宋体"/>
                <w:color w:val="auto"/>
                <w:szCs w:val="21"/>
                <w:highlight w:val="none"/>
              </w:rPr>
              <w:t>手机</w:t>
            </w:r>
          </w:p>
        </w:tc>
        <w:tc>
          <w:tcPr>
            <w:tcW w:w="2206" w:type="dxa"/>
            <w:gridSpan w:val="3"/>
            <w:vAlign w:val="center"/>
          </w:tcPr>
          <w:p>
            <w:pPr>
              <w:ind w:firstLine="480"/>
              <w:jc w:val="center"/>
              <w:rPr>
                <w:rFonts w:ascii="宋体" w:hAnsi="宋体" w:cs="宋体"/>
                <w:color w:val="auto"/>
                <w:szCs w:val="21"/>
                <w:highlight w:val="none"/>
              </w:rPr>
            </w:pPr>
            <w:r>
              <w:rPr>
                <w:rFonts w:hint="eastAsia" w:ascii="宋体" w:hAnsi="宋体" w:cs="宋体"/>
                <w:color w:val="auto"/>
                <w:szCs w:val="21"/>
                <w:highlight w:val="none"/>
              </w:rPr>
              <w:t>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222" w:type="dxa"/>
            <w:gridSpan w:val="2"/>
          </w:tcPr>
          <w:p>
            <w:pPr>
              <w:ind w:firstLine="480"/>
              <w:rPr>
                <w:rFonts w:ascii="宋体" w:hAnsi="宋体" w:cs="宋体"/>
                <w:color w:val="auto"/>
                <w:szCs w:val="21"/>
                <w:highlight w:val="none"/>
              </w:rPr>
            </w:pPr>
          </w:p>
        </w:tc>
        <w:tc>
          <w:tcPr>
            <w:tcW w:w="2340" w:type="dxa"/>
            <w:gridSpan w:val="3"/>
          </w:tcPr>
          <w:p>
            <w:pPr>
              <w:ind w:firstLine="480"/>
              <w:rPr>
                <w:rFonts w:ascii="宋体" w:hAnsi="宋体" w:cs="宋体"/>
                <w:color w:val="auto"/>
                <w:szCs w:val="21"/>
                <w:highlight w:val="none"/>
              </w:rPr>
            </w:pPr>
          </w:p>
        </w:tc>
        <w:tc>
          <w:tcPr>
            <w:tcW w:w="2520" w:type="dxa"/>
            <w:gridSpan w:val="3"/>
          </w:tcPr>
          <w:p>
            <w:pPr>
              <w:ind w:firstLine="480"/>
              <w:rPr>
                <w:rFonts w:ascii="宋体" w:hAnsi="宋体" w:cs="宋体"/>
                <w:color w:val="auto"/>
                <w:szCs w:val="21"/>
                <w:highlight w:val="none"/>
              </w:rPr>
            </w:pPr>
          </w:p>
        </w:tc>
        <w:tc>
          <w:tcPr>
            <w:tcW w:w="2206" w:type="dxa"/>
            <w:gridSpan w:val="3"/>
          </w:tcPr>
          <w:p>
            <w:pPr>
              <w:ind w:firstLine="48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2222" w:type="dxa"/>
            <w:gridSpan w:val="2"/>
          </w:tcPr>
          <w:p>
            <w:pPr>
              <w:ind w:firstLine="480"/>
              <w:rPr>
                <w:rFonts w:ascii="宋体" w:hAnsi="宋体" w:cs="宋体"/>
                <w:color w:val="auto"/>
                <w:szCs w:val="21"/>
                <w:highlight w:val="none"/>
              </w:rPr>
            </w:pPr>
          </w:p>
        </w:tc>
        <w:tc>
          <w:tcPr>
            <w:tcW w:w="2340" w:type="dxa"/>
            <w:gridSpan w:val="3"/>
          </w:tcPr>
          <w:p>
            <w:pPr>
              <w:ind w:firstLine="480"/>
              <w:rPr>
                <w:rFonts w:ascii="宋体" w:hAnsi="宋体" w:cs="宋体"/>
                <w:color w:val="auto"/>
                <w:szCs w:val="21"/>
                <w:highlight w:val="none"/>
              </w:rPr>
            </w:pPr>
          </w:p>
        </w:tc>
        <w:tc>
          <w:tcPr>
            <w:tcW w:w="2520" w:type="dxa"/>
            <w:gridSpan w:val="3"/>
          </w:tcPr>
          <w:p>
            <w:pPr>
              <w:ind w:firstLine="480"/>
              <w:rPr>
                <w:rFonts w:ascii="宋体" w:hAnsi="宋体" w:cs="宋体"/>
                <w:color w:val="auto"/>
                <w:szCs w:val="21"/>
                <w:highlight w:val="none"/>
              </w:rPr>
            </w:pPr>
          </w:p>
        </w:tc>
        <w:tc>
          <w:tcPr>
            <w:tcW w:w="2206" w:type="dxa"/>
            <w:gridSpan w:val="3"/>
          </w:tcPr>
          <w:p>
            <w:pPr>
              <w:ind w:firstLine="480"/>
              <w:rPr>
                <w:rFonts w:ascii="宋体" w:hAnsi="宋体" w:cs="宋体"/>
                <w:color w:val="auto"/>
                <w:szCs w:val="21"/>
                <w:highlight w:val="none"/>
              </w:rPr>
            </w:pPr>
          </w:p>
        </w:tc>
      </w:tr>
    </w:tbl>
    <w:p>
      <w:pPr>
        <w:spacing w:line="360" w:lineRule="auto"/>
        <w:ind w:firstLine="422" w:firstLineChars="200"/>
        <w:rPr>
          <w:rFonts w:ascii="宋体" w:hAnsi="宋体" w:cs="宋体"/>
          <w:b/>
          <w:color w:val="auto"/>
          <w:highlight w:val="none"/>
          <w:u w:val="single"/>
        </w:rPr>
      </w:pPr>
      <w:r>
        <w:rPr>
          <w:rFonts w:hint="eastAsia" w:ascii="宋体" w:hAnsi="宋体" w:cs="宋体"/>
          <w:b/>
          <w:color w:val="auto"/>
          <w:highlight w:val="none"/>
          <w:u w:val="single"/>
        </w:rPr>
        <w:t>注：1、联系人栏应填写两个人的联系方式以便联系。</w:t>
      </w:r>
    </w:p>
    <w:p>
      <w:pPr>
        <w:pStyle w:val="18"/>
        <w:adjustRightInd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color w:val="auto"/>
          <w:sz w:val="24"/>
          <w:highlight w:val="none"/>
        </w:rPr>
        <w:t>（2）投标单位简历表</w:t>
      </w:r>
    </w:p>
    <w:tbl>
      <w:tblPr>
        <w:tblStyle w:val="29"/>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6" w:hRule="atLeast"/>
          <w:jc w:val="center"/>
        </w:trPr>
        <w:tc>
          <w:tcPr>
            <w:tcW w:w="9135" w:type="dxa"/>
            <w:tcBorders>
              <w:bottom w:val="single" w:color="auto" w:sz="4" w:space="0"/>
            </w:tcBorders>
          </w:tcPr>
          <w:p>
            <w:pPr>
              <w:rPr>
                <w:rFonts w:ascii="宋体" w:hAnsi="宋体" w:cs="宋体"/>
                <w:b/>
                <w:color w:val="auto"/>
                <w:highlight w:val="none"/>
              </w:rPr>
            </w:pPr>
          </w:p>
          <w:p>
            <w:pPr>
              <w:rPr>
                <w:rFonts w:ascii="宋体" w:hAnsi="宋体" w:cs="宋体"/>
                <w:b/>
                <w:color w:val="auto"/>
                <w:highlight w:val="none"/>
              </w:rPr>
            </w:pPr>
          </w:p>
          <w:p>
            <w:pPr>
              <w:rPr>
                <w:rFonts w:ascii="宋体" w:hAnsi="宋体" w:cs="宋体"/>
                <w:b/>
                <w:color w:val="auto"/>
                <w:highlight w:val="none"/>
              </w:rPr>
            </w:pPr>
          </w:p>
          <w:p>
            <w:pPr>
              <w:rPr>
                <w:rFonts w:ascii="宋体" w:hAnsi="宋体" w:cs="宋体"/>
                <w:b/>
                <w:color w:val="auto"/>
                <w:sz w:val="24"/>
                <w:highlight w:val="none"/>
              </w:rPr>
            </w:pPr>
          </w:p>
        </w:tc>
      </w:tr>
    </w:tbl>
    <w:p>
      <w:pPr>
        <w:pStyle w:val="18"/>
        <w:spacing w:line="360" w:lineRule="auto"/>
        <w:rPr>
          <w:rFonts w:hAnsi="宋体" w:cs="宋体"/>
          <w:b/>
          <w:color w:val="auto"/>
          <w:highlight w:val="none"/>
          <w:u w:val="single"/>
        </w:rPr>
      </w:pPr>
      <w:r>
        <w:rPr>
          <w:rFonts w:hint="eastAsia" w:hAnsi="宋体" w:cs="宋体"/>
          <w:b/>
          <w:color w:val="auto"/>
          <w:highlight w:val="none"/>
          <w:u w:val="single"/>
        </w:rPr>
        <w:t>注：本表中应简述试验检测投标单位成立时间、单位主要人员结构、单位业绩、试验检测（监测）业务能力、与本试验检测（监测）项目类似的试验检测业绩。</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jc w:val="center"/>
        <w:rPr>
          <w:rFonts w:ascii="宋体" w:hAnsi="宋体" w:cs="宋体"/>
          <w:b/>
          <w:color w:val="auto"/>
          <w:sz w:val="24"/>
          <w:highlight w:val="none"/>
        </w:rPr>
      </w:pPr>
      <w:r>
        <w:rPr>
          <w:rFonts w:hint="eastAsia" w:ascii="宋体" w:hAnsi="宋体" w:cs="宋体"/>
          <w:b/>
          <w:color w:val="auto"/>
          <w:sz w:val="24"/>
          <w:highlight w:val="none"/>
        </w:rPr>
        <w:t>（3）拟委派的项目负责人、技术负责人及投入本项目的主要技术人员一览表</w:t>
      </w:r>
    </w:p>
    <w:p>
      <w:pPr>
        <w:pStyle w:val="18"/>
        <w:adjustRightInd w:val="0"/>
        <w:snapToGrid w:val="0"/>
        <w:spacing w:line="240" w:lineRule="exact"/>
        <w:jc w:val="center"/>
        <w:rPr>
          <w:rFonts w:hAnsi="宋体" w:cs="宋体"/>
          <w:b/>
          <w:color w:val="auto"/>
          <w:sz w:val="30"/>
          <w:highlight w:val="none"/>
        </w:rPr>
      </w:pPr>
    </w:p>
    <w:tbl>
      <w:tblPr>
        <w:tblStyle w:val="29"/>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4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2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姓名</w:t>
            </w:r>
          </w:p>
        </w:tc>
        <w:tc>
          <w:tcPr>
            <w:tcW w:w="108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专业</w:t>
            </w:r>
          </w:p>
        </w:tc>
        <w:tc>
          <w:tcPr>
            <w:tcW w:w="1080"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职称</w:t>
            </w:r>
          </w:p>
        </w:tc>
        <w:tc>
          <w:tcPr>
            <w:tcW w:w="1492"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在本项目拟担任职务</w:t>
            </w:r>
          </w:p>
        </w:tc>
        <w:tc>
          <w:tcPr>
            <w:tcW w:w="3323" w:type="dxa"/>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备注</w:t>
            </w:r>
          </w:p>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142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142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080" w:type="dxa"/>
            <w:vAlign w:val="center"/>
          </w:tcPr>
          <w:p>
            <w:pPr>
              <w:jc w:val="center"/>
              <w:rPr>
                <w:rFonts w:ascii="宋体" w:hAnsi="宋体" w:cs="宋体"/>
                <w:b/>
                <w:color w:val="auto"/>
                <w:sz w:val="24"/>
                <w:highlight w:val="none"/>
              </w:rPr>
            </w:pPr>
          </w:p>
        </w:tc>
        <w:tc>
          <w:tcPr>
            <w:tcW w:w="1492" w:type="dxa"/>
            <w:vAlign w:val="center"/>
          </w:tcPr>
          <w:p>
            <w:pPr>
              <w:jc w:val="center"/>
              <w:rPr>
                <w:rFonts w:ascii="宋体" w:hAnsi="宋体" w:cs="宋体"/>
                <w:b/>
                <w:color w:val="auto"/>
                <w:sz w:val="24"/>
                <w:highlight w:val="none"/>
              </w:rPr>
            </w:pPr>
          </w:p>
        </w:tc>
        <w:tc>
          <w:tcPr>
            <w:tcW w:w="3323" w:type="dxa"/>
            <w:vAlign w:val="center"/>
          </w:tcPr>
          <w:p>
            <w:pPr>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8" w:hRule="atLeast"/>
          <w:jc w:val="center"/>
        </w:trPr>
        <w:tc>
          <w:tcPr>
            <w:tcW w:w="9135" w:type="dxa"/>
            <w:gridSpan w:val="6"/>
            <w:tcBorders>
              <w:top w:val="single" w:color="auto" w:sz="4" w:space="0"/>
              <w:left w:val="single" w:color="auto" w:sz="4" w:space="0"/>
              <w:bottom w:val="single" w:color="auto" w:sz="4" w:space="0"/>
            </w:tcBorders>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pacing w:line="360" w:lineRule="auto"/>
              <w:ind w:firstLine="420" w:firstLineChars="200"/>
              <w:rPr>
                <w:rFonts w:ascii="宋体" w:hAnsi="宋体" w:cs="宋体"/>
                <w:color w:val="auto"/>
                <w:szCs w:val="21"/>
                <w:highlight w:val="none"/>
              </w:rPr>
            </w:pPr>
          </w:p>
          <w:p>
            <w:pPr>
              <w:spacing w:line="360" w:lineRule="exact"/>
              <w:ind w:firstLine="2835" w:firstLineChars="1350"/>
              <w:jc w:val="right"/>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highlight w:val="none"/>
              </w:rPr>
              <w:t>（盖单位章）</w:t>
            </w:r>
          </w:p>
          <w:p>
            <w:pPr>
              <w:spacing w:line="360" w:lineRule="exact"/>
              <w:ind w:firstLine="2835" w:firstLineChars="1350"/>
              <w:jc w:val="right"/>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highlight w:val="none"/>
              </w:rPr>
              <w:t>（签字或盖章）</w:t>
            </w:r>
          </w:p>
          <w:p>
            <w:pPr>
              <w:jc w:val="right"/>
              <w:rPr>
                <w:rFonts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highlight w:val="none"/>
              </w:rPr>
              <w:t>日</w:t>
            </w:r>
          </w:p>
        </w:tc>
      </w:tr>
    </w:tbl>
    <w:p>
      <w:pPr>
        <w:rPr>
          <w:rFonts w:ascii="宋体" w:hAnsi="宋体" w:cs="宋体"/>
          <w:color w:val="auto"/>
          <w:highlight w:val="none"/>
        </w:rPr>
      </w:pPr>
    </w:p>
    <w:p>
      <w:pPr>
        <w:pStyle w:val="18"/>
        <w:adjustRightInd w:val="0"/>
        <w:snapToGrid w:val="0"/>
        <w:spacing w:line="360" w:lineRule="auto"/>
        <w:rPr>
          <w:rFonts w:hAnsi="宋体" w:cs="宋体"/>
          <w:b/>
          <w:color w:val="auto"/>
          <w:sz w:val="24"/>
          <w:highlight w:val="none"/>
        </w:rPr>
      </w:pPr>
      <w:r>
        <w:rPr>
          <w:rFonts w:hint="eastAsia" w:hAnsi="宋体" w:cs="宋体"/>
          <w:color w:val="auto"/>
          <w:highlight w:val="none"/>
        </w:rPr>
        <w:br w:type="page"/>
      </w:r>
      <w:r>
        <w:rPr>
          <w:rFonts w:hint="eastAsia" w:hAnsi="宋体" w:cs="宋体"/>
          <w:b/>
          <w:color w:val="auto"/>
          <w:sz w:val="24"/>
          <w:highlight w:val="none"/>
        </w:rPr>
        <w:t>（4）拟委派的项目负责人、技术负责人及投入本项目的主要技术人员简历表</w:t>
      </w:r>
    </w:p>
    <w:tbl>
      <w:tblPr>
        <w:tblStyle w:val="29"/>
        <w:tblW w:w="92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auto"/>
                <w:szCs w:val="21"/>
                <w:highlight w:val="none"/>
              </w:rPr>
            </w:pPr>
            <w:r>
              <w:rPr>
                <w:rFonts w:hint="eastAsia" w:ascii="宋体" w:hAnsi="宋体" w:cs="宋体"/>
                <w:b/>
                <w:color w:val="auto"/>
                <w:szCs w:val="21"/>
                <w:highlight w:val="none"/>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208" w:type="dxa"/>
            <w:vAlign w:val="center"/>
          </w:tcPr>
          <w:p>
            <w:pPr>
              <w:ind w:firstLine="480"/>
              <w:rPr>
                <w:rFonts w:ascii="宋体" w:hAnsi="宋体" w:cs="宋体"/>
                <w:color w:val="auto"/>
                <w:szCs w:val="21"/>
                <w:highlight w:val="none"/>
              </w:rPr>
            </w:pPr>
          </w:p>
        </w:tc>
        <w:tc>
          <w:tcPr>
            <w:tcW w:w="180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性 别</w:t>
            </w:r>
          </w:p>
        </w:tc>
        <w:tc>
          <w:tcPr>
            <w:tcW w:w="1252" w:type="dxa"/>
            <w:gridSpan w:val="2"/>
            <w:vAlign w:val="center"/>
          </w:tcPr>
          <w:p>
            <w:pPr>
              <w:jc w:val="center"/>
              <w:rPr>
                <w:rFonts w:ascii="宋体" w:hAnsi="宋体" w:cs="宋体"/>
                <w:color w:val="auto"/>
                <w:szCs w:val="21"/>
                <w:highlight w:val="none"/>
              </w:rPr>
            </w:pPr>
          </w:p>
        </w:tc>
        <w:tc>
          <w:tcPr>
            <w:tcW w:w="216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 业</w:t>
            </w:r>
          </w:p>
        </w:tc>
        <w:tc>
          <w:tcPr>
            <w:tcW w:w="1208" w:type="dxa"/>
            <w:vAlign w:val="center"/>
          </w:tcPr>
          <w:p>
            <w:pPr>
              <w:ind w:firstLine="480"/>
              <w:rPr>
                <w:rFonts w:ascii="宋体" w:hAnsi="宋体" w:cs="宋体"/>
                <w:color w:val="auto"/>
                <w:szCs w:val="21"/>
                <w:highlight w:val="none"/>
              </w:rPr>
            </w:pPr>
          </w:p>
        </w:tc>
        <w:tc>
          <w:tcPr>
            <w:tcW w:w="180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最高学历</w:t>
            </w:r>
          </w:p>
        </w:tc>
        <w:tc>
          <w:tcPr>
            <w:tcW w:w="1252" w:type="dxa"/>
            <w:gridSpan w:val="2"/>
            <w:vAlign w:val="center"/>
          </w:tcPr>
          <w:p>
            <w:pPr>
              <w:jc w:val="center"/>
              <w:rPr>
                <w:rFonts w:ascii="宋体" w:hAnsi="宋体" w:cs="宋体"/>
                <w:color w:val="auto"/>
                <w:szCs w:val="21"/>
                <w:highlight w:val="none"/>
              </w:rPr>
            </w:pPr>
          </w:p>
        </w:tc>
        <w:tc>
          <w:tcPr>
            <w:tcW w:w="216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从事试验检测（监测）</w:t>
            </w:r>
          </w:p>
          <w:p>
            <w:pPr>
              <w:jc w:val="center"/>
              <w:rPr>
                <w:rFonts w:ascii="宋体" w:hAnsi="宋体" w:cs="宋体"/>
                <w:color w:val="auto"/>
                <w:szCs w:val="21"/>
                <w:highlight w:val="none"/>
              </w:rPr>
            </w:pPr>
            <w:r>
              <w:rPr>
                <w:rFonts w:hint="eastAsia" w:ascii="宋体" w:hAnsi="宋体" w:cs="宋体"/>
                <w:color w:val="auto"/>
                <w:szCs w:val="21"/>
                <w:highlight w:val="none"/>
              </w:rPr>
              <w:t>工作时间</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08" w:type="dxa"/>
            <w:vAlign w:val="center"/>
          </w:tcPr>
          <w:p>
            <w:pPr>
              <w:ind w:firstLine="480"/>
              <w:rPr>
                <w:rFonts w:ascii="宋体" w:hAnsi="宋体" w:cs="宋体"/>
                <w:color w:val="auto"/>
                <w:szCs w:val="21"/>
                <w:highlight w:val="none"/>
              </w:rPr>
            </w:pPr>
          </w:p>
        </w:tc>
        <w:tc>
          <w:tcPr>
            <w:tcW w:w="180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现任职务</w:t>
            </w:r>
          </w:p>
        </w:tc>
        <w:tc>
          <w:tcPr>
            <w:tcW w:w="1252" w:type="dxa"/>
            <w:gridSpan w:val="2"/>
            <w:vAlign w:val="center"/>
          </w:tcPr>
          <w:p>
            <w:pPr>
              <w:jc w:val="center"/>
              <w:rPr>
                <w:rFonts w:ascii="宋体" w:hAnsi="宋体" w:cs="宋体"/>
                <w:color w:val="auto"/>
                <w:szCs w:val="21"/>
                <w:highlight w:val="none"/>
              </w:rPr>
            </w:pPr>
          </w:p>
        </w:tc>
        <w:tc>
          <w:tcPr>
            <w:tcW w:w="216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拟在本项目任职</w:t>
            </w:r>
          </w:p>
        </w:tc>
        <w:tc>
          <w:tcPr>
            <w:tcW w:w="1440" w:type="dxa"/>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毕业院校</w:t>
            </w:r>
          </w:p>
        </w:tc>
        <w:tc>
          <w:tcPr>
            <w:tcW w:w="7868" w:type="dxa"/>
            <w:gridSpan w:val="8"/>
            <w:vAlign w:val="center"/>
          </w:tcPr>
          <w:p>
            <w:pPr>
              <w:ind w:firstLine="42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auto"/>
                <w:szCs w:val="21"/>
                <w:highlight w:val="none"/>
              </w:rPr>
            </w:pPr>
            <w:r>
              <w:rPr>
                <w:rFonts w:hint="eastAsia" w:ascii="宋体" w:hAnsi="宋体" w:cs="宋体"/>
                <w:b/>
                <w:color w:val="auto"/>
                <w:szCs w:val="21"/>
                <w:highlight w:val="none"/>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时 间</w:t>
            </w:r>
          </w:p>
        </w:tc>
        <w:tc>
          <w:tcPr>
            <w:tcW w:w="142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工作单位</w:t>
            </w:r>
          </w:p>
        </w:tc>
        <w:tc>
          <w:tcPr>
            <w:tcW w:w="248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在该项目任职</w:t>
            </w:r>
          </w:p>
        </w:tc>
        <w:tc>
          <w:tcPr>
            <w:tcW w:w="198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负责过的</w:t>
            </w:r>
          </w:p>
          <w:p>
            <w:pPr>
              <w:jc w:val="center"/>
              <w:rPr>
                <w:rFonts w:ascii="宋体" w:hAnsi="宋体" w:cs="宋体"/>
                <w:color w:val="auto"/>
                <w:szCs w:val="21"/>
                <w:highlight w:val="none"/>
              </w:rPr>
            </w:pPr>
            <w:r>
              <w:rPr>
                <w:rFonts w:hint="eastAsia" w:ascii="宋体" w:hAnsi="宋体" w:cs="宋体"/>
                <w:color w:val="auto"/>
                <w:szCs w:val="21"/>
                <w:highlight w:val="none"/>
              </w:rPr>
              <w:t>主要项目</w:t>
            </w:r>
          </w:p>
        </w:tc>
        <w:tc>
          <w:tcPr>
            <w:tcW w:w="1980"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auto"/>
                <w:szCs w:val="21"/>
                <w:highlight w:val="none"/>
              </w:rPr>
            </w:pPr>
          </w:p>
        </w:tc>
        <w:tc>
          <w:tcPr>
            <w:tcW w:w="1420" w:type="dxa"/>
            <w:gridSpan w:val="2"/>
            <w:vAlign w:val="center"/>
          </w:tcPr>
          <w:p>
            <w:pPr>
              <w:ind w:firstLine="480"/>
              <w:jc w:val="center"/>
              <w:rPr>
                <w:rFonts w:ascii="宋体" w:hAnsi="宋体" w:cs="宋体"/>
                <w:color w:val="auto"/>
                <w:szCs w:val="21"/>
                <w:highlight w:val="none"/>
              </w:rPr>
            </w:pPr>
          </w:p>
        </w:tc>
        <w:tc>
          <w:tcPr>
            <w:tcW w:w="2488"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auto"/>
                <w:szCs w:val="21"/>
                <w:highlight w:val="none"/>
              </w:rPr>
            </w:pPr>
          </w:p>
        </w:tc>
        <w:tc>
          <w:tcPr>
            <w:tcW w:w="1420" w:type="dxa"/>
            <w:gridSpan w:val="2"/>
            <w:vAlign w:val="center"/>
          </w:tcPr>
          <w:p>
            <w:pPr>
              <w:ind w:firstLine="480"/>
              <w:jc w:val="center"/>
              <w:rPr>
                <w:rFonts w:ascii="宋体" w:hAnsi="宋体" w:cs="宋体"/>
                <w:color w:val="auto"/>
                <w:szCs w:val="21"/>
                <w:highlight w:val="none"/>
              </w:rPr>
            </w:pPr>
          </w:p>
        </w:tc>
        <w:tc>
          <w:tcPr>
            <w:tcW w:w="2488"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auto"/>
                <w:szCs w:val="21"/>
                <w:highlight w:val="none"/>
              </w:rPr>
            </w:pPr>
          </w:p>
        </w:tc>
        <w:tc>
          <w:tcPr>
            <w:tcW w:w="1420" w:type="dxa"/>
            <w:gridSpan w:val="2"/>
            <w:vAlign w:val="center"/>
          </w:tcPr>
          <w:p>
            <w:pPr>
              <w:ind w:firstLine="480"/>
              <w:jc w:val="center"/>
              <w:rPr>
                <w:rFonts w:ascii="宋体" w:hAnsi="宋体" w:cs="宋体"/>
                <w:color w:val="auto"/>
                <w:szCs w:val="21"/>
                <w:highlight w:val="none"/>
              </w:rPr>
            </w:pPr>
          </w:p>
        </w:tc>
        <w:tc>
          <w:tcPr>
            <w:tcW w:w="2488"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c>
          <w:tcPr>
            <w:tcW w:w="1980" w:type="dxa"/>
            <w:gridSpan w:val="2"/>
            <w:vAlign w:val="center"/>
          </w:tcPr>
          <w:p>
            <w:pPr>
              <w:ind w:firstLine="48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auto"/>
                <w:szCs w:val="21"/>
                <w:highlight w:val="none"/>
              </w:rPr>
            </w:pPr>
            <w:r>
              <w:rPr>
                <w:rFonts w:hint="eastAsia" w:ascii="宋体" w:hAnsi="宋体" w:cs="宋体"/>
                <w:color w:val="auto"/>
                <w:szCs w:val="21"/>
                <w:highlight w:val="none"/>
              </w:rPr>
              <w:t>个人能力综述：</w:t>
            </w:r>
          </w:p>
        </w:tc>
      </w:tr>
    </w:tbl>
    <w:p>
      <w:pPr>
        <w:ind w:left="840" w:right="-13" w:hanging="840" w:hangingChars="400"/>
        <w:rPr>
          <w:rFonts w:ascii="宋体" w:hAnsi="宋体" w:cs="宋体"/>
          <w:color w:val="auto"/>
          <w:highlight w:val="none"/>
        </w:rPr>
      </w:pPr>
      <w:r>
        <w:rPr>
          <w:rFonts w:hint="eastAsia" w:ascii="宋体" w:hAnsi="宋体" w:cs="宋体"/>
          <w:color w:val="auto"/>
          <w:highlight w:val="none"/>
        </w:rPr>
        <w:t>注：1、按招标文件附上相关人员职称证、上岗证等证明材料复印件并盖公章。</w:t>
      </w:r>
    </w:p>
    <w:p>
      <w:pPr>
        <w:ind w:left="840" w:right="-13" w:hanging="840" w:hangingChars="400"/>
        <w:rPr>
          <w:rFonts w:ascii="宋体" w:hAnsi="宋体" w:cs="宋体"/>
          <w:color w:val="auto"/>
          <w:highlight w:val="none"/>
        </w:rPr>
      </w:pPr>
      <w:r>
        <w:rPr>
          <w:rFonts w:hint="eastAsia" w:ascii="宋体" w:hAnsi="宋体" w:cs="宋体"/>
          <w:color w:val="auto"/>
          <w:highlight w:val="none"/>
        </w:rPr>
        <w:t xml:space="preserve">    2、拟投入人员简历不够填写，可另编页增写。</w:t>
      </w:r>
    </w:p>
    <w:p>
      <w:pPr>
        <w:pStyle w:val="18"/>
        <w:jc w:val="center"/>
        <w:rPr>
          <w:rFonts w:hAnsi="宋体" w:cs="宋体"/>
          <w:b/>
          <w:color w:val="auto"/>
          <w:sz w:val="24"/>
          <w:highlight w:val="none"/>
        </w:rPr>
      </w:pPr>
      <w:r>
        <w:rPr>
          <w:rFonts w:hint="eastAsia" w:hAnsi="宋体" w:cs="宋体"/>
          <w:color w:val="auto"/>
          <w:highlight w:val="none"/>
        </w:rPr>
        <w:br w:type="page"/>
      </w:r>
      <w:r>
        <w:rPr>
          <w:rFonts w:hint="eastAsia" w:hAnsi="宋体" w:cs="宋体"/>
          <w:b/>
          <w:color w:val="auto"/>
          <w:sz w:val="24"/>
          <w:highlight w:val="none"/>
        </w:rPr>
        <w:t>（5）拟投入本项目的主要试验检测及监测</w:t>
      </w:r>
      <w:r>
        <w:rPr>
          <w:rFonts w:hint="eastAsia" w:hAnsi="宋体" w:cs="宋体"/>
          <w:b/>
          <w:color w:val="auto"/>
          <w:sz w:val="24"/>
          <w:szCs w:val="22"/>
          <w:highlight w:val="none"/>
        </w:rPr>
        <w:t>设</w:t>
      </w:r>
      <w:r>
        <w:rPr>
          <w:rFonts w:hint="eastAsia" w:hAnsi="宋体" w:cs="宋体"/>
          <w:b/>
          <w:color w:val="auto"/>
          <w:sz w:val="24"/>
          <w:highlight w:val="none"/>
        </w:rPr>
        <w:t>备一览表</w:t>
      </w:r>
    </w:p>
    <w:p>
      <w:pPr>
        <w:pStyle w:val="18"/>
        <w:adjustRightInd w:val="0"/>
        <w:snapToGrid w:val="0"/>
        <w:spacing w:line="240" w:lineRule="exact"/>
        <w:jc w:val="center"/>
        <w:rPr>
          <w:rFonts w:hAnsi="宋体" w:cs="宋体"/>
          <w:b/>
          <w:color w:val="auto"/>
          <w:sz w:val="30"/>
          <w:highlight w:val="none"/>
        </w:rPr>
      </w:pPr>
    </w:p>
    <w:tbl>
      <w:tblPr>
        <w:tblStyle w:val="29"/>
        <w:tblW w:w="98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98"/>
        <w:gridCol w:w="2520"/>
        <w:gridCol w:w="1024"/>
        <w:gridCol w:w="1620"/>
        <w:gridCol w:w="900"/>
        <w:gridCol w:w="1073"/>
        <w:gridCol w:w="6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8"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298" w:type="dxa"/>
            <w:vAlign w:val="center"/>
          </w:tcPr>
          <w:p>
            <w:pPr>
              <w:jc w:val="center"/>
              <w:rPr>
                <w:rFonts w:ascii="宋体" w:hAnsi="宋体" w:cs="宋体"/>
                <w:color w:val="auto"/>
                <w:highlight w:val="none"/>
              </w:rPr>
            </w:pPr>
            <w:r>
              <w:rPr>
                <w:rFonts w:hint="eastAsia" w:ascii="宋体" w:hAnsi="宋体" w:cs="宋体"/>
                <w:color w:val="auto"/>
                <w:highlight w:val="none"/>
              </w:rPr>
              <w:t>被检产品</w:t>
            </w:r>
          </w:p>
          <w:p>
            <w:pPr>
              <w:jc w:val="center"/>
              <w:rPr>
                <w:rFonts w:ascii="宋体" w:hAnsi="宋体" w:cs="宋体"/>
                <w:color w:val="auto"/>
                <w:highlight w:val="none"/>
              </w:rPr>
            </w:pPr>
            <w:r>
              <w:rPr>
                <w:rFonts w:hint="eastAsia" w:ascii="宋体" w:hAnsi="宋体" w:cs="宋体"/>
                <w:color w:val="auto"/>
                <w:highlight w:val="none"/>
              </w:rPr>
              <w:t>名  称</w:t>
            </w:r>
          </w:p>
        </w:tc>
        <w:tc>
          <w:tcPr>
            <w:tcW w:w="2520" w:type="dxa"/>
            <w:vAlign w:val="center"/>
          </w:tcPr>
          <w:p>
            <w:pPr>
              <w:ind w:left="149" w:hanging="149"/>
              <w:jc w:val="center"/>
              <w:rPr>
                <w:rFonts w:ascii="宋体" w:hAnsi="宋体" w:cs="宋体"/>
                <w:color w:val="auto"/>
                <w:highlight w:val="none"/>
              </w:rPr>
            </w:pPr>
            <w:r>
              <w:rPr>
                <w:rFonts w:hint="eastAsia" w:ascii="宋体" w:hAnsi="宋体" w:cs="宋体"/>
                <w:color w:val="auto"/>
                <w:highlight w:val="none"/>
              </w:rPr>
              <w:t>检定此产品所用的</w:t>
            </w:r>
          </w:p>
          <w:p>
            <w:pPr>
              <w:ind w:left="149" w:hanging="149"/>
              <w:jc w:val="center"/>
              <w:rPr>
                <w:rFonts w:ascii="宋体" w:hAnsi="宋体" w:cs="宋体"/>
                <w:color w:val="auto"/>
                <w:highlight w:val="none"/>
              </w:rPr>
            </w:pPr>
            <w:r>
              <w:rPr>
                <w:rFonts w:hint="eastAsia" w:ascii="宋体" w:hAnsi="宋体" w:cs="宋体"/>
                <w:color w:val="auto"/>
                <w:highlight w:val="none"/>
              </w:rPr>
              <w:t>仪器名称</w:t>
            </w:r>
          </w:p>
        </w:tc>
        <w:tc>
          <w:tcPr>
            <w:tcW w:w="1024" w:type="dxa"/>
            <w:vAlign w:val="center"/>
          </w:tcPr>
          <w:p>
            <w:pPr>
              <w:jc w:val="center"/>
              <w:rPr>
                <w:rFonts w:ascii="宋体" w:hAnsi="宋体" w:cs="宋体"/>
                <w:color w:val="auto"/>
                <w:highlight w:val="none"/>
              </w:rPr>
            </w:pPr>
            <w:r>
              <w:rPr>
                <w:rFonts w:hint="eastAsia" w:ascii="宋体" w:hAnsi="宋体" w:cs="宋体"/>
                <w:color w:val="auto"/>
                <w:highlight w:val="none"/>
              </w:rPr>
              <w:t>制造厂</w:t>
            </w:r>
          </w:p>
        </w:tc>
        <w:tc>
          <w:tcPr>
            <w:tcW w:w="1620" w:type="dxa"/>
            <w:vAlign w:val="center"/>
          </w:tcPr>
          <w:p>
            <w:pPr>
              <w:jc w:val="center"/>
              <w:rPr>
                <w:rFonts w:ascii="宋体" w:hAnsi="宋体" w:cs="宋体"/>
                <w:color w:val="auto"/>
                <w:highlight w:val="none"/>
              </w:rPr>
            </w:pPr>
            <w:r>
              <w:rPr>
                <w:rFonts w:hint="eastAsia" w:ascii="宋体" w:hAnsi="宋体" w:cs="宋体"/>
                <w:color w:val="auto"/>
                <w:highlight w:val="none"/>
              </w:rPr>
              <w:t>检定/校准机构</w:t>
            </w:r>
          </w:p>
        </w:tc>
        <w:tc>
          <w:tcPr>
            <w:tcW w:w="900" w:type="dxa"/>
            <w:vAlign w:val="center"/>
          </w:tcPr>
          <w:p>
            <w:pPr>
              <w:jc w:val="center"/>
              <w:rPr>
                <w:rFonts w:ascii="宋体" w:hAnsi="宋体" w:cs="宋体"/>
                <w:color w:val="auto"/>
                <w:highlight w:val="none"/>
              </w:rPr>
            </w:pPr>
            <w:r>
              <w:rPr>
                <w:rFonts w:hint="eastAsia" w:ascii="宋体" w:hAnsi="宋体" w:cs="宋体"/>
                <w:color w:val="auto"/>
                <w:highlight w:val="none"/>
              </w:rPr>
              <w:t>有效期</w:t>
            </w:r>
          </w:p>
        </w:tc>
        <w:tc>
          <w:tcPr>
            <w:tcW w:w="1073" w:type="dxa"/>
            <w:vAlign w:val="center"/>
          </w:tcPr>
          <w:p>
            <w:pPr>
              <w:jc w:val="center"/>
              <w:rPr>
                <w:rFonts w:ascii="宋体" w:hAnsi="宋体" w:cs="宋体"/>
                <w:color w:val="auto"/>
                <w:highlight w:val="none"/>
              </w:rPr>
            </w:pPr>
            <w:r>
              <w:rPr>
                <w:rFonts w:hint="eastAsia" w:ascii="宋体" w:hAnsi="宋体" w:cs="宋体"/>
                <w:color w:val="auto"/>
                <w:highlight w:val="none"/>
              </w:rPr>
              <w:t>检定/校准</w:t>
            </w:r>
          </w:p>
          <w:p>
            <w:pPr>
              <w:jc w:val="center"/>
              <w:rPr>
                <w:rFonts w:ascii="宋体" w:hAnsi="宋体" w:cs="宋体"/>
                <w:color w:val="auto"/>
                <w:highlight w:val="none"/>
              </w:rPr>
            </w:pPr>
            <w:r>
              <w:rPr>
                <w:rFonts w:hint="eastAsia" w:ascii="宋体" w:hAnsi="宋体" w:cs="宋体"/>
                <w:color w:val="auto"/>
                <w:highlight w:val="none"/>
              </w:rPr>
              <w:t>周期</w:t>
            </w:r>
          </w:p>
        </w:tc>
        <w:tc>
          <w:tcPr>
            <w:tcW w:w="613" w:type="dxa"/>
            <w:vAlign w:val="center"/>
          </w:tcPr>
          <w:p>
            <w:pPr>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78" w:type="dxa"/>
          </w:tcPr>
          <w:p>
            <w:pPr>
              <w:rPr>
                <w:rFonts w:ascii="宋体" w:hAnsi="宋体" w:cs="宋体"/>
                <w:color w:val="auto"/>
                <w:highlight w:val="none"/>
              </w:rPr>
            </w:pPr>
          </w:p>
        </w:tc>
        <w:tc>
          <w:tcPr>
            <w:tcW w:w="1298" w:type="dxa"/>
            <w:vAlign w:val="center"/>
          </w:tcPr>
          <w:p>
            <w:pPr>
              <w:rPr>
                <w:rFonts w:ascii="宋体" w:hAnsi="宋体" w:cs="宋体"/>
                <w:color w:val="auto"/>
                <w:highlight w:val="none"/>
              </w:rPr>
            </w:pPr>
          </w:p>
        </w:tc>
        <w:tc>
          <w:tcPr>
            <w:tcW w:w="2520" w:type="dxa"/>
            <w:vAlign w:val="center"/>
          </w:tcPr>
          <w:p>
            <w:pPr>
              <w:jc w:val="center"/>
              <w:rPr>
                <w:rFonts w:ascii="宋体" w:hAnsi="宋体" w:cs="宋体"/>
                <w:color w:val="auto"/>
                <w:highlight w:val="none"/>
              </w:rPr>
            </w:pPr>
          </w:p>
        </w:tc>
        <w:tc>
          <w:tcPr>
            <w:tcW w:w="1024" w:type="dxa"/>
          </w:tcPr>
          <w:p>
            <w:pPr>
              <w:jc w:val="center"/>
              <w:rPr>
                <w:rFonts w:ascii="宋体" w:hAnsi="宋体" w:cs="宋体"/>
                <w:color w:val="auto"/>
                <w:highlight w:val="none"/>
              </w:rPr>
            </w:pPr>
          </w:p>
        </w:tc>
        <w:tc>
          <w:tcPr>
            <w:tcW w:w="1620" w:type="dxa"/>
          </w:tcPr>
          <w:p>
            <w:pPr>
              <w:jc w:val="center"/>
              <w:rPr>
                <w:rFonts w:ascii="宋体" w:hAnsi="宋体" w:cs="宋体"/>
                <w:color w:val="auto"/>
                <w:highlight w:val="none"/>
              </w:rPr>
            </w:pPr>
          </w:p>
        </w:tc>
        <w:tc>
          <w:tcPr>
            <w:tcW w:w="900" w:type="dxa"/>
          </w:tcPr>
          <w:p>
            <w:pPr>
              <w:jc w:val="center"/>
              <w:rPr>
                <w:rFonts w:ascii="宋体" w:hAnsi="宋体" w:cs="宋体"/>
                <w:color w:val="auto"/>
                <w:highlight w:val="none"/>
              </w:rPr>
            </w:pPr>
          </w:p>
        </w:tc>
        <w:tc>
          <w:tcPr>
            <w:tcW w:w="1073" w:type="dxa"/>
            <w:vAlign w:val="center"/>
          </w:tcPr>
          <w:p>
            <w:pPr>
              <w:jc w:val="center"/>
              <w:rPr>
                <w:rFonts w:ascii="宋体" w:hAnsi="宋体" w:cs="宋体"/>
                <w:color w:val="auto"/>
                <w:highlight w:val="none"/>
              </w:rPr>
            </w:pPr>
          </w:p>
        </w:tc>
        <w:tc>
          <w:tcPr>
            <w:tcW w:w="613"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78" w:type="dxa"/>
          </w:tcPr>
          <w:p>
            <w:pPr>
              <w:rPr>
                <w:rFonts w:ascii="宋体" w:hAnsi="宋体" w:cs="宋体"/>
                <w:color w:val="auto"/>
                <w:highlight w:val="none"/>
              </w:rPr>
            </w:pPr>
          </w:p>
        </w:tc>
        <w:tc>
          <w:tcPr>
            <w:tcW w:w="1298" w:type="dxa"/>
            <w:vAlign w:val="center"/>
          </w:tcPr>
          <w:p>
            <w:pPr>
              <w:rPr>
                <w:rFonts w:ascii="宋体" w:hAnsi="宋体" w:cs="宋体"/>
                <w:color w:val="auto"/>
                <w:highlight w:val="none"/>
              </w:rPr>
            </w:pPr>
          </w:p>
        </w:tc>
        <w:tc>
          <w:tcPr>
            <w:tcW w:w="2520" w:type="dxa"/>
            <w:vAlign w:val="center"/>
          </w:tcPr>
          <w:p>
            <w:pPr>
              <w:jc w:val="center"/>
              <w:rPr>
                <w:rFonts w:ascii="宋体" w:hAnsi="宋体" w:cs="宋体"/>
                <w:color w:val="auto"/>
                <w:highlight w:val="none"/>
              </w:rPr>
            </w:pPr>
          </w:p>
        </w:tc>
        <w:tc>
          <w:tcPr>
            <w:tcW w:w="1024" w:type="dxa"/>
          </w:tcPr>
          <w:p>
            <w:pPr>
              <w:jc w:val="center"/>
              <w:rPr>
                <w:rFonts w:ascii="宋体" w:hAnsi="宋体" w:cs="宋体"/>
                <w:color w:val="auto"/>
                <w:highlight w:val="none"/>
              </w:rPr>
            </w:pPr>
          </w:p>
        </w:tc>
        <w:tc>
          <w:tcPr>
            <w:tcW w:w="1620" w:type="dxa"/>
          </w:tcPr>
          <w:p>
            <w:pPr>
              <w:jc w:val="center"/>
              <w:rPr>
                <w:rFonts w:ascii="宋体" w:hAnsi="宋体" w:cs="宋体"/>
                <w:color w:val="auto"/>
                <w:highlight w:val="none"/>
              </w:rPr>
            </w:pPr>
          </w:p>
        </w:tc>
        <w:tc>
          <w:tcPr>
            <w:tcW w:w="900" w:type="dxa"/>
          </w:tcPr>
          <w:p>
            <w:pPr>
              <w:jc w:val="center"/>
              <w:rPr>
                <w:rFonts w:ascii="宋体" w:hAnsi="宋体" w:cs="宋体"/>
                <w:color w:val="auto"/>
                <w:highlight w:val="none"/>
              </w:rPr>
            </w:pPr>
          </w:p>
        </w:tc>
        <w:tc>
          <w:tcPr>
            <w:tcW w:w="1073" w:type="dxa"/>
            <w:vAlign w:val="center"/>
          </w:tcPr>
          <w:p>
            <w:pPr>
              <w:jc w:val="center"/>
              <w:rPr>
                <w:rFonts w:ascii="宋体" w:hAnsi="宋体" w:cs="宋体"/>
                <w:color w:val="auto"/>
                <w:highlight w:val="none"/>
              </w:rPr>
            </w:pPr>
          </w:p>
        </w:tc>
        <w:tc>
          <w:tcPr>
            <w:tcW w:w="613"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78" w:type="dxa"/>
          </w:tcPr>
          <w:p>
            <w:pPr>
              <w:rPr>
                <w:rFonts w:ascii="宋体" w:hAnsi="宋体" w:cs="宋体"/>
                <w:color w:val="auto"/>
                <w:highlight w:val="none"/>
              </w:rPr>
            </w:pPr>
          </w:p>
        </w:tc>
        <w:tc>
          <w:tcPr>
            <w:tcW w:w="1298" w:type="dxa"/>
            <w:vAlign w:val="center"/>
          </w:tcPr>
          <w:p>
            <w:pPr>
              <w:rPr>
                <w:rFonts w:ascii="宋体" w:hAnsi="宋体" w:cs="宋体"/>
                <w:color w:val="auto"/>
                <w:highlight w:val="none"/>
              </w:rPr>
            </w:pPr>
          </w:p>
        </w:tc>
        <w:tc>
          <w:tcPr>
            <w:tcW w:w="2520" w:type="dxa"/>
            <w:vAlign w:val="center"/>
          </w:tcPr>
          <w:p>
            <w:pPr>
              <w:jc w:val="center"/>
              <w:rPr>
                <w:rFonts w:ascii="宋体" w:hAnsi="宋体" w:cs="宋体"/>
                <w:color w:val="auto"/>
                <w:highlight w:val="none"/>
              </w:rPr>
            </w:pPr>
          </w:p>
        </w:tc>
        <w:tc>
          <w:tcPr>
            <w:tcW w:w="1024" w:type="dxa"/>
          </w:tcPr>
          <w:p>
            <w:pPr>
              <w:jc w:val="center"/>
              <w:rPr>
                <w:rFonts w:ascii="宋体" w:hAnsi="宋体" w:cs="宋体"/>
                <w:color w:val="auto"/>
                <w:highlight w:val="none"/>
              </w:rPr>
            </w:pPr>
          </w:p>
        </w:tc>
        <w:tc>
          <w:tcPr>
            <w:tcW w:w="1620" w:type="dxa"/>
          </w:tcPr>
          <w:p>
            <w:pPr>
              <w:jc w:val="center"/>
              <w:rPr>
                <w:rFonts w:ascii="宋体" w:hAnsi="宋体" w:cs="宋体"/>
                <w:color w:val="auto"/>
                <w:highlight w:val="none"/>
              </w:rPr>
            </w:pPr>
          </w:p>
        </w:tc>
        <w:tc>
          <w:tcPr>
            <w:tcW w:w="900" w:type="dxa"/>
          </w:tcPr>
          <w:p>
            <w:pPr>
              <w:jc w:val="center"/>
              <w:rPr>
                <w:rFonts w:ascii="宋体" w:hAnsi="宋体" w:cs="宋体"/>
                <w:color w:val="auto"/>
                <w:highlight w:val="none"/>
              </w:rPr>
            </w:pPr>
          </w:p>
        </w:tc>
        <w:tc>
          <w:tcPr>
            <w:tcW w:w="1073" w:type="dxa"/>
            <w:vAlign w:val="center"/>
          </w:tcPr>
          <w:p>
            <w:pPr>
              <w:jc w:val="center"/>
              <w:rPr>
                <w:rFonts w:ascii="宋体" w:hAnsi="宋体" w:cs="宋体"/>
                <w:color w:val="auto"/>
                <w:highlight w:val="none"/>
              </w:rPr>
            </w:pPr>
          </w:p>
        </w:tc>
        <w:tc>
          <w:tcPr>
            <w:tcW w:w="613" w:type="dxa"/>
            <w:vAlign w:val="center"/>
          </w:tcPr>
          <w:p>
            <w:pPr>
              <w:jc w:val="center"/>
              <w:rPr>
                <w:rFonts w:ascii="宋体" w:hAnsi="宋体" w:cs="宋体"/>
                <w:color w:val="auto"/>
                <w:highlight w:val="none"/>
              </w:rPr>
            </w:pPr>
          </w:p>
        </w:tc>
      </w:tr>
    </w:tbl>
    <w:p>
      <w:pPr>
        <w:spacing w:line="360" w:lineRule="auto"/>
        <w:ind w:left="292" w:leftChars="-162" w:right="-11" w:hanging="632" w:hangingChars="301"/>
        <w:rPr>
          <w:rFonts w:ascii="宋体" w:hAnsi="宋体" w:cs="宋体"/>
          <w:color w:val="auto"/>
          <w:highlight w:val="none"/>
        </w:rPr>
      </w:pPr>
      <w:r>
        <w:rPr>
          <w:rFonts w:hint="eastAsia" w:ascii="宋体" w:hAnsi="宋体" w:cs="宋体"/>
          <w:color w:val="auto"/>
          <w:highlight w:val="none"/>
        </w:rPr>
        <w:t>备注：1、本表所列仪器须附购买发票、仪器设备检定或标定证书的复印件。</w:t>
      </w:r>
    </w:p>
    <w:p>
      <w:pPr>
        <w:pStyle w:val="18"/>
        <w:adjustRightInd w:val="0"/>
        <w:snapToGrid w:val="0"/>
        <w:spacing w:line="360" w:lineRule="auto"/>
        <w:rPr>
          <w:rFonts w:hAnsi="宋体" w:cs="宋体"/>
          <w:b/>
          <w:color w:val="auto"/>
          <w:sz w:val="24"/>
          <w:highlight w:val="none"/>
        </w:rPr>
      </w:pPr>
    </w:p>
    <w:p>
      <w:pPr>
        <w:pStyle w:val="18"/>
        <w:adjustRightInd w:val="0"/>
        <w:snapToGrid w:val="0"/>
        <w:spacing w:line="360" w:lineRule="auto"/>
        <w:rPr>
          <w:rFonts w:hAnsi="宋体" w:cs="宋体"/>
          <w:b/>
          <w:color w:val="auto"/>
          <w:sz w:val="24"/>
          <w:highlight w:val="none"/>
        </w:rPr>
      </w:pPr>
    </w:p>
    <w:p>
      <w:pPr>
        <w:pStyle w:val="18"/>
        <w:adjustRightInd w:val="0"/>
        <w:snapToGrid w:val="0"/>
        <w:spacing w:line="360" w:lineRule="auto"/>
        <w:rPr>
          <w:rFonts w:hAnsi="宋体" w:cs="宋体"/>
          <w:b/>
          <w:color w:val="auto"/>
          <w:sz w:val="24"/>
          <w:highlight w:val="none"/>
        </w:rPr>
      </w:pPr>
    </w:p>
    <w:p>
      <w:pPr>
        <w:pStyle w:val="18"/>
        <w:adjustRightInd w:val="0"/>
        <w:snapToGrid w:val="0"/>
        <w:spacing w:line="360" w:lineRule="auto"/>
        <w:jc w:val="center"/>
        <w:rPr>
          <w:rFonts w:hAnsi="宋体" w:cs="宋体"/>
          <w:b/>
          <w:color w:val="auto"/>
          <w:sz w:val="24"/>
          <w:highlight w:val="none"/>
        </w:rPr>
      </w:pPr>
      <w:r>
        <w:rPr>
          <w:rFonts w:hint="eastAsia" w:hAnsi="宋体" w:cs="宋体"/>
          <w:b/>
          <w:color w:val="auto"/>
          <w:sz w:val="24"/>
          <w:highlight w:val="none"/>
        </w:rPr>
        <w:t>（6）投标单位近年（201</w:t>
      </w:r>
      <w:r>
        <w:rPr>
          <w:rFonts w:hAnsi="宋体" w:cs="宋体"/>
          <w:b/>
          <w:color w:val="auto"/>
          <w:sz w:val="24"/>
          <w:highlight w:val="none"/>
        </w:rPr>
        <w:t>9</w:t>
      </w:r>
      <w:r>
        <w:rPr>
          <w:rFonts w:hint="eastAsia" w:hAnsi="宋体" w:cs="宋体"/>
          <w:b/>
          <w:color w:val="auto"/>
          <w:sz w:val="24"/>
          <w:highlight w:val="none"/>
        </w:rPr>
        <w:t>年1月1日至投标截止时间止）检测监测业绩</w:t>
      </w:r>
    </w:p>
    <w:p>
      <w:pPr>
        <w:pStyle w:val="18"/>
        <w:adjustRightInd w:val="0"/>
        <w:snapToGrid w:val="0"/>
        <w:spacing w:line="240" w:lineRule="exact"/>
        <w:jc w:val="center"/>
        <w:rPr>
          <w:rFonts w:hAnsi="宋体" w:cs="宋体"/>
          <w:b/>
          <w:color w:val="auto"/>
          <w:sz w:val="30"/>
          <w:highlight w:val="none"/>
        </w:rPr>
      </w:pPr>
    </w:p>
    <w:tbl>
      <w:tblPr>
        <w:tblStyle w:val="29"/>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1" w:type="dxa"/>
            <w:vAlign w:val="center"/>
          </w:tcPr>
          <w:p>
            <w:pPr>
              <w:jc w:val="center"/>
              <w:rPr>
                <w:rFonts w:ascii="宋体" w:hAnsi="宋体" w:cs="宋体"/>
                <w:b/>
                <w:color w:val="auto"/>
                <w:highlight w:val="none"/>
              </w:rPr>
            </w:pPr>
            <w:r>
              <w:rPr>
                <w:rFonts w:hint="eastAsia" w:ascii="宋体" w:hAnsi="宋体" w:cs="宋体"/>
                <w:b/>
                <w:color w:val="auto"/>
                <w:highlight w:val="none"/>
              </w:rPr>
              <w:t>序号</w:t>
            </w:r>
          </w:p>
        </w:tc>
        <w:tc>
          <w:tcPr>
            <w:tcW w:w="1980" w:type="dxa"/>
            <w:vAlign w:val="center"/>
          </w:tcPr>
          <w:p>
            <w:pPr>
              <w:jc w:val="center"/>
              <w:rPr>
                <w:rFonts w:ascii="宋体" w:hAnsi="宋体" w:cs="宋体"/>
                <w:b/>
                <w:color w:val="auto"/>
                <w:highlight w:val="none"/>
              </w:rPr>
            </w:pPr>
            <w:r>
              <w:rPr>
                <w:rFonts w:hint="eastAsia" w:ascii="宋体" w:hAnsi="宋体" w:cs="宋体"/>
                <w:b/>
                <w:color w:val="auto"/>
                <w:highlight w:val="none"/>
              </w:rPr>
              <w:t>项目名称</w:t>
            </w:r>
          </w:p>
        </w:tc>
        <w:tc>
          <w:tcPr>
            <w:tcW w:w="1980" w:type="dxa"/>
            <w:vAlign w:val="center"/>
          </w:tcPr>
          <w:p>
            <w:pPr>
              <w:ind w:left="149" w:hanging="149"/>
              <w:jc w:val="center"/>
              <w:rPr>
                <w:rFonts w:ascii="宋体" w:hAnsi="宋体" w:cs="宋体"/>
                <w:b/>
                <w:color w:val="auto"/>
                <w:highlight w:val="none"/>
              </w:rPr>
            </w:pPr>
            <w:r>
              <w:rPr>
                <w:rFonts w:hint="eastAsia" w:ascii="宋体" w:hAnsi="宋体" w:cs="宋体"/>
                <w:b/>
                <w:color w:val="auto"/>
                <w:highlight w:val="none"/>
              </w:rPr>
              <w:t>工程概况</w:t>
            </w:r>
          </w:p>
        </w:tc>
        <w:tc>
          <w:tcPr>
            <w:tcW w:w="3240" w:type="dxa"/>
            <w:vAlign w:val="center"/>
          </w:tcPr>
          <w:p>
            <w:pPr>
              <w:jc w:val="center"/>
              <w:rPr>
                <w:rFonts w:ascii="宋体" w:hAnsi="宋体" w:cs="宋体"/>
                <w:b/>
                <w:color w:val="auto"/>
                <w:highlight w:val="none"/>
              </w:rPr>
            </w:pPr>
            <w:r>
              <w:rPr>
                <w:rFonts w:hint="eastAsia" w:ascii="宋体" w:hAnsi="宋体" w:cs="宋体"/>
                <w:b/>
                <w:color w:val="auto"/>
                <w:highlight w:val="none"/>
              </w:rPr>
              <w:t>试验检测项目内容</w:t>
            </w:r>
          </w:p>
        </w:tc>
        <w:tc>
          <w:tcPr>
            <w:tcW w:w="1507" w:type="dxa"/>
            <w:vAlign w:val="center"/>
          </w:tcPr>
          <w:p>
            <w:pPr>
              <w:jc w:val="center"/>
              <w:rPr>
                <w:rFonts w:ascii="宋体" w:hAnsi="宋体" w:cs="宋体"/>
                <w:b/>
                <w:color w:val="auto"/>
                <w:highlight w:val="none"/>
              </w:rPr>
            </w:pPr>
            <w:r>
              <w:rPr>
                <w:rFonts w:hint="eastAsia" w:ascii="宋体" w:hAnsi="宋体" w:cs="宋体"/>
                <w:b/>
                <w:color w:val="auto"/>
                <w:highlight w:val="none"/>
              </w:rPr>
              <w:t>业主名称、</w:t>
            </w:r>
          </w:p>
          <w:p>
            <w:pPr>
              <w:jc w:val="center"/>
              <w:rPr>
                <w:rFonts w:ascii="宋体" w:hAnsi="宋体" w:cs="宋体"/>
                <w:b/>
                <w:color w:val="auto"/>
                <w:highlight w:val="none"/>
              </w:rPr>
            </w:pPr>
            <w:r>
              <w:rPr>
                <w:rFonts w:hint="eastAsia" w:ascii="宋体" w:hAnsi="宋体" w:cs="宋体"/>
                <w:b/>
                <w:color w:val="auto"/>
                <w:highlight w:val="none"/>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761" w:type="dxa"/>
          </w:tcPr>
          <w:p>
            <w:pPr>
              <w:rPr>
                <w:rFonts w:ascii="宋体" w:hAnsi="宋体" w:cs="宋体"/>
                <w:color w:val="auto"/>
                <w:highlight w:val="none"/>
              </w:rPr>
            </w:pPr>
          </w:p>
        </w:tc>
        <w:tc>
          <w:tcPr>
            <w:tcW w:w="1980" w:type="dxa"/>
            <w:vAlign w:val="center"/>
          </w:tcPr>
          <w:p>
            <w:pPr>
              <w:rPr>
                <w:rFonts w:ascii="宋体" w:hAnsi="宋体" w:cs="宋体"/>
                <w:color w:val="auto"/>
                <w:highlight w:val="none"/>
              </w:rPr>
            </w:pPr>
          </w:p>
        </w:tc>
        <w:tc>
          <w:tcPr>
            <w:tcW w:w="1980" w:type="dxa"/>
            <w:vAlign w:val="center"/>
          </w:tcPr>
          <w:p>
            <w:pPr>
              <w:jc w:val="center"/>
              <w:rPr>
                <w:rFonts w:ascii="宋体" w:hAnsi="宋体" w:cs="宋体"/>
                <w:color w:val="auto"/>
                <w:highlight w:val="none"/>
              </w:rPr>
            </w:pPr>
          </w:p>
        </w:tc>
        <w:tc>
          <w:tcPr>
            <w:tcW w:w="3240" w:type="dxa"/>
            <w:vAlign w:val="center"/>
          </w:tcPr>
          <w:p>
            <w:pPr>
              <w:jc w:val="center"/>
              <w:rPr>
                <w:rFonts w:ascii="宋体" w:hAnsi="宋体" w:cs="宋体"/>
                <w:color w:val="auto"/>
                <w:highlight w:val="none"/>
              </w:rPr>
            </w:pPr>
          </w:p>
        </w:tc>
        <w:tc>
          <w:tcPr>
            <w:tcW w:w="1507" w:type="dxa"/>
            <w:vAlign w:val="center"/>
          </w:tcPr>
          <w:p>
            <w:pPr>
              <w:jc w:val="center"/>
              <w:rPr>
                <w:rFonts w:ascii="宋体" w:hAnsi="宋体" w:cs="宋体"/>
                <w:color w:val="auto"/>
                <w:highlight w:val="none"/>
              </w:rPr>
            </w:pPr>
          </w:p>
        </w:tc>
      </w:tr>
    </w:tbl>
    <w:p>
      <w:pPr>
        <w:rPr>
          <w:rFonts w:ascii="宋体" w:hAnsi="宋体" w:cs="宋体"/>
          <w:color w:val="auto"/>
          <w:highlight w:val="none"/>
        </w:rPr>
      </w:pPr>
      <w:r>
        <w:rPr>
          <w:rFonts w:hint="eastAsia" w:ascii="宋体" w:hAnsi="宋体" w:cs="宋体"/>
          <w:color w:val="auto"/>
          <w:highlight w:val="none"/>
        </w:rPr>
        <w:t>注： 1、业绩须按招标公告、招标文件要求附其有效证明。</w:t>
      </w:r>
    </w:p>
    <w:p>
      <w:pPr>
        <w:pStyle w:val="6"/>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104" w:name="_Toc535834523"/>
      <w:r>
        <w:rPr>
          <w:rFonts w:hint="eastAsia" w:ascii="宋体" w:hAnsi="宋体" w:eastAsia="宋体" w:cs="宋体"/>
          <w:color w:val="auto"/>
          <w:highlight w:val="none"/>
        </w:rPr>
        <w:t>九、其他资料</w:t>
      </w:r>
      <w:bookmarkEnd w:id="104"/>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如：</w:t>
      </w:r>
      <w:r>
        <w:rPr>
          <w:rFonts w:hint="eastAsia" w:ascii="宋体" w:hAnsi="宋体" w:cs="宋体"/>
          <w:color w:val="auto"/>
          <w:sz w:val="28"/>
          <w:szCs w:val="28"/>
          <w:highlight w:val="none"/>
          <w:u w:val="single"/>
        </w:rPr>
        <w:t>其他证明企业资信实力、获奖证明资料等</w:t>
      </w:r>
      <w:r>
        <w:rPr>
          <w:rFonts w:hint="eastAsia" w:ascii="宋体" w:hAnsi="宋体" w:cs="宋体"/>
          <w:color w:val="auto"/>
          <w:sz w:val="28"/>
          <w:szCs w:val="28"/>
          <w:highlight w:val="none"/>
        </w:rPr>
        <w:t>。</w:t>
      </w:r>
    </w:p>
    <w:p>
      <w:pPr>
        <w:spacing w:line="360" w:lineRule="auto"/>
        <w:ind w:firstLine="560" w:firstLineChars="200"/>
        <w:rPr>
          <w:rFonts w:ascii="宋体" w:hAnsi="宋体" w:cs="宋体"/>
          <w:color w:val="auto"/>
          <w:sz w:val="28"/>
          <w:szCs w:val="28"/>
          <w:highlight w:val="none"/>
        </w:rPr>
      </w:pPr>
    </w:p>
    <w:p>
      <w:pPr>
        <w:spacing w:line="360" w:lineRule="auto"/>
        <w:rPr>
          <w:rFonts w:ascii="宋体" w:hAnsi="宋体" w:cs="宋体"/>
          <w:color w:val="auto"/>
          <w:sz w:val="28"/>
          <w:szCs w:val="28"/>
          <w:highlight w:val="none"/>
        </w:rPr>
      </w:pPr>
    </w:p>
    <w:p>
      <w:pPr>
        <w:spacing w:line="360" w:lineRule="auto"/>
        <w:jc w:val="center"/>
        <w:rPr>
          <w:rFonts w:ascii="宋体" w:hAnsi="宋体" w:cs="宋体"/>
          <w:b/>
          <w:color w:val="auto"/>
          <w:sz w:val="28"/>
          <w:szCs w:val="28"/>
          <w:highlight w:val="none"/>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31</w:t>
                          </w:r>
                          <w:r>
                            <w:rPr>
                              <w:kern w:val="0"/>
                              <w:szCs w:val="21"/>
                            </w:rPr>
                            <w:fldChar w:fldCharType="end"/>
                          </w:r>
                          <w:r>
                            <w:rPr>
                              <w:kern w:val="0"/>
                              <w:szCs w:val="21"/>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7FI4NAA&#10;AAADAQAADwAAAAAAAAABACAAAAAiAAAAZHJzL2Rvd25yZXYueG1sUEsBAhQAFAAAAAgAh07iQBHg&#10;By7uAQAAtAMAAA4AAAAAAAAAAQAgAAAAHwEAAGRycy9lMm9Eb2MueG1sUEsFBgAAAAAGAAYAWQEA&#10;AH8FAAAAAA==&#10;">
              <v:fill on="f" focussize="0,0"/>
              <v:stroke on="f"/>
              <v:imagedata o:title=""/>
              <o:lock v:ext="edit" aspectratio="f"/>
              <v:textbox inset="0mm,0mm,0mm,0mm" style="mso-fit-shape-to-text:t;">
                <w:txbxContent>
                  <w:p>
                    <w:pPr>
                      <w:pStyle w:val="2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31</w:t>
                    </w:r>
                    <w:r>
                      <w:rPr>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8175213">
    <w:nsid w:val="6406EBED"/>
    <w:multiLevelType w:val="singleLevel"/>
    <w:tmpl w:val="6406EBED"/>
    <w:lvl w:ilvl="0" w:tentative="1">
      <w:start w:val="1"/>
      <w:numFmt w:val="decimal"/>
      <w:suff w:val="nothing"/>
      <w:lvlText w:val="%1、"/>
      <w:lvlJc w:val="left"/>
      <w:pPr>
        <w:ind w:left="0" w:firstLine="0"/>
      </w:pPr>
    </w:lvl>
  </w:abstractNum>
  <w:num w:numId="1">
    <w:abstractNumId w:val="16781752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yNzY0MmNkOGY0MjNhYTM3YTZkZGZiNGRkYjlkM2EifQ=="/>
  </w:docVars>
  <w:rsids>
    <w:rsidRoot w:val="00E03282"/>
    <w:rsid w:val="00001D61"/>
    <w:rsid w:val="00002BA1"/>
    <w:rsid w:val="00014329"/>
    <w:rsid w:val="00014646"/>
    <w:rsid w:val="000151DA"/>
    <w:rsid w:val="00016B16"/>
    <w:rsid w:val="00017FF8"/>
    <w:rsid w:val="000204D4"/>
    <w:rsid w:val="0002291F"/>
    <w:rsid w:val="00023448"/>
    <w:rsid w:val="00025A06"/>
    <w:rsid w:val="00026650"/>
    <w:rsid w:val="00032524"/>
    <w:rsid w:val="0003711C"/>
    <w:rsid w:val="000477ED"/>
    <w:rsid w:val="00066724"/>
    <w:rsid w:val="000673B3"/>
    <w:rsid w:val="00073233"/>
    <w:rsid w:val="000740BC"/>
    <w:rsid w:val="00081477"/>
    <w:rsid w:val="000845DA"/>
    <w:rsid w:val="000845E6"/>
    <w:rsid w:val="000A34BD"/>
    <w:rsid w:val="000B7EC2"/>
    <w:rsid w:val="000C1627"/>
    <w:rsid w:val="000D73C1"/>
    <w:rsid w:val="000E00AF"/>
    <w:rsid w:val="000E7F06"/>
    <w:rsid w:val="000F0DBF"/>
    <w:rsid w:val="000F3FA0"/>
    <w:rsid w:val="000F47FC"/>
    <w:rsid w:val="000F7DDE"/>
    <w:rsid w:val="00100626"/>
    <w:rsid w:val="001020BB"/>
    <w:rsid w:val="00104661"/>
    <w:rsid w:val="001059F7"/>
    <w:rsid w:val="001102DD"/>
    <w:rsid w:val="00113352"/>
    <w:rsid w:val="001169DC"/>
    <w:rsid w:val="00130897"/>
    <w:rsid w:val="00133834"/>
    <w:rsid w:val="001350AC"/>
    <w:rsid w:val="00141FE7"/>
    <w:rsid w:val="00145BFF"/>
    <w:rsid w:val="00151715"/>
    <w:rsid w:val="0015173D"/>
    <w:rsid w:val="00165A93"/>
    <w:rsid w:val="00167193"/>
    <w:rsid w:val="00180D9C"/>
    <w:rsid w:val="00182920"/>
    <w:rsid w:val="00183832"/>
    <w:rsid w:val="00186300"/>
    <w:rsid w:val="0018662F"/>
    <w:rsid w:val="0019256A"/>
    <w:rsid w:val="001936F7"/>
    <w:rsid w:val="001A558C"/>
    <w:rsid w:val="001B590E"/>
    <w:rsid w:val="001D2F93"/>
    <w:rsid w:val="001F14D8"/>
    <w:rsid w:val="001F510F"/>
    <w:rsid w:val="001F5D52"/>
    <w:rsid w:val="001F624A"/>
    <w:rsid w:val="00205B8C"/>
    <w:rsid w:val="00207D2F"/>
    <w:rsid w:val="00223ECA"/>
    <w:rsid w:val="002275E6"/>
    <w:rsid w:val="002301FD"/>
    <w:rsid w:val="00247387"/>
    <w:rsid w:val="002546F6"/>
    <w:rsid w:val="00256F1B"/>
    <w:rsid w:val="00257930"/>
    <w:rsid w:val="00266201"/>
    <w:rsid w:val="00274A98"/>
    <w:rsid w:val="00282C14"/>
    <w:rsid w:val="002A18D9"/>
    <w:rsid w:val="002A285B"/>
    <w:rsid w:val="002A6481"/>
    <w:rsid w:val="002C000A"/>
    <w:rsid w:val="002C08F4"/>
    <w:rsid w:val="002D261F"/>
    <w:rsid w:val="002D3F91"/>
    <w:rsid w:val="002E1823"/>
    <w:rsid w:val="002F4914"/>
    <w:rsid w:val="002F4CB3"/>
    <w:rsid w:val="0030160B"/>
    <w:rsid w:val="003048DA"/>
    <w:rsid w:val="00307663"/>
    <w:rsid w:val="0031188D"/>
    <w:rsid w:val="00313B41"/>
    <w:rsid w:val="00322199"/>
    <w:rsid w:val="00330BA0"/>
    <w:rsid w:val="00330E56"/>
    <w:rsid w:val="00332750"/>
    <w:rsid w:val="0034348D"/>
    <w:rsid w:val="003479D5"/>
    <w:rsid w:val="00352A3C"/>
    <w:rsid w:val="00356CF0"/>
    <w:rsid w:val="00361428"/>
    <w:rsid w:val="003632ED"/>
    <w:rsid w:val="003648D8"/>
    <w:rsid w:val="00366BC7"/>
    <w:rsid w:val="003701BA"/>
    <w:rsid w:val="00374149"/>
    <w:rsid w:val="00375353"/>
    <w:rsid w:val="003759DF"/>
    <w:rsid w:val="0038737A"/>
    <w:rsid w:val="00390847"/>
    <w:rsid w:val="00395198"/>
    <w:rsid w:val="003A02D3"/>
    <w:rsid w:val="003A30C9"/>
    <w:rsid w:val="003B3683"/>
    <w:rsid w:val="003C7DEF"/>
    <w:rsid w:val="003D0D40"/>
    <w:rsid w:val="003D12D9"/>
    <w:rsid w:val="003D3C4E"/>
    <w:rsid w:val="003E0D97"/>
    <w:rsid w:val="003E5193"/>
    <w:rsid w:val="003F3832"/>
    <w:rsid w:val="003F664F"/>
    <w:rsid w:val="003F6854"/>
    <w:rsid w:val="00407066"/>
    <w:rsid w:val="00412058"/>
    <w:rsid w:val="00432AAA"/>
    <w:rsid w:val="00432B23"/>
    <w:rsid w:val="004334BC"/>
    <w:rsid w:val="00435151"/>
    <w:rsid w:val="004356B3"/>
    <w:rsid w:val="00437D85"/>
    <w:rsid w:val="004437FF"/>
    <w:rsid w:val="00443F5C"/>
    <w:rsid w:val="00446CB0"/>
    <w:rsid w:val="00465A48"/>
    <w:rsid w:val="00481930"/>
    <w:rsid w:val="00490D9C"/>
    <w:rsid w:val="004930B5"/>
    <w:rsid w:val="00493FC2"/>
    <w:rsid w:val="004A23DD"/>
    <w:rsid w:val="004A5D10"/>
    <w:rsid w:val="004B518E"/>
    <w:rsid w:val="004B5E84"/>
    <w:rsid w:val="004B6F17"/>
    <w:rsid w:val="004C3CEA"/>
    <w:rsid w:val="004D12A7"/>
    <w:rsid w:val="004E4709"/>
    <w:rsid w:val="004F702E"/>
    <w:rsid w:val="004F7B97"/>
    <w:rsid w:val="00500F99"/>
    <w:rsid w:val="00504617"/>
    <w:rsid w:val="00517E2C"/>
    <w:rsid w:val="0052084A"/>
    <w:rsid w:val="00520B28"/>
    <w:rsid w:val="005249B2"/>
    <w:rsid w:val="00525BA3"/>
    <w:rsid w:val="00531967"/>
    <w:rsid w:val="00535A15"/>
    <w:rsid w:val="00540117"/>
    <w:rsid w:val="00542539"/>
    <w:rsid w:val="00554C69"/>
    <w:rsid w:val="00557B2E"/>
    <w:rsid w:val="00557D71"/>
    <w:rsid w:val="00562F87"/>
    <w:rsid w:val="005711F1"/>
    <w:rsid w:val="00583073"/>
    <w:rsid w:val="005836A1"/>
    <w:rsid w:val="00585396"/>
    <w:rsid w:val="00591CA5"/>
    <w:rsid w:val="00594901"/>
    <w:rsid w:val="00595CF0"/>
    <w:rsid w:val="00597736"/>
    <w:rsid w:val="005B1FF2"/>
    <w:rsid w:val="005B29B3"/>
    <w:rsid w:val="005B4663"/>
    <w:rsid w:val="005B5D01"/>
    <w:rsid w:val="005C2737"/>
    <w:rsid w:val="005C3A6D"/>
    <w:rsid w:val="005D15B4"/>
    <w:rsid w:val="005D27D3"/>
    <w:rsid w:val="005D7964"/>
    <w:rsid w:val="005D7C5D"/>
    <w:rsid w:val="005E16F0"/>
    <w:rsid w:val="005E25A2"/>
    <w:rsid w:val="005E2BE2"/>
    <w:rsid w:val="005E3B62"/>
    <w:rsid w:val="005E4F64"/>
    <w:rsid w:val="005F3510"/>
    <w:rsid w:val="00602469"/>
    <w:rsid w:val="0060264C"/>
    <w:rsid w:val="00605467"/>
    <w:rsid w:val="006137C1"/>
    <w:rsid w:val="006163A4"/>
    <w:rsid w:val="00622D51"/>
    <w:rsid w:val="00622F26"/>
    <w:rsid w:val="0062574D"/>
    <w:rsid w:val="00627192"/>
    <w:rsid w:val="00627BD6"/>
    <w:rsid w:val="0063156A"/>
    <w:rsid w:val="00632D3E"/>
    <w:rsid w:val="00636B42"/>
    <w:rsid w:val="00643706"/>
    <w:rsid w:val="00644DB3"/>
    <w:rsid w:val="0065283B"/>
    <w:rsid w:val="00654DDE"/>
    <w:rsid w:val="0065514D"/>
    <w:rsid w:val="00655A78"/>
    <w:rsid w:val="00660B7A"/>
    <w:rsid w:val="006655FE"/>
    <w:rsid w:val="00673881"/>
    <w:rsid w:val="00674649"/>
    <w:rsid w:val="00675638"/>
    <w:rsid w:val="006A49AF"/>
    <w:rsid w:val="006A7E36"/>
    <w:rsid w:val="006B21EA"/>
    <w:rsid w:val="006B372C"/>
    <w:rsid w:val="006C218E"/>
    <w:rsid w:val="006C795D"/>
    <w:rsid w:val="006D210C"/>
    <w:rsid w:val="006D32A0"/>
    <w:rsid w:val="006D6654"/>
    <w:rsid w:val="006E3DFF"/>
    <w:rsid w:val="006E43A2"/>
    <w:rsid w:val="006E43DA"/>
    <w:rsid w:val="006E52DA"/>
    <w:rsid w:val="006E5BAB"/>
    <w:rsid w:val="006F203F"/>
    <w:rsid w:val="006F6DB7"/>
    <w:rsid w:val="006F71F5"/>
    <w:rsid w:val="00712A34"/>
    <w:rsid w:val="00713FE2"/>
    <w:rsid w:val="007214F6"/>
    <w:rsid w:val="00722969"/>
    <w:rsid w:val="0072435E"/>
    <w:rsid w:val="00726A04"/>
    <w:rsid w:val="00732CF7"/>
    <w:rsid w:val="00733FC2"/>
    <w:rsid w:val="00753E67"/>
    <w:rsid w:val="0076125E"/>
    <w:rsid w:val="00761283"/>
    <w:rsid w:val="00761E5D"/>
    <w:rsid w:val="00790501"/>
    <w:rsid w:val="007A276D"/>
    <w:rsid w:val="007A4696"/>
    <w:rsid w:val="007B0296"/>
    <w:rsid w:val="007B18B7"/>
    <w:rsid w:val="007B2CCF"/>
    <w:rsid w:val="007C7910"/>
    <w:rsid w:val="007D0059"/>
    <w:rsid w:val="007D071E"/>
    <w:rsid w:val="007D07C0"/>
    <w:rsid w:val="007D09BC"/>
    <w:rsid w:val="007E0649"/>
    <w:rsid w:val="007E072E"/>
    <w:rsid w:val="007E6906"/>
    <w:rsid w:val="00803EA2"/>
    <w:rsid w:val="008044D7"/>
    <w:rsid w:val="00804802"/>
    <w:rsid w:val="00804A4F"/>
    <w:rsid w:val="00811F3C"/>
    <w:rsid w:val="00812E53"/>
    <w:rsid w:val="00814218"/>
    <w:rsid w:val="00823259"/>
    <w:rsid w:val="0082539D"/>
    <w:rsid w:val="0082544F"/>
    <w:rsid w:val="00827B66"/>
    <w:rsid w:val="00833540"/>
    <w:rsid w:val="008409F9"/>
    <w:rsid w:val="008412D1"/>
    <w:rsid w:val="008430BA"/>
    <w:rsid w:val="00847E07"/>
    <w:rsid w:val="00850B18"/>
    <w:rsid w:val="008546FC"/>
    <w:rsid w:val="0085676A"/>
    <w:rsid w:val="00860A09"/>
    <w:rsid w:val="008622EA"/>
    <w:rsid w:val="00862A3B"/>
    <w:rsid w:val="00863EA1"/>
    <w:rsid w:val="00865C91"/>
    <w:rsid w:val="008845DC"/>
    <w:rsid w:val="00884DD9"/>
    <w:rsid w:val="0088585B"/>
    <w:rsid w:val="00886BC0"/>
    <w:rsid w:val="00891697"/>
    <w:rsid w:val="0089703E"/>
    <w:rsid w:val="008B1567"/>
    <w:rsid w:val="008B3A3F"/>
    <w:rsid w:val="008C043D"/>
    <w:rsid w:val="008C1134"/>
    <w:rsid w:val="008C1761"/>
    <w:rsid w:val="008C17C5"/>
    <w:rsid w:val="008C4121"/>
    <w:rsid w:val="008D1A7E"/>
    <w:rsid w:val="008D26F9"/>
    <w:rsid w:val="008E1E3C"/>
    <w:rsid w:val="008F04E1"/>
    <w:rsid w:val="00902615"/>
    <w:rsid w:val="009042A4"/>
    <w:rsid w:val="00912A34"/>
    <w:rsid w:val="00913B58"/>
    <w:rsid w:val="00914956"/>
    <w:rsid w:val="00914D86"/>
    <w:rsid w:val="00925BC6"/>
    <w:rsid w:val="00943019"/>
    <w:rsid w:val="00947920"/>
    <w:rsid w:val="00957918"/>
    <w:rsid w:val="0096427F"/>
    <w:rsid w:val="009648CA"/>
    <w:rsid w:val="0096598F"/>
    <w:rsid w:val="00967C31"/>
    <w:rsid w:val="00972094"/>
    <w:rsid w:val="009775AD"/>
    <w:rsid w:val="009809CD"/>
    <w:rsid w:val="009809FB"/>
    <w:rsid w:val="00980DF1"/>
    <w:rsid w:val="00985C33"/>
    <w:rsid w:val="00985E36"/>
    <w:rsid w:val="00986087"/>
    <w:rsid w:val="00995CBE"/>
    <w:rsid w:val="00996975"/>
    <w:rsid w:val="009A263C"/>
    <w:rsid w:val="009A36E4"/>
    <w:rsid w:val="009A4000"/>
    <w:rsid w:val="009B15BF"/>
    <w:rsid w:val="009B5D3B"/>
    <w:rsid w:val="009C2E9A"/>
    <w:rsid w:val="009D6866"/>
    <w:rsid w:val="009E10BB"/>
    <w:rsid w:val="009E51CA"/>
    <w:rsid w:val="009F0B8B"/>
    <w:rsid w:val="009F469D"/>
    <w:rsid w:val="009F4E4E"/>
    <w:rsid w:val="009F5FF6"/>
    <w:rsid w:val="00A01E0B"/>
    <w:rsid w:val="00A066F7"/>
    <w:rsid w:val="00A072D6"/>
    <w:rsid w:val="00A116EC"/>
    <w:rsid w:val="00A13DF1"/>
    <w:rsid w:val="00A16F4A"/>
    <w:rsid w:val="00A20339"/>
    <w:rsid w:val="00A20D8C"/>
    <w:rsid w:val="00A25E2F"/>
    <w:rsid w:val="00A31FB1"/>
    <w:rsid w:val="00A36486"/>
    <w:rsid w:val="00A429BD"/>
    <w:rsid w:val="00A519F1"/>
    <w:rsid w:val="00A627AC"/>
    <w:rsid w:val="00A62A7B"/>
    <w:rsid w:val="00A67371"/>
    <w:rsid w:val="00A7099D"/>
    <w:rsid w:val="00A72661"/>
    <w:rsid w:val="00A828B7"/>
    <w:rsid w:val="00A8748A"/>
    <w:rsid w:val="00A87B8B"/>
    <w:rsid w:val="00A90116"/>
    <w:rsid w:val="00A91EB0"/>
    <w:rsid w:val="00A93B13"/>
    <w:rsid w:val="00A94BED"/>
    <w:rsid w:val="00A94C09"/>
    <w:rsid w:val="00AB601B"/>
    <w:rsid w:val="00AC1D5C"/>
    <w:rsid w:val="00AC40A1"/>
    <w:rsid w:val="00AD30CF"/>
    <w:rsid w:val="00AE0B30"/>
    <w:rsid w:val="00AE1E67"/>
    <w:rsid w:val="00AE2670"/>
    <w:rsid w:val="00AE2794"/>
    <w:rsid w:val="00AE34AD"/>
    <w:rsid w:val="00AE6459"/>
    <w:rsid w:val="00AF4A97"/>
    <w:rsid w:val="00AF4E15"/>
    <w:rsid w:val="00AF6CC3"/>
    <w:rsid w:val="00B00EA3"/>
    <w:rsid w:val="00B03D13"/>
    <w:rsid w:val="00B056DE"/>
    <w:rsid w:val="00B05E26"/>
    <w:rsid w:val="00B1197E"/>
    <w:rsid w:val="00B12AB7"/>
    <w:rsid w:val="00B1672C"/>
    <w:rsid w:val="00B169EE"/>
    <w:rsid w:val="00B21B21"/>
    <w:rsid w:val="00B246C6"/>
    <w:rsid w:val="00B24BA2"/>
    <w:rsid w:val="00B359CE"/>
    <w:rsid w:val="00B36472"/>
    <w:rsid w:val="00B368E0"/>
    <w:rsid w:val="00B3695F"/>
    <w:rsid w:val="00B37EAC"/>
    <w:rsid w:val="00B404FB"/>
    <w:rsid w:val="00B44F44"/>
    <w:rsid w:val="00B45F33"/>
    <w:rsid w:val="00B51113"/>
    <w:rsid w:val="00B51A5A"/>
    <w:rsid w:val="00B529FB"/>
    <w:rsid w:val="00B63E0B"/>
    <w:rsid w:val="00B6449B"/>
    <w:rsid w:val="00B7253B"/>
    <w:rsid w:val="00B728BB"/>
    <w:rsid w:val="00B75EB2"/>
    <w:rsid w:val="00B77FE4"/>
    <w:rsid w:val="00B901D5"/>
    <w:rsid w:val="00BA34C9"/>
    <w:rsid w:val="00BA73AD"/>
    <w:rsid w:val="00BA7CC1"/>
    <w:rsid w:val="00BB3E0F"/>
    <w:rsid w:val="00BB5DC5"/>
    <w:rsid w:val="00BB624E"/>
    <w:rsid w:val="00BB7349"/>
    <w:rsid w:val="00BC1047"/>
    <w:rsid w:val="00BC388F"/>
    <w:rsid w:val="00BC7234"/>
    <w:rsid w:val="00BC77E6"/>
    <w:rsid w:val="00BD1E06"/>
    <w:rsid w:val="00BD45C1"/>
    <w:rsid w:val="00BD4697"/>
    <w:rsid w:val="00BE674E"/>
    <w:rsid w:val="00BE753A"/>
    <w:rsid w:val="00BF0604"/>
    <w:rsid w:val="00BF2EC1"/>
    <w:rsid w:val="00BF6180"/>
    <w:rsid w:val="00BF631D"/>
    <w:rsid w:val="00C0653E"/>
    <w:rsid w:val="00C1432D"/>
    <w:rsid w:val="00C20C07"/>
    <w:rsid w:val="00C25AD2"/>
    <w:rsid w:val="00C2670E"/>
    <w:rsid w:val="00C26BB8"/>
    <w:rsid w:val="00C400A4"/>
    <w:rsid w:val="00C416B4"/>
    <w:rsid w:val="00C45ECF"/>
    <w:rsid w:val="00C4603B"/>
    <w:rsid w:val="00C52635"/>
    <w:rsid w:val="00C55B16"/>
    <w:rsid w:val="00C728C2"/>
    <w:rsid w:val="00C82F36"/>
    <w:rsid w:val="00C8558C"/>
    <w:rsid w:val="00C85D4C"/>
    <w:rsid w:val="00C926E2"/>
    <w:rsid w:val="00C9626F"/>
    <w:rsid w:val="00CA648C"/>
    <w:rsid w:val="00CA6A5F"/>
    <w:rsid w:val="00CB006F"/>
    <w:rsid w:val="00CB4AFB"/>
    <w:rsid w:val="00CB6223"/>
    <w:rsid w:val="00CC32B0"/>
    <w:rsid w:val="00CC41DC"/>
    <w:rsid w:val="00CD48AF"/>
    <w:rsid w:val="00CD73C8"/>
    <w:rsid w:val="00CF1ABF"/>
    <w:rsid w:val="00D064F9"/>
    <w:rsid w:val="00D14F68"/>
    <w:rsid w:val="00D164EC"/>
    <w:rsid w:val="00D22848"/>
    <w:rsid w:val="00D26146"/>
    <w:rsid w:val="00D34656"/>
    <w:rsid w:val="00D34ADA"/>
    <w:rsid w:val="00D35FA7"/>
    <w:rsid w:val="00D37E51"/>
    <w:rsid w:val="00D434DC"/>
    <w:rsid w:val="00D519FD"/>
    <w:rsid w:val="00D601C2"/>
    <w:rsid w:val="00D738FE"/>
    <w:rsid w:val="00D75BC6"/>
    <w:rsid w:val="00D8298D"/>
    <w:rsid w:val="00D85332"/>
    <w:rsid w:val="00D9258F"/>
    <w:rsid w:val="00D930E0"/>
    <w:rsid w:val="00D959AF"/>
    <w:rsid w:val="00DA0B2E"/>
    <w:rsid w:val="00DA4B81"/>
    <w:rsid w:val="00DB1D46"/>
    <w:rsid w:val="00DC34CF"/>
    <w:rsid w:val="00DD21BB"/>
    <w:rsid w:val="00DD3582"/>
    <w:rsid w:val="00DD3ACD"/>
    <w:rsid w:val="00DD63FF"/>
    <w:rsid w:val="00DE4CD5"/>
    <w:rsid w:val="00DE71C0"/>
    <w:rsid w:val="00DF3019"/>
    <w:rsid w:val="00DF3FA8"/>
    <w:rsid w:val="00DF5A42"/>
    <w:rsid w:val="00E03282"/>
    <w:rsid w:val="00E06C2E"/>
    <w:rsid w:val="00E10A2C"/>
    <w:rsid w:val="00E13281"/>
    <w:rsid w:val="00E14D3B"/>
    <w:rsid w:val="00E17821"/>
    <w:rsid w:val="00E22BCB"/>
    <w:rsid w:val="00E27BB7"/>
    <w:rsid w:val="00E312FE"/>
    <w:rsid w:val="00E32E89"/>
    <w:rsid w:val="00E35205"/>
    <w:rsid w:val="00E5214E"/>
    <w:rsid w:val="00E63EEB"/>
    <w:rsid w:val="00E75F92"/>
    <w:rsid w:val="00E77259"/>
    <w:rsid w:val="00E8485C"/>
    <w:rsid w:val="00E9223A"/>
    <w:rsid w:val="00E92692"/>
    <w:rsid w:val="00EA07CE"/>
    <w:rsid w:val="00EB05EC"/>
    <w:rsid w:val="00EB435E"/>
    <w:rsid w:val="00EB4F18"/>
    <w:rsid w:val="00EC36E2"/>
    <w:rsid w:val="00EC4F93"/>
    <w:rsid w:val="00EC5844"/>
    <w:rsid w:val="00ED1905"/>
    <w:rsid w:val="00ED2C3D"/>
    <w:rsid w:val="00EE0044"/>
    <w:rsid w:val="00EF354B"/>
    <w:rsid w:val="00EF7E7D"/>
    <w:rsid w:val="00F05AFE"/>
    <w:rsid w:val="00F06F08"/>
    <w:rsid w:val="00F13044"/>
    <w:rsid w:val="00F13531"/>
    <w:rsid w:val="00F23681"/>
    <w:rsid w:val="00F24F3D"/>
    <w:rsid w:val="00F35439"/>
    <w:rsid w:val="00F44435"/>
    <w:rsid w:val="00F60647"/>
    <w:rsid w:val="00F618AE"/>
    <w:rsid w:val="00F62922"/>
    <w:rsid w:val="00F654D5"/>
    <w:rsid w:val="00F72FA9"/>
    <w:rsid w:val="00F74811"/>
    <w:rsid w:val="00F77771"/>
    <w:rsid w:val="00F84CE1"/>
    <w:rsid w:val="00FA1EF1"/>
    <w:rsid w:val="00FA6475"/>
    <w:rsid w:val="00FA6AC9"/>
    <w:rsid w:val="00FA7DBD"/>
    <w:rsid w:val="00FB3206"/>
    <w:rsid w:val="00FB388D"/>
    <w:rsid w:val="00FB4512"/>
    <w:rsid w:val="00FC5659"/>
    <w:rsid w:val="00FC6242"/>
    <w:rsid w:val="00FC6252"/>
    <w:rsid w:val="00FD62D5"/>
    <w:rsid w:val="00FE7F3F"/>
    <w:rsid w:val="00FF0042"/>
    <w:rsid w:val="00FF11F5"/>
    <w:rsid w:val="00FF6FD3"/>
    <w:rsid w:val="013336F4"/>
    <w:rsid w:val="013A6966"/>
    <w:rsid w:val="015245DE"/>
    <w:rsid w:val="01E07270"/>
    <w:rsid w:val="020629BD"/>
    <w:rsid w:val="023B1E28"/>
    <w:rsid w:val="027037DE"/>
    <w:rsid w:val="0270686F"/>
    <w:rsid w:val="0272577B"/>
    <w:rsid w:val="03394157"/>
    <w:rsid w:val="037962B5"/>
    <w:rsid w:val="03C2588D"/>
    <w:rsid w:val="03E37E2A"/>
    <w:rsid w:val="041D5FD9"/>
    <w:rsid w:val="045574B1"/>
    <w:rsid w:val="048602CF"/>
    <w:rsid w:val="04952A87"/>
    <w:rsid w:val="04A159A5"/>
    <w:rsid w:val="05077DA0"/>
    <w:rsid w:val="050A70A6"/>
    <w:rsid w:val="052A5041"/>
    <w:rsid w:val="0537206E"/>
    <w:rsid w:val="053C307B"/>
    <w:rsid w:val="05A122C4"/>
    <w:rsid w:val="05AD3C2E"/>
    <w:rsid w:val="061F57B1"/>
    <w:rsid w:val="06324F81"/>
    <w:rsid w:val="063E74D0"/>
    <w:rsid w:val="068C79F0"/>
    <w:rsid w:val="06C8605B"/>
    <w:rsid w:val="06ED04BF"/>
    <w:rsid w:val="07141C5D"/>
    <w:rsid w:val="075B2AF6"/>
    <w:rsid w:val="07AC6AF9"/>
    <w:rsid w:val="07D50631"/>
    <w:rsid w:val="08033CC2"/>
    <w:rsid w:val="08560F6B"/>
    <w:rsid w:val="085A692A"/>
    <w:rsid w:val="08830432"/>
    <w:rsid w:val="088C5F3C"/>
    <w:rsid w:val="089776F6"/>
    <w:rsid w:val="08BD7BD6"/>
    <w:rsid w:val="08F24AA4"/>
    <w:rsid w:val="091B6929"/>
    <w:rsid w:val="09327BB8"/>
    <w:rsid w:val="0A613722"/>
    <w:rsid w:val="0A687128"/>
    <w:rsid w:val="0A6D7B38"/>
    <w:rsid w:val="0A912154"/>
    <w:rsid w:val="0AE23EA3"/>
    <w:rsid w:val="0B8B7177"/>
    <w:rsid w:val="0BF021AB"/>
    <w:rsid w:val="0C8D4F35"/>
    <w:rsid w:val="0CAD038C"/>
    <w:rsid w:val="0CBF331B"/>
    <w:rsid w:val="0CC739F9"/>
    <w:rsid w:val="0D170DFA"/>
    <w:rsid w:val="0D31053A"/>
    <w:rsid w:val="0D481196"/>
    <w:rsid w:val="0D82679D"/>
    <w:rsid w:val="0DB11ACB"/>
    <w:rsid w:val="0DB17593"/>
    <w:rsid w:val="0DB811E3"/>
    <w:rsid w:val="0DB81A96"/>
    <w:rsid w:val="0DCC18FB"/>
    <w:rsid w:val="0DF963FB"/>
    <w:rsid w:val="0E0C745E"/>
    <w:rsid w:val="0E3B2041"/>
    <w:rsid w:val="0E5606CB"/>
    <w:rsid w:val="0E7A4429"/>
    <w:rsid w:val="0EC07255"/>
    <w:rsid w:val="0ECF3C88"/>
    <w:rsid w:val="0EF605DB"/>
    <w:rsid w:val="0F1734DF"/>
    <w:rsid w:val="0F317E58"/>
    <w:rsid w:val="0F4472EA"/>
    <w:rsid w:val="100622CA"/>
    <w:rsid w:val="102E35D8"/>
    <w:rsid w:val="104226C6"/>
    <w:rsid w:val="10686EC1"/>
    <w:rsid w:val="10841B04"/>
    <w:rsid w:val="10CA6EB6"/>
    <w:rsid w:val="10D44614"/>
    <w:rsid w:val="10DD6B53"/>
    <w:rsid w:val="10E80AC3"/>
    <w:rsid w:val="10FB5324"/>
    <w:rsid w:val="111E3612"/>
    <w:rsid w:val="11517207"/>
    <w:rsid w:val="12285F13"/>
    <w:rsid w:val="12324AF1"/>
    <w:rsid w:val="1297642B"/>
    <w:rsid w:val="12F33E2C"/>
    <w:rsid w:val="13031B8F"/>
    <w:rsid w:val="13637B39"/>
    <w:rsid w:val="139F2899"/>
    <w:rsid w:val="13C97816"/>
    <w:rsid w:val="13DF333D"/>
    <w:rsid w:val="13EE1CEA"/>
    <w:rsid w:val="14057522"/>
    <w:rsid w:val="14453C61"/>
    <w:rsid w:val="14FE488F"/>
    <w:rsid w:val="16300397"/>
    <w:rsid w:val="16454A4B"/>
    <w:rsid w:val="16DD3A13"/>
    <w:rsid w:val="17487280"/>
    <w:rsid w:val="17503021"/>
    <w:rsid w:val="175935AC"/>
    <w:rsid w:val="178E6FED"/>
    <w:rsid w:val="17C31800"/>
    <w:rsid w:val="17DB4F6C"/>
    <w:rsid w:val="17F47F3B"/>
    <w:rsid w:val="18144B1C"/>
    <w:rsid w:val="18741877"/>
    <w:rsid w:val="18CD4D1B"/>
    <w:rsid w:val="1A28012D"/>
    <w:rsid w:val="1A3307A8"/>
    <w:rsid w:val="1A606300"/>
    <w:rsid w:val="1ADD7811"/>
    <w:rsid w:val="1B3733BC"/>
    <w:rsid w:val="1B40372A"/>
    <w:rsid w:val="1B542367"/>
    <w:rsid w:val="1B636EA3"/>
    <w:rsid w:val="1BAF1D5E"/>
    <w:rsid w:val="1BD81BD5"/>
    <w:rsid w:val="1BDC0F37"/>
    <w:rsid w:val="1BE028EB"/>
    <w:rsid w:val="1C23439C"/>
    <w:rsid w:val="1C343FE3"/>
    <w:rsid w:val="1C686C3A"/>
    <w:rsid w:val="1CB2707E"/>
    <w:rsid w:val="1CEF63EF"/>
    <w:rsid w:val="1D1F41D4"/>
    <w:rsid w:val="1DE50242"/>
    <w:rsid w:val="1DE603F4"/>
    <w:rsid w:val="1E185CF2"/>
    <w:rsid w:val="1EA17B62"/>
    <w:rsid w:val="1EC9360B"/>
    <w:rsid w:val="1EDE07A5"/>
    <w:rsid w:val="1F0C2434"/>
    <w:rsid w:val="1F243E19"/>
    <w:rsid w:val="1FB932B7"/>
    <w:rsid w:val="1FD30EDB"/>
    <w:rsid w:val="20391517"/>
    <w:rsid w:val="20DA2E11"/>
    <w:rsid w:val="20F555F4"/>
    <w:rsid w:val="210F67D9"/>
    <w:rsid w:val="215D070C"/>
    <w:rsid w:val="21807CBC"/>
    <w:rsid w:val="21C37844"/>
    <w:rsid w:val="21D36D31"/>
    <w:rsid w:val="224C5840"/>
    <w:rsid w:val="22613E3C"/>
    <w:rsid w:val="22680A80"/>
    <w:rsid w:val="22F12418"/>
    <w:rsid w:val="2309723A"/>
    <w:rsid w:val="235D1922"/>
    <w:rsid w:val="24256854"/>
    <w:rsid w:val="247747CB"/>
    <w:rsid w:val="247A5B8E"/>
    <w:rsid w:val="24AF7158"/>
    <w:rsid w:val="24B40A0A"/>
    <w:rsid w:val="24C23025"/>
    <w:rsid w:val="24D347CB"/>
    <w:rsid w:val="251158CB"/>
    <w:rsid w:val="25190294"/>
    <w:rsid w:val="253103A4"/>
    <w:rsid w:val="253F6AE1"/>
    <w:rsid w:val="254214C1"/>
    <w:rsid w:val="256449AB"/>
    <w:rsid w:val="258A193F"/>
    <w:rsid w:val="25C975EA"/>
    <w:rsid w:val="25D02522"/>
    <w:rsid w:val="25F84666"/>
    <w:rsid w:val="26331411"/>
    <w:rsid w:val="26555AAA"/>
    <w:rsid w:val="268A4D3E"/>
    <w:rsid w:val="269869D9"/>
    <w:rsid w:val="275F3D89"/>
    <w:rsid w:val="27814340"/>
    <w:rsid w:val="279F3F18"/>
    <w:rsid w:val="27C0759B"/>
    <w:rsid w:val="27DE2581"/>
    <w:rsid w:val="280E6221"/>
    <w:rsid w:val="288C6F20"/>
    <w:rsid w:val="28D01566"/>
    <w:rsid w:val="29776F74"/>
    <w:rsid w:val="29C65E46"/>
    <w:rsid w:val="2A175302"/>
    <w:rsid w:val="2A1F3E30"/>
    <w:rsid w:val="2A4C38D5"/>
    <w:rsid w:val="2A7359E2"/>
    <w:rsid w:val="2A8A4A3C"/>
    <w:rsid w:val="2A9717F7"/>
    <w:rsid w:val="2AC91B88"/>
    <w:rsid w:val="2AD92D13"/>
    <w:rsid w:val="2AEC2F75"/>
    <w:rsid w:val="2B3138C5"/>
    <w:rsid w:val="2B333361"/>
    <w:rsid w:val="2B3740CD"/>
    <w:rsid w:val="2B4C3DF8"/>
    <w:rsid w:val="2B791F6E"/>
    <w:rsid w:val="2B7E11CB"/>
    <w:rsid w:val="2BCA27DC"/>
    <w:rsid w:val="2BCD0BE9"/>
    <w:rsid w:val="2BD8757E"/>
    <w:rsid w:val="2BEE5558"/>
    <w:rsid w:val="2C0B1126"/>
    <w:rsid w:val="2C376F0D"/>
    <w:rsid w:val="2C4A0EB1"/>
    <w:rsid w:val="2C4B5C53"/>
    <w:rsid w:val="2C7F4B02"/>
    <w:rsid w:val="2C966281"/>
    <w:rsid w:val="2CAC3382"/>
    <w:rsid w:val="2CC72D41"/>
    <w:rsid w:val="2D0C1FB9"/>
    <w:rsid w:val="2D55109F"/>
    <w:rsid w:val="2DC050BD"/>
    <w:rsid w:val="2E0368C4"/>
    <w:rsid w:val="2E0D2B51"/>
    <w:rsid w:val="2E4A74B8"/>
    <w:rsid w:val="2E607B64"/>
    <w:rsid w:val="2F1667EA"/>
    <w:rsid w:val="2F3C1B3B"/>
    <w:rsid w:val="2F806AB7"/>
    <w:rsid w:val="305F2B7D"/>
    <w:rsid w:val="314436DF"/>
    <w:rsid w:val="317C022A"/>
    <w:rsid w:val="319C532E"/>
    <w:rsid w:val="319E1B94"/>
    <w:rsid w:val="31CF4391"/>
    <w:rsid w:val="31FE7C0B"/>
    <w:rsid w:val="325D6E61"/>
    <w:rsid w:val="32930816"/>
    <w:rsid w:val="32EC28E3"/>
    <w:rsid w:val="32FF13C6"/>
    <w:rsid w:val="336B2BCC"/>
    <w:rsid w:val="3382409B"/>
    <w:rsid w:val="33876508"/>
    <w:rsid w:val="33BC53E2"/>
    <w:rsid w:val="33F01B06"/>
    <w:rsid w:val="34133996"/>
    <w:rsid w:val="34205DA1"/>
    <w:rsid w:val="3422549E"/>
    <w:rsid w:val="34576B52"/>
    <w:rsid w:val="34AC43B5"/>
    <w:rsid w:val="350D086B"/>
    <w:rsid w:val="35784F7A"/>
    <w:rsid w:val="358F09D4"/>
    <w:rsid w:val="35D77067"/>
    <w:rsid w:val="35DC779C"/>
    <w:rsid w:val="35FF0ACB"/>
    <w:rsid w:val="363565CA"/>
    <w:rsid w:val="36436765"/>
    <w:rsid w:val="36610D92"/>
    <w:rsid w:val="368270E9"/>
    <w:rsid w:val="36AD3866"/>
    <w:rsid w:val="36D61920"/>
    <w:rsid w:val="36E002B8"/>
    <w:rsid w:val="36EB20C9"/>
    <w:rsid w:val="36F400F7"/>
    <w:rsid w:val="36F45C28"/>
    <w:rsid w:val="370C5DA8"/>
    <w:rsid w:val="371C10EE"/>
    <w:rsid w:val="372629BB"/>
    <w:rsid w:val="373C3621"/>
    <w:rsid w:val="3818722B"/>
    <w:rsid w:val="38470867"/>
    <w:rsid w:val="384D5CA4"/>
    <w:rsid w:val="386B345D"/>
    <w:rsid w:val="38B22A88"/>
    <w:rsid w:val="38C3234E"/>
    <w:rsid w:val="38D56C2E"/>
    <w:rsid w:val="39104C17"/>
    <w:rsid w:val="392E47B3"/>
    <w:rsid w:val="39344DB1"/>
    <w:rsid w:val="39441F2B"/>
    <w:rsid w:val="39AA79E9"/>
    <w:rsid w:val="39D54BAE"/>
    <w:rsid w:val="3A141CAE"/>
    <w:rsid w:val="3A2E3BDD"/>
    <w:rsid w:val="3A3271EB"/>
    <w:rsid w:val="3A6211C1"/>
    <w:rsid w:val="3A641F0B"/>
    <w:rsid w:val="3A7E5897"/>
    <w:rsid w:val="3A852BA4"/>
    <w:rsid w:val="3B257251"/>
    <w:rsid w:val="3B331917"/>
    <w:rsid w:val="3B4415B9"/>
    <w:rsid w:val="3B6F39A0"/>
    <w:rsid w:val="3B721419"/>
    <w:rsid w:val="3B811CEB"/>
    <w:rsid w:val="3B9238D5"/>
    <w:rsid w:val="3C032F1C"/>
    <w:rsid w:val="3C0367C9"/>
    <w:rsid w:val="3C067B52"/>
    <w:rsid w:val="3C65159B"/>
    <w:rsid w:val="3C7418C9"/>
    <w:rsid w:val="3CCD7CC2"/>
    <w:rsid w:val="3CCF5D67"/>
    <w:rsid w:val="3D311A21"/>
    <w:rsid w:val="3D915651"/>
    <w:rsid w:val="3DEE06C8"/>
    <w:rsid w:val="3DF73900"/>
    <w:rsid w:val="3E0B2A87"/>
    <w:rsid w:val="3E3E20E9"/>
    <w:rsid w:val="3E984E03"/>
    <w:rsid w:val="3EFD5C04"/>
    <w:rsid w:val="3F1B2CA3"/>
    <w:rsid w:val="3F23624D"/>
    <w:rsid w:val="3F8049A0"/>
    <w:rsid w:val="3F855937"/>
    <w:rsid w:val="3FB3668E"/>
    <w:rsid w:val="3FF57AD3"/>
    <w:rsid w:val="40361ECD"/>
    <w:rsid w:val="403777DE"/>
    <w:rsid w:val="40642AC8"/>
    <w:rsid w:val="406A38E2"/>
    <w:rsid w:val="40D95951"/>
    <w:rsid w:val="411841B3"/>
    <w:rsid w:val="41690CE6"/>
    <w:rsid w:val="41697611"/>
    <w:rsid w:val="4326037D"/>
    <w:rsid w:val="437C24E6"/>
    <w:rsid w:val="43AB67C8"/>
    <w:rsid w:val="43B934E6"/>
    <w:rsid w:val="43CC3757"/>
    <w:rsid w:val="43FF490C"/>
    <w:rsid w:val="44445D6A"/>
    <w:rsid w:val="44804AF0"/>
    <w:rsid w:val="448E0F65"/>
    <w:rsid w:val="44CC4B9A"/>
    <w:rsid w:val="44EC7E51"/>
    <w:rsid w:val="451736D6"/>
    <w:rsid w:val="454D4D8F"/>
    <w:rsid w:val="455866C4"/>
    <w:rsid w:val="455A055B"/>
    <w:rsid w:val="456606BB"/>
    <w:rsid w:val="457741FE"/>
    <w:rsid w:val="458308DC"/>
    <w:rsid w:val="45986BF7"/>
    <w:rsid w:val="45A835FB"/>
    <w:rsid w:val="45D760AC"/>
    <w:rsid w:val="46045457"/>
    <w:rsid w:val="46281FA5"/>
    <w:rsid w:val="463053C0"/>
    <w:rsid w:val="46306AE4"/>
    <w:rsid w:val="46AB5DD7"/>
    <w:rsid w:val="473821B7"/>
    <w:rsid w:val="47581AC0"/>
    <w:rsid w:val="47860CF3"/>
    <w:rsid w:val="47F2130F"/>
    <w:rsid w:val="484E3D81"/>
    <w:rsid w:val="4852143C"/>
    <w:rsid w:val="48996489"/>
    <w:rsid w:val="48CB2E6E"/>
    <w:rsid w:val="48D033D7"/>
    <w:rsid w:val="49361744"/>
    <w:rsid w:val="495E216D"/>
    <w:rsid w:val="498B4CF1"/>
    <w:rsid w:val="49915F6B"/>
    <w:rsid w:val="49CD1053"/>
    <w:rsid w:val="49D507F2"/>
    <w:rsid w:val="49D7080A"/>
    <w:rsid w:val="4A3B0E71"/>
    <w:rsid w:val="4A8D3458"/>
    <w:rsid w:val="4ABA2A96"/>
    <w:rsid w:val="4B351ACB"/>
    <w:rsid w:val="4B856F5A"/>
    <w:rsid w:val="4B8B43BC"/>
    <w:rsid w:val="4BB73422"/>
    <w:rsid w:val="4BDC455D"/>
    <w:rsid w:val="4BE2792A"/>
    <w:rsid w:val="4C4F5E0B"/>
    <w:rsid w:val="4C521F8F"/>
    <w:rsid w:val="4C821A67"/>
    <w:rsid w:val="4C9330AF"/>
    <w:rsid w:val="4CCB10B4"/>
    <w:rsid w:val="4CDD68D9"/>
    <w:rsid w:val="4D234107"/>
    <w:rsid w:val="4D240381"/>
    <w:rsid w:val="4D870237"/>
    <w:rsid w:val="4DAD41F8"/>
    <w:rsid w:val="4DD70E5B"/>
    <w:rsid w:val="4E7C1556"/>
    <w:rsid w:val="4E8527EC"/>
    <w:rsid w:val="4F4132C7"/>
    <w:rsid w:val="4F423B13"/>
    <w:rsid w:val="4F4F1931"/>
    <w:rsid w:val="4FE3333C"/>
    <w:rsid w:val="502A2D3A"/>
    <w:rsid w:val="507409DE"/>
    <w:rsid w:val="507B3432"/>
    <w:rsid w:val="509824FF"/>
    <w:rsid w:val="50AC5C1B"/>
    <w:rsid w:val="50C60988"/>
    <w:rsid w:val="51017D48"/>
    <w:rsid w:val="512F7738"/>
    <w:rsid w:val="514D3280"/>
    <w:rsid w:val="516E1C82"/>
    <w:rsid w:val="51D524D5"/>
    <w:rsid w:val="528E591A"/>
    <w:rsid w:val="53064B26"/>
    <w:rsid w:val="533B0A73"/>
    <w:rsid w:val="534D3548"/>
    <w:rsid w:val="53531502"/>
    <w:rsid w:val="5386257D"/>
    <w:rsid w:val="53E82F40"/>
    <w:rsid w:val="542D7387"/>
    <w:rsid w:val="545A4DAE"/>
    <w:rsid w:val="547172D9"/>
    <w:rsid w:val="547B6B8D"/>
    <w:rsid w:val="54AC7FFE"/>
    <w:rsid w:val="54BE35AF"/>
    <w:rsid w:val="54C47328"/>
    <w:rsid w:val="54F8229D"/>
    <w:rsid w:val="54FF30AD"/>
    <w:rsid w:val="5531460B"/>
    <w:rsid w:val="5546443B"/>
    <w:rsid w:val="55964200"/>
    <w:rsid w:val="55CA3E6F"/>
    <w:rsid w:val="55FC08E0"/>
    <w:rsid w:val="56A35122"/>
    <w:rsid w:val="56EA4727"/>
    <w:rsid w:val="573D4981"/>
    <w:rsid w:val="57685E0F"/>
    <w:rsid w:val="576C72A6"/>
    <w:rsid w:val="57B2157C"/>
    <w:rsid w:val="57C00D74"/>
    <w:rsid w:val="57C307FE"/>
    <w:rsid w:val="57CE176B"/>
    <w:rsid w:val="57CE48EB"/>
    <w:rsid w:val="57D03C59"/>
    <w:rsid w:val="581061B7"/>
    <w:rsid w:val="581C7096"/>
    <w:rsid w:val="584678FA"/>
    <w:rsid w:val="58471347"/>
    <w:rsid w:val="585E688C"/>
    <w:rsid w:val="58922826"/>
    <w:rsid w:val="58A675CF"/>
    <w:rsid w:val="58BB5A18"/>
    <w:rsid w:val="59347B3B"/>
    <w:rsid w:val="593744E1"/>
    <w:rsid w:val="593A04BF"/>
    <w:rsid w:val="594A2A82"/>
    <w:rsid w:val="596C1E8F"/>
    <w:rsid w:val="598835AB"/>
    <w:rsid w:val="59A51FAB"/>
    <w:rsid w:val="59AD643D"/>
    <w:rsid w:val="5A166067"/>
    <w:rsid w:val="5A2044D9"/>
    <w:rsid w:val="5A557A06"/>
    <w:rsid w:val="5A665ED0"/>
    <w:rsid w:val="5AB52CFC"/>
    <w:rsid w:val="5AE7458C"/>
    <w:rsid w:val="5B1779C8"/>
    <w:rsid w:val="5B1A2D08"/>
    <w:rsid w:val="5B28768D"/>
    <w:rsid w:val="5B8A73CA"/>
    <w:rsid w:val="5B90598C"/>
    <w:rsid w:val="5BE50C31"/>
    <w:rsid w:val="5C207BCF"/>
    <w:rsid w:val="5C53111F"/>
    <w:rsid w:val="5C7E60E5"/>
    <w:rsid w:val="5CE431A4"/>
    <w:rsid w:val="5D3E506B"/>
    <w:rsid w:val="5D731DB2"/>
    <w:rsid w:val="5DB354A1"/>
    <w:rsid w:val="5DD55782"/>
    <w:rsid w:val="5DF74C95"/>
    <w:rsid w:val="5E096933"/>
    <w:rsid w:val="5E5F1C59"/>
    <w:rsid w:val="5E665198"/>
    <w:rsid w:val="5F234D38"/>
    <w:rsid w:val="5F6C5E5A"/>
    <w:rsid w:val="5F7E5B29"/>
    <w:rsid w:val="5F824F16"/>
    <w:rsid w:val="601C7DD9"/>
    <w:rsid w:val="60906D8A"/>
    <w:rsid w:val="60B007AB"/>
    <w:rsid w:val="6138591F"/>
    <w:rsid w:val="6188681A"/>
    <w:rsid w:val="61A51A64"/>
    <w:rsid w:val="61C548E5"/>
    <w:rsid w:val="61CB676A"/>
    <w:rsid w:val="620B36B2"/>
    <w:rsid w:val="62161428"/>
    <w:rsid w:val="627C2269"/>
    <w:rsid w:val="62F96224"/>
    <w:rsid w:val="631A3CFB"/>
    <w:rsid w:val="632E1816"/>
    <w:rsid w:val="63414AFA"/>
    <w:rsid w:val="63627E6E"/>
    <w:rsid w:val="637453C9"/>
    <w:rsid w:val="639058D0"/>
    <w:rsid w:val="63A12027"/>
    <w:rsid w:val="63AD6150"/>
    <w:rsid w:val="63B54EAC"/>
    <w:rsid w:val="64024F26"/>
    <w:rsid w:val="644114F4"/>
    <w:rsid w:val="649F4E3B"/>
    <w:rsid w:val="64E26B18"/>
    <w:rsid w:val="650D05C7"/>
    <w:rsid w:val="652A5FED"/>
    <w:rsid w:val="65371000"/>
    <w:rsid w:val="654E3161"/>
    <w:rsid w:val="65BB52D7"/>
    <w:rsid w:val="660723F0"/>
    <w:rsid w:val="665F3C62"/>
    <w:rsid w:val="66750AEF"/>
    <w:rsid w:val="6683359D"/>
    <w:rsid w:val="668762C4"/>
    <w:rsid w:val="675705D8"/>
    <w:rsid w:val="675B44A0"/>
    <w:rsid w:val="6780588C"/>
    <w:rsid w:val="67883AF7"/>
    <w:rsid w:val="67D8653C"/>
    <w:rsid w:val="67F10980"/>
    <w:rsid w:val="6858468A"/>
    <w:rsid w:val="68897A31"/>
    <w:rsid w:val="68934B97"/>
    <w:rsid w:val="69092380"/>
    <w:rsid w:val="692B3DDC"/>
    <w:rsid w:val="6932657B"/>
    <w:rsid w:val="694C4C2E"/>
    <w:rsid w:val="69E004CD"/>
    <w:rsid w:val="69E506D9"/>
    <w:rsid w:val="69EF5EA0"/>
    <w:rsid w:val="6A283C9B"/>
    <w:rsid w:val="6AB33132"/>
    <w:rsid w:val="6ACE2F85"/>
    <w:rsid w:val="6B3253DD"/>
    <w:rsid w:val="6BFA2F8A"/>
    <w:rsid w:val="6C085359"/>
    <w:rsid w:val="6C0B5262"/>
    <w:rsid w:val="6CAC33CB"/>
    <w:rsid w:val="6D1E5D7B"/>
    <w:rsid w:val="6D636B84"/>
    <w:rsid w:val="6D6A6955"/>
    <w:rsid w:val="6D891F5A"/>
    <w:rsid w:val="6DA0166E"/>
    <w:rsid w:val="6DB707DA"/>
    <w:rsid w:val="6DBC1392"/>
    <w:rsid w:val="6DCE3B16"/>
    <w:rsid w:val="6E146EDD"/>
    <w:rsid w:val="6E29100D"/>
    <w:rsid w:val="6E753C23"/>
    <w:rsid w:val="6EA430EB"/>
    <w:rsid w:val="6EC074E5"/>
    <w:rsid w:val="6ED06C11"/>
    <w:rsid w:val="6EEA6497"/>
    <w:rsid w:val="6EEF1061"/>
    <w:rsid w:val="6F35763B"/>
    <w:rsid w:val="6F363573"/>
    <w:rsid w:val="6F4A785B"/>
    <w:rsid w:val="6F8959A2"/>
    <w:rsid w:val="6FBB4888"/>
    <w:rsid w:val="6FEC78A7"/>
    <w:rsid w:val="6FF84B0F"/>
    <w:rsid w:val="70031BC0"/>
    <w:rsid w:val="7009652C"/>
    <w:rsid w:val="70133681"/>
    <w:rsid w:val="70235DE9"/>
    <w:rsid w:val="7045659A"/>
    <w:rsid w:val="708F6DAD"/>
    <w:rsid w:val="709F4CDC"/>
    <w:rsid w:val="70E837DE"/>
    <w:rsid w:val="70F336EE"/>
    <w:rsid w:val="71657391"/>
    <w:rsid w:val="716A5A4C"/>
    <w:rsid w:val="716A5C18"/>
    <w:rsid w:val="718B642C"/>
    <w:rsid w:val="72443A7C"/>
    <w:rsid w:val="726529A8"/>
    <w:rsid w:val="72654433"/>
    <w:rsid w:val="72A87338"/>
    <w:rsid w:val="72C77898"/>
    <w:rsid w:val="72CF6C83"/>
    <w:rsid w:val="72D15665"/>
    <w:rsid w:val="73195EA8"/>
    <w:rsid w:val="7356786D"/>
    <w:rsid w:val="735D162E"/>
    <w:rsid w:val="7461643C"/>
    <w:rsid w:val="751F2C26"/>
    <w:rsid w:val="75510101"/>
    <w:rsid w:val="755172CC"/>
    <w:rsid w:val="759D79F7"/>
    <w:rsid w:val="75A26D47"/>
    <w:rsid w:val="75E928E5"/>
    <w:rsid w:val="761420FF"/>
    <w:rsid w:val="76C145A6"/>
    <w:rsid w:val="76CC1B89"/>
    <w:rsid w:val="773660E7"/>
    <w:rsid w:val="77401B5D"/>
    <w:rsid w:val="774A4E15"/>
    <w:rsid w:val="7754503A"/>
    <w:rsid w:val="77A612EA"/>
    <w:rsid w:val="77DB7B53"/>
    <w:rsid w:val="77DC7636"/>
    <w:rsid w:val="77F60E4C"/>
    <w:rsid w:val="7815272E"/>
    <w:rsid w:val="782801C3"/>
    <w:rsid w:val="782B587B"/>
    <w:rsid w:val="78A057CD"/>
    <w:rsid w:val="78B12492"/>
    <w:rsid w:val="78E9686F"/>
    <w:rsid w:val="791B1A5C"/>
    <w:rsid w:val="791D3062"/>
    <w:rsid w:val="79462A61"/>
    <w:rsid w:val="797C680C"/>
    <w:rsid w:val="7AC74D59"/>
    <w:rsid w:val="7AE41C56"/>
    <w:rsid w:val="7B0433B7"/>
    <w:rsid w:val="7B274EB9"/>
    <w:rsid w:val="7BD53767"/>
    <w:rsid w:val="7C1D24EF"/>
    <w:rsid w:val="7C3A6114"/>
    <w:rsid w:val="7C6F76FF"/>
    <w:rsid w:val="7C7D4590"/>
    <w:rsid w:val="7C7E659B"/>
    <w:rsid w:val="7CA60DDA"/>
    <w:rsid w:val="7D0A50E0"/>
    <w:rsid w:val="7D0C5414"/>
    <w:rsid w:val="7D29570F"/>
    <w:rsid w:val="7D4D7769"/>
    <w:rsid w:val="7D5C4DA4"/>
    <w:rsid w:val="7D717CC1"/>
    <w:rsid w:val="7D814F2C"/>
    <w:rsid w:val="7DAB5FDA"/>
    <w:rsid w:val="7DB15A86"/>
    <w:rsid w:val="7DF24C12"/>
    <w:rsid w:val="7E343D57"/>
    <w:rsid w:val="7E5178C3"/>
    <w:rsid w:val="7E633B84"/>
    <w:rsid w:val="7E804EE3"/>
    <w:rsid w:val="7E9F453E"/>
    <w:rsid w:val="7EC62181"/>
    <w:rsid w:val="7EC7690F"/>
    <w:rsid w:val="7F1B3058"/>
    <w:rsid w:val="7FD563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31"/>
    <w:qFormat/>
    <w:uiPriority w:val="99"/>
    <w:pPr>
      <w:ind w:firstLine="420" w:firstLineChars="100"/>
    </w:pPr>
  </w:style>
  <w:style w:type="paragraph" w:styleId="3">
    <w:name w:val="Body Text"/>
    <w:basedOn w:val="1"/>
    <w:next w:val="4"/>
    <w:link w:val="32"/>
    <w:qFormat/>
    <w:uiPriority w:val="99"/>
    <w:pPr>
      <w:spacing w:after="120"/>
    </w:pPr>
  </w:style>
  <w:style w:type="paragraph" w:styleId="4">
    <w:name w:val="Body Text 2"/>
    <w:basedOn w:val="1"/>
    <w:qFormat/>
    <w:uiPriority w:val="0"/>
    <w:pPr>
      <w:snapToGrid w:val="0"/>
      <w:spacing w:line="360" w:lineRule="auto"/>
    </w:pPr>
  </w:style>
  <w:style w:type="paragraph" w:styleId="8">
    <w:name w:val="annotation subject"/>
    <w:basedOn w:val="9"/>
    <w:next w:val="9"/>
    <w:semiHidden/>
    <w:qFormat/>
    <w:uiPriority w:val="0"/>
    <w:rPr>
      <w:b/>
      <w:bCs/>
    </w:rPr>
  </w:style>
  <w:style w:type="paragraph" w:styleId="9">
    <w:name w:val="annotation text"/>
    <w:basedOn w:val="1"/>
    <w:semiHidden/>
    <w:qFormat/>
    <w:uiPriority w:val="0"/>
    <w:pPr>
      <w:jc w:val="left"/>
    </w:pPr>
  </w:style>
  <w:style w:type="paragraph" w:styleId="10">
    <w:name w:val="toc 7"/>
    <w:basedOn w:val="1"/>
    <w:next w:val="1"/>
    <w:qFormat/>
    <w:uiPriority w:val="0"/>
    <w:pPr>
      <w:ind w:left="2520" w:leftChars="1200"/>
    </w:pPr>
  </w:style>
  <w:style w:type="paragraph" w:styleId="11">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12">
    <w:name w:val="Normal Indent"/>
    <w:basedOn w:val="1"/>
    <w:next w:val="1"/>
    <w:unhideWhenUsed/>
    <w:qFormat/>
    <w:uiPriority w:val="99"/>
    <w:pPr>
      <w:widowControl/>
      <w:ind w:firstLine="420" w:firstLineChars="200"/>
      <w:jc w:val="left"/>
    </w:pPr>
    <w:rPr>
      <w:kern w:val="0"/>
      <w:sz w:val="20"/>
      <w:szCs w:val="20"/>
    </w:rPr>
  </w:style>
  <w:style w:type="paragraph" w:styleId="13">
    <w:name w:val="Document Map"/>
    <w:basedOn w:val="1"/>
    <w:link w:val="35"/>
    <w:qFormat/>
    <w:uiPriority w:val="0"/>
    <w:rPr>
      <w:rFonts w:ascii="宋体"/>
      <w:sz w:val="18"/>
      <w:szCs w:val="18"/>
    </w:rPr>
  </w:style>
  <w:style w:type="paragraph" w:styleId="14">
    <w:name w:val="Body Text 3"/>
    <w:basedOn w:val="1"/>
    <w:qFormat/>
    <w:uiPriority w:val="99"/>
    <w:rPr>
      <w:kern w:val="0"/>
      <w:sz w:val="16"/>
      <w:szCs w:val="16"/>
    </w:rPr>
  </w:style>
  <w:style w:type="paragraph" w:styleId="15">
    <w:name w:val="Body Text Indent"/>
    <w:basedOn w:val="1"/>
    <w:next w:val="16"/>
    <w:qFormat/>
    <w:uiPriority w:val="0"/>
    <w:pPr>
      <w:autoSpaceDE w:val="0"/>
      <w:autoSpaceDN w:val="0"/>
      <w:adjustRightInd w:val="0"/>
      <w:spacing w:line="0" w:lineRule="atLeast"/>
      <w:ind w:firstLine="525"/>
    </w:pPr>
    <w:rPr>
      <w:rFonts w:ascii="宋体" w:hAnsi="宋体"/>
      <w:color w:val="000000"/>
      <w:kern w:val="0"/>
      <w:sz w:val="20"/>
    </w:rPr>
  </w:style>
  <w:style w:type="paragraph" w:styleId="16">
    <w:name w:val="envelope return"/>
    <w:basedOn w:val="1"/>
    <w:qFormat/>
    <w:uiPriority w:val="0"/>
    <w:pPr>
      <w:snapToGrid w:val="0"/>
    </w:pPr>
    <w:rPr>
      <w:rFonts w:ascii="Arial" w:hAnsi="Arial" w:cs="Arial"/>
    </w:rPr>
  </w:style>
  <w:style w:type="paragraph" w:styleId="17">
    <w:name w:val="toc 3"/>
    <w:basedOn w:val="1"/>
    <w:next w:val="1"/>
    <w:semiHidden/>
    <w:qFormat/>
    <w:uiPriority w:val="0"/>
    <w:pPr>
      <w:ind w:left="840" w:leftChars="400"/>
    </w:pPr>
  </w:style>
  <w:style w:type="paragraph" w:styleId="18">
    <w:name w:val="Plain Text"/>
    <w:basedOn w:val="1"/>
    <w:link w:val="33"/>
    <w:qFormat/>
    <w:uiPriority w:val="0"/>
    <w:rPr>
      <w:rFonts w:ascii="宋体" w:hAnsi="Courier New"/>
      <w:szCs w:val="20"/>
    </w:rPr>
  </w:style>
  <w:style w:type="paragraph" w:styleId="19">
    <w:name w:val="Date"/>
    <w:basedOn w:val="1"/>
    <w:next w:val="1"/>
    <w:link w:val="34"/>
    <w:qFormat/>
    <w:uiPriority w:val="0"/>
    <w:pPr>
      <w:ind w:left="100" w:leftChars="2500"/>
    </w:p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Body Text First Indent 2"/>
    <w:basedOn w:val="15"/>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style>
  <w:style w:type="paragraph" w:styleId="25">
    <w:name w:val="toc 2"/>
    <w:basedOn w:val="1"/>
    <w:next w:val="1"/>
    <w:semiHidden/>
    <w:qFormat/>
    <w:uiPriority w:val="0"/>
    <w:pPr>
      <w:ind w:left="420" w:leftChars="200"/>
    </w:pPr>
  </w:style>
  <w:style w:type="character" w:styleId="27">
    <w:name w:val="Hyperlink"/>
    <w:qFormat/>
    <w:uiPriority w:val="99"/>
    <w:rPr>
      <w:color w:val="0000FF"/>
      <w:u w:val="single"/>
    </w:rPr>
  </w:style>
  <w:style w:type="character" w:styleId="28">
    <w:name w:val="annotation reference"/>
    <w:semiHidden/>
    <w:qFormat/>
    <w:uiPriority w:val="0"/>
    <w:rPr>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正文文本首行缩进 字符"/>
    <w:basedOn w:val="32"/>
    <w:link w:val="2"/>
    <w:qFormat/>
    <w:uiPriority w:val="99"/>
    <w:rPr>
      <w:kern w:val="2"/>
      <w:sz w:val="21"/>
      <w:szCs w:val="24"/>
    </w:rPr>
  </w:style>
  <w:style w:type="character" w:customStyle="1" w:styleId="32">
    <w:name w:val="正文文本 字符"/>
    <w:link w:val="3"/>
    <w:qFormat/>
    <w:uiPriority w:val="99"/>
    <w:rPr>
      <w:kern w:val="2"/>
      <w:sz w:val="21"/>
      <w:szCs w:val="24"/>
    </w:rPr>
  </w:style>
  <w:style w:type="character" w:customStyle="1" w:styleId="33">
    <w:name w:val="纯文本 字符"/>
    <w:link w:val="18"/>
    <w:qFormat/>
    <w:uiPriority w:val="0"/>
    <w:rPr>
      <w:rFonts w:ascii="宋体" w:hAnsi="Courier New"/>
      <w:kern w:val="2"/>
      <w:sz w:val="21"/>
      <w:lang w:bidi="ar-SA"/>
    </w:rPr>
  </w:style>
  <w:style w:type="character" w:customStyle="1" w:styleId="34">
    <w:name w:val="日期 字符"/>
    <w:link w:val="19"/>
    <w:qFormat/>
    <w:uiPriority w:val="0"/>
    <w:rPr>
      <w:kern w:val="2"/>
      <w:sz w:val="21"/>
      <w:szCs w:val="24"/>
    </w:rPr>
  </w:style>
  <w:style w:type="character" w:customStyle="1" w:styleId="35">
    <w:name w:val="文档结构图 字符"/>
    <w:link w:val="13"/>
    <w:qFormat/>
    <w:uiPriority w:val="0"/>
    <w:rPr>
      <w:rFonts w:ascii="宋体"/>
      <w:kern w:val="2"/>
      <w:sz w:val="18"/>
      <w:szCs w:val="18"/>
    </w:rPr>
  </w:style>
  <w:style w:type="paragraph" w:customStyle="1" w:styleId="36">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3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_Style 11"/>
    <w:basedOn w:val="1"/>
    <w:qFormat/>
    <w:uiPriority w:val="0"/>
    <w:rPr>
      <w:sz w:val="30"/>
    </w:rPr>
  </w:style>
  <w:style w:type="paragraph" w:customStyle="1" w:styleId="39">
    <w:name w:val="表头"/>
    <w:basedOn w:val="1"/>
    <w:qFormat/>
    <w:uiPriority w:val="0"/>
    <w:pPr>
      <w:spacing w:line="360" w:lineRule="auto"/>
      <w:jc w:val="center"/>
    </w:pPr>
    <w:rPr>
      <w:rFonts w:ascii="黑体" w:eastAsia="黑体"/>
      <w:kern w:val="0"/>
      <w:sz w:val="24"/>
      <w:szCs w:val="20"/>
    </w:rPr>
  </w:style>
  <w:style w:type="paragraph" w:customStyle="1" w:styleId="4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_Style 50"/>
    <w:basedOn w:val="1"/>
    <w:qFormat/>
    <w:uiPriority w:val="0"/>
    <w:rPr>
      <w:sz w:val="30"/>
    </w:rPr>
  </w:style>
  <w:style w:type="paragraph" w:customStyle="1" w:styleId="4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26207</Words>
  <Characters>27835</Characters>
  <Lines>225</Lines>
  <Paragraphs>63</Paragraphs>
  <ScaleCrop>false</ScaleCrop>
  <LinksUpToDate>false</LinksUpToDate>
  <CharactersWithSpaces>30637</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2023-02-26T15:07:00Z</dcterms:created>
  <dc:creator>Administrator</dc:creator>
  <cp:lastModifiedBy>Administrator</cp:lastModifiedBy>
  <cp:lastPrinted>2023-03-07T02:11:00Z</cp:lastPrinted>
  <dcterms:modified xsi:type="dcterms:W3CDTF">2023-03-07T07:45:39Z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B49CCBF9EB694DF090B4F60A49F2E41A</vt:lpwstr>
  </property>
</Properties>
</file>