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宋体" w:hAnsi="宋体" w:eastAsia="宋体" w:cs="宋体"/>
          <w:b/>
          <w:bCs w:val="0"/>
          <w:highlight w:val="none"/>
        </w:rPr>
      </w:pPr>
      <w:r>
        <w:rPr>
          <w:rFonts w:hint="eastAsia" w:ascii="宋体" w:hAnsi="宋体" w:eastAsia="宋体" w:cs="宋体"/>
          <w:b/>
          <w:bCs w:val="0"/>
          <w:highlight w:val="none"/>
        </w:rPr>
        <w:t>附录1</w:t>
      </w:r>
      <w:r>
        <w:rPr>
          <w:rFonts w:hint="eastAsia" w:ascii="宋体" w:hAnsi="宋体" w:eastAsia="宋体" w:cs="宋体"/>
          <w:b/>
          <w:bCs w:val="0"/>
          <w:highlight w:val="none"/>
          <w:lang w:val="en-US" w:eastAsia="zh-CN"/>
        </w:rPr>
        <w:t xml:space="preserve">  </w:t>
      </w:r>
      <w:r>
        <w:rPr>
          <w:rFonts w:hint="eastAsia" w:ascii="宋体" w:hAnsi="宋体" w:eastAsia="宋体" w:cs="宋体"/>
          <w:b/>
          <w:bCs w:val="0"/>
          <w:highlight w:val="none"/>
        </w:rPr>
        <w:t>资格审查条件（资质最低条件）</w:t>
      </w:r>
    </w:p>
    <w:p>
      <w:pPr>
        <w:pStyle w:val="4"/>
        <w:topLinePunct/>
        <w:adjustRightInd/>
        <w:spacing w:line="480" w:lineRule="exact"/>
        <w:ind w:firstLine="0" w:firstLineChars="0"/>
        <w:rPr>
          <w:rFonts w:hint="eastAsia" w:ascii="黑体" w:eastAsia="黑体"/>
          <w:b/>
          <w:bCs/>
          <w:color w:val="auto"/>
          <w:highlight w:val="none"/>
        </w:rPr>
      </w:pPr>
    </w:p>
    <w:tbl>
      <w:tblPr>
        <w:tblStyle w:val="7"/>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76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val="en-US" w:eastAsia="zh-CN"/>
              </w:rPr>
              <w:t>标段</w:t>
            </w:r>
          </w:p>
        </w:tc>
        <w:tc>
          <w:tcPr>
            <w:tcW w:w="67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jc w:val="center"/>
        </w:trPr>
        <w:tc>
          <w:tcPr>
            <w:tcW w:w="176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default" w:ascii="Times New Roman" w:hAnsi="Times New Roman" w:cs="Times New Roman"/>
                <w:sz w:val="24"/>
                <w:szCs w:val="24"/>
                <w:highlight w:val="none"/>
              </w:rPr>
            </w:pPr>
            <w:r>
              <w:rPr>
                <w:rFonts w:hint="eastAsia"/>
                <w:highlight w:val="none"/>
                <w:lang w:val="en-US" w:eastAsia="zh-CN"/>
              </w:rPr>
              <w:t>CX1标</w:t>
            </w:r>
          </w:p>
        </w:tc>
        <w:tc>
          <w:tcPr>
            <w:tcW w:w="67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rPr>
            </w:pPr>
            <w:r>
              <w:rPr>
                <w:rFonts w:hint="default"/>
                <w:highlight w:val="none"/>
                <w:lang w:eastAsia="zh-CN"/>
              </w:rPr>
              <w:t>1</w:t>
            </w:r>
            <w:r>
              <w:rPr>
                <w:rFonts w:hint="default"/>
                <w:highlight w:val="none"/>
              </w:rPr>
              <w:t>.具有独立法人资格的企业或事业单位。</w:t>
            </w:r>
          </w:p>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rPr>
            </w:pPr>
            <w:r>
              <w:rPr>
                <w:rFonts w:hint="default"/>
                <w:highlight w:val="none"/>
                <w:lang w:val="en-US" w:eastAsia="zh-CN"/>
              </w:rPr>
              <w:t>2</w:t>
            </w:r>
            <w:r>
              <w:rPr>
                <w:rFonts w:hint="default"/>
                <w:highlight w:val="none"/>
                <w:lang w:eastAsia="zh-CN"/>
              </w:rPr>
              <w:t>.</w:t>
            </w:r>
            <w:r>
              <w:rPr>
                <w:rFonts w:hint="default"/>
                <w:highlight w:val="none"/>
              </w:rPr>
              <w:t>具有公路工程试验检测机构综合乙级（或以上）或桥梁隧道工程专项。</w:t>
            </w:r>
          </w:p>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rPr>
            </w:pPr>
            <w:r>
              <w:rPr>
                <w:rFonts w:hint="default"/>
                <w:highlight w:val="none"/>
                <w:lang w:val="en-US" w:eastAsia="zh-CN"/>
              </w:rPr>
              <w:t>3</w:t>
            </w:r>
            <w:r>
              <w:rPr>
                <w:rFonts w:hint="default"/>
                <w:highlight w:val="none"/>
                <w:lang w:eastAsia="zh-CN"/>
              </w:rPr>
              <w:t>.</w:t>
            </w:r>
            <w:r>
              <w:rPr>
                <w:rFonts w:hint="default"/>
                <w:highlight w:val="none"/>
              </w:rPr>
              <w:t>省级及以上质量技术监督主管部门颁发的计量认证证书。</w:t>
            </w:r>
          </w:p>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jc w:val="center"/>
        </w:trPr>
        <w:tc>
          <w:tcPr>
            <w:tcW w:w="176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default" w:ascii="Times New Roman" w:hAnsi="Times New Roman" w:cs="Times New Roman"/>
                <w:sz w:val="24"/>
                <w:szCs w:val="24"/>
                <w:highlight w:val="none"/>
              </w:rPr>
            </w:pPr>
            <w:r>
              <w:rPr>
                <w:rFonts w:hint="eastAsia"/>
                <w:highlight w:val="none"/>
                <w:lang w:val="en-US" w:eastAsia="zh-CN"/>
              </w:rPr>
              <w:t>CX2标</w:t>
            </w:r>
          </w:p>
        </w:tc>
        <w:tc>
          <w:tcPr>
            <w:tcW w:w="67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lang w:val="en-US" w:eastAsia="zh-CN"/>
              </w:rPr>
            </w:pPr>
            <w:r>
              <w:rPr>
                <w:rFonts w:hint="default"/>
                <w:highlight w:val="none"/>
                <w:lang w:val="en-US" w:eastAsia="zh-CN"/>
              </w:rPr>
              <w:t>1.具有独立法人资格的企业或事业单位。</w:t>
            </w:r>
          </w:p>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lang w:val="en-US" w:eastAsia="zh-CN"/>
              </w:rPr>
            </w:pPr>
            <w:r>
              <w:rPr>
                <w:rFonts w:hint="default"/>
                <w:highlight w:val="none"/>
                <w:lang w:val="en-US" w:eastAsia="zh-CN"/>
              </w:rPr>
              <w:t>2.具有公路工程试验检测机构综合乙级（或以上）或桥梁隧道工程专项。</w:t>
            </w:r>
          </w:p>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lang w:val="en-US" w:eastAsia="zh-CN"/>
              </w:rPr>
            </w:pPr>
            <w:r>
              <w:rPr>
                <w:rFonts w:hint="default"/>
                <w:highlight w:val="none"/>
                <w:lang w:val="en-US" w:eastAsia="zh-CN"/>
              </w:rPr>
              <w:t>3.省级及以上质量技术监督主管部门颁发的计量认证证书。</w:t>
            </w:r>
          </w:p>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5" w:hRule="atLeast"/>
          <w:jc w:val="center"/>
        </w:trPr>
        <w:tc>
          <w:tcPr>
            <w:tcW w:w="176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default" w:ascii="Times New Roman" w:hAnsi="Times New Roman" w:cs="Times New Roman"/>
                <w:sz w:val="24"/>
                <w:szCs w:val="24"/>
                <w:highlight w:val="none"/>
              </w:rPr>
            </w:pPr>
            <w:r>
              <w:rPr>
                <w:rFonts w:hint="eastAsia"/>
                <w:highlight w:val="none"/>
                <w:lang w:val="en-US" w:eastAsia="zh-CN"/>
              </w:rPr>
              <w:t>WS标</w:t>
            </w:r>
          </w:p>
        </w:tc>
        <w:tc>
          <w:tcPr>
            <w:tcW w:w="675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rPr>
            </w:pPr>
            <w:r>
              <w:rPr>
                <w:rFonts w:hint="default"/>
                <w:highlight w:val="none"/>
                <w:lang w:val="en-US" w:eastAsia="zh-CN"/>
              </w:rPr>
              <w:t>1</w:t>
            </w:r>
            <w:r>
              <w:rPr>
                <w:rFonts w:hint="default"/>
                <w:highlight w:val="none"/>
                <w:lang w:eastAsia="zh-CN"/>
              </w:rPr>
              <w:t>.</w:t>
            </w:r>
            <w:r>
              <w:rPr>
                <w:rFonts w:hint="default"/>
                <w:highlight w:val="none"/>
              </w:rPr>
              <w:t>具有独立法人资格的企业或事业单位。</w:t>
            </w:r>
          </w:p>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rPr>
            </w:pPr>
            <w:r>
              <w:rPr>
                <w:rFonts w:hint="default"/>
                <w:highlight w:val="none"/>
                <w:lang w:val="en-US" w:eastAsia="zh-CN"/>
              </w:rPr>
              <w:t>2</w:t>
            </w:r>
            <w:r>
              <w:rPr>
                <w:rFonts w:hint="default"/>
                <w:highlight w:val="none"/>
                <w:lang w:eastAsia="zh-CN"/>
              </w:rPr>
              <w:t>.</w:t>
            </w:r>
            <w:r>
              <w:rPr>
                <w:rFonts w:hint="default"/>
                <w:highlight w:val="none"/>
              </w:rPr>
              <w:t>具有公路工程试验检测机构综合乙级（或以上）或桥梁隧道工程专项。</w:t>
            </w:r>
          </w:p>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rPr>
            </w:pPr>
            <w:r>
              <w:rPr>
                <w:rFonts w:hint="default"/>
                <w:highlight w:val="none"/>
                <w:lang w:val="en-US" w:eastAsia="zh-CN"/>
              </w:rPr>
              <w:t>3</w:t>
            </w:r>
            <w:r>
              <w:rPr>
                <w:rFonts w:hint="default"/>
                <w:highlight w:val="none"/>
                <w:lang w:eastAsia="zh-CN"/>
              </w:rPr>
              <w:t>.</w:t>
            </w:r>
            <w:r>
              <w:rPr>
                <w:rFonts w:hint="default"/>
                <w:highlight w:val="none"/>
              </w:rPr>
              <w:t>省级及以上质量技术监督主管部门颁发的计量认证证书。</w:t>
            </w:r>
          </w:p>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default"/>
                <w:highlight w:val="none"/>
              </w:rPr>
            </w:pPr>
          </w:p>
        </w:tc>
      </w:tr>
    </w:tbl>
    <w:p>
      <w:pPr>
        <w:spacing w:line="360" w:lineRule="exact"/>
        <w:rPr>
          <w:rFonts w:hint="eastAsia" w:ascii="Times New Roman" w:hAnsi="宋体"/>
          <w:bCs w:val="0"/>
          <w:color w:val="auto"/>
          <w:sz w:val="21"/>
          <w:szCs w:val="21"/>
          <w:highlight w:val="none"/>
        </w:rPr>
      </w:pPr>
    </w:p>
    <w:p>
      <w:pPr>
        <w:bidi w:val="0"/>
        <w:rPr>
          <w:rFonts w:hint="eastAsia"/>
          <w:highlight w:val="none"/>
        </w:rPr>
      </w:pPr>
      <w:r>
        <w:rPr>
          <w:rFonts w:hint="eastAsia"/>
          <w:highlight w:val="none"/>
        </w:rPr>
        <w:br w:type="page"/>
      </w:r>
    </w:p>
    <w:p>
      <w:pPr>
        <w:pStyle w:val="3"/>
        <w:bidi w:val="0"/>
        <w:jc w:val="center"/>
        <w:rPr>
          <w:rFonts w:hint="eastAsia" w:ascii="宋体" w:hAnsi="宋体" w:eastAsia="宋体" w:cs="宋体"/>
          <w:b/>
          <w:bCs w:val="0"/>
          <w:highlight w:val="none"/>
          <w:lang w:val="en-US" w:eastAsia="zh-CN"/>
        </w:rPr>
      </w:pPr>
      <w:r>
        <w:rPr>
          <w:rFonts w:hint="eastAsia" w:ascii="宋体" w:hAnsi="宋体" w:eastAsia="宋体" w:cs="宋体"/>
          <w:b/>
          <w:bCs w:val="0"/>
          <w:highlight w:val="none"/>
          <w:lang w:val="en-US" w:eastAsia="zh-CN"/>
        </w:rPr>
        <w:t>附录2  资格审查条件（业绩最低条件）</w:t>
      </w:r>
    </w:p>
    <w:p>
      <w:pPr>
        <w:bidi w:val="0"/>
        <w:rPr>
          <w:rFonts w:hint="eastAsia"/>
          <w:highlight w:val="none"/>
        </w:rPr>
      </w:pPr>
    </w:p>
    <w:tbl>
      <w:tblPr>
        <w:tblStyle w:val="7"/>
        <w:tblW w:w="851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683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20" w:hRule="atLeast"/>
          <w:jc w:val="center"/>
        </w:trPr>
        <w:tc>
          <w:tcPr>
            <w:tcW w:w="168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eastAsia"/>
                <w:highlight w:val="none"/>
                <w:lang w:eastAsia="zh-CN"/>
              </w:rPr>
            </w:pPr>
            <w:r>
              <w:rPr>
                <w:rFonts w:hint="eastAsia"/>
                <w:highlight w:val="none"/>
              </w:rPr>
              <w:t>标</w:t>
            </w:r>
            <w:r>
              <w:rPr>
                <w:rFonts w:hint="eastAsia"/>
                <w:highlight w:val="none"/>
                <w:lang w:val="en-US" w:eastAsia="zh-CN"/>
              </w:rPr>
              <w:t>段</w:t>
            </w:r>
          </w:p>
        </w:tc>
        <w:tc>
          <w:tcPr>
            <w:tcW w:w="68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highlight w:val="none"/>
              </w:rPr>
            </w:pPr>
            <w:r>
              <w:rPr>
                <w:rFonts w:hint="eastAsia"/>
                <w:highlight w:val="none"/>
                <w:lang w:val="en-US" w:eastAsia="zh-CN"/>
              </w:rPr>
              <w:t>业绩</w:t>
            </w:r>
            <w:r>
              <w:rPr>
                <w:highlight w:val="none"/>
              </w:rPr>
              <w:t>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94" w:hRule="atLeast"/>
          <w:jc w:val="center"/>
        </w:trPr>
        <w:tc>
          <w:tcPr>
            <w:tcW w:w="168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eastAsia"/>
                <w:highlight w:val="none"/>
                <w:lang w:val="en-US" w:eastAsia="zh-CN"/>
              </w:rPr>
            </w:pPr>
            <w:r>
              <w:rPr>
                <w:rFonts w:hint="eastAsia"/>
                <w:highlight w:val="none"/>
                <w:lang w:val="en-US" w:eastAsia="zh-CN"/>
              </w:rPr>
              <w:t>CX1标</w:t>
            </w:r>
          </w:p>
        </w:tc>
        <w:tc>
          <w:tcPr>
            <w:tcW w:w="68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eastAsia"/>
                <w:highlight w:val="none"/>
              </w:rPr>
            </w:pPr>
            <w:r>
              <w:rPr>
                <w:rFonts w:hint="eastAsia"/>
                <w:highlight w:val="none"/>
              </w:rPr>
              <w:t>近5年承揽高速公路抽芯检测合同累计金额不少于200万元。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4" w:hRule="atLeast"/>
          <w:jc w:val="center"/>
        </w:trPr>
        <w:tc>
          <w:tcPr>
            <w:tcW w:w="168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eastAsia"/>
                <w:highlight w:val="none"/>
              </w:rPr>
            </w:pPr>
            <w:r>
              <w:rPr>
                <w:rFonts w:hint="eastAsia"/>
                <w:highlight w:val="none"/>
                <w:lang w:val="en-US" w:eastAsia="zh-CN"/>
              </w:rPr>
              <w:t>CX2标</w:t>
            </w:r>
          </w:p>
        </w:tc>
        <w:tc>
          <w:tcPr>
            <w:tcW w:w="68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eastAsia"/>
                <w:highlight w:val="none"/>
              </w:rPr>
            </w:pPr>
            <w:r>
              <w:rPr>
                <w:rFonts w:hint="eastAsia"/>
                <w:highlight w:val="none"/>
              </w:rPr>
              <w:t>近5年承揽高速公路抽芯检测合同累计金额不少于200万元。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4" w:hRule="atLeast"/>
          <w:jc w:val="center"/>
        </w:trPr>
        <w:tc>
          <w:tcPr>
            <w:tcW w:w="1686"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eastAsia"/>
                <w:highlight w:val="none"/>
                <w:lang w:val="en-US" w:eastAsia="zh-CN"/>
              </w:rPr>
            </w:pPr>
            <w:r>
              <w:rPr>
                <w:rFonts w:hint="eastAsia"/>
                <w:highlight w:val="none"/>
                <w:lang w:val="en-US" w:eastAsia="zh-CN"/>
              </w:rPr>
              <w:t>WS标</w:t>
            </w:r>
          </w:p>
        </w:tc>
        <w:tc>
          <w:tcPr>
            <w:tcW w:w="683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both"/>
              <w:textAlignment w:val="baseline"/>
              <w:rPr>
                <w:rFonts w:hint="eastAsia"/>
                <w:highlight w:val="none"/>
              </w:rPr>
            </w:pPr>
            <w:r>
              <w:rPr>
                <w:rFonts w:hint="eastAsia"/>
                <w:highlight w:val="none"/>
              </w:rPr>
              <w:t>近5年承揽高速公路桩基无损检测合同累计金额不少于200万元。</w:t>
            </w:r>
          </w:p>
        </w:tc>
      </w:tr>
    </w:tbl>
    <w:p>
      <w:pPr>
        <w:spacing w:line="288" w:lineRule="auto"/>
        <w:rPr>
          <w:rFonts w:hint="eastAsia"/>
          <w:color w:val="auto"/>
          <w:sz w:val="18"/>
          <w:szCs w:val="18"/>
          <w:highlight w:val="none"/>
        </w:rPr>
      </w:pPr>
    </w:p>
    <w:p>
      <w:pPr>
        <w:spacing w:line="288" w:lineRule="auto"/>
        <w:rPr>
          <w:rFonts w:hint="eastAsia"/>
          <w:color w:val="auto"/>
          <w:sz w:val="18"/>
          <w:szCs w:val="18"/>
          <w:highlight w:val="none"/>
        </w:rPr>
      </w:pPr>
    </w:p>
    <w:p>
      <w:pPr>
        <w:spacing w:before="120" w:beforeLines="50"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注：1.近5年指201</w:t>
      </w:r>
      <w:r>
        <w:rPr>
          <w:rFonts w:hint="eastAsia" w:hAnsi="宋体"/>
          <w:color w:val="auto"/>
          <w:sz w:val="21"/>
          <w:szCs w:val="21"/>
          <w:highlight w:val="none"/>
          <w:lang w:val="en-US" w:eastAsia="zh-CN"/>
        </w:rPr>
        <w:t>8</w:t>
      </w:r>
      <w:r>
        <w:rPr>
          <w:rFonts w:hint="eastAsia" w:hAnsi="宋体"/>
          <w:color w:val="auto"/>
          <w:sz w:val="21"/>
          <w:szCs w:val="21"/>
          <w:highlight w:val="none"/>
        </w:rPr>
        <w:t>年</w:t>
      </w:r>
      <w:r>
        <w:rPr>
          <w:rFonts w:hint="eastAsia" w:hAnsi="宋体"/>
          <w:color w:val="auto"/>
          <w:sz w:val="21"/>
          <w:szCs w:val="21"/>
          <w:highlight w:val="none"/>
          <w:lang w:val="en-US" w:eastAsia="zh-CN"/>
        </w:rPr>
        <w:t>1</w:t>
      </w:r>
      <w:r>
        <w:rPr>
          <w:rFonts w:hint="eastAsia" w:hAnsi="宋体"/>
          <w:color w:val="auto"/>
          <w:sz w:val="21"/>
          <w:szCs w:val="21"/>
          <w:highlight w:val="none"/>
        </w:rPr>
        <w:t>月1日至投标文件递交之日，业绩计算时间以合同协议书签订日期为准。</w:t>
      </w:r>
    </w:p>
    <w:p>
      <w:pPr>
        <w:spacing w:before="120" w:beforeLines="50"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2.所列业绩应提供合同协议书，否则，其业绩不予认定。如投标人签订合同</w:t>
      </w:r>
      <w:r>
        <w:rPr>
          <w:rFonts w:hint="eastAsia" w:hAnsi="宋体"/>
          <w:color w:val="auto"/>
          <w:sz w:val="21"/>
          <w:szCs w:val="21"/>
          <w:highlight w:val="none"/>
          <w:lang w:val="en-US" w:eastAsia="zh-CN"/>
        </w:rPr>
        <w:t>不能体现合同金额的</w:t>
      </w:r>
      <w:r>
        <w:rPr>
          <w:rFonts w:hint="eastAsia" w:hAnsi="宋体"/>
          <w:color w:val="auto"/>
          <w:sz w:val="21"/>
          <w:szCs w:val="21"/>
          <w:highlight w:val="none"/>
        </w:rPr>
        <w:t>，投标人还应同时提供该合同的合同结算书。如合同协议书或结算书不能反映合同金额及其他相关指标，投标人还应提供能反映合同金额及其他指标的发包人证明。不能合理判断的业绩不予认可。</w:t>
      </w:r>
    </w:p>
    <w:p>
      <w:pPr>
        <w:spacing w:before="120" w:beforeLines="50"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3.如近年来，投标人法人机构发生合法变更或重组或法人名称变更时，应提供相关部门的合法批件或其他相关证明材料以证明其所附业绩的继承性。</w:t>
      </w:r>
    </w:p>
    <w:p>
      <w:pPr>
        <w:spacing w:before="120" w:beforeLines="50"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4．招标人如发现业绩有不实或做假，将导致资格审查不通过。</w:t>
      </w:r>
    </w:p>
    <w:p>
      <w:pPr>
        <w:bidi w:val="0"/>
        <w:rPr>
          <w:rFonts w:hint="eastAsia"/>
          <w:highlight w:val="none"/>
        </w:rPr>
      </w:pPr>
      <w:r>
        <w:rPr>
          <w:rFonts w:hint="eastAsia"/>
          <w:highlight w:val="none"/>
        </w:rPr>
        <w:br w:type="page"/>
      </w:r>
    </w:p>
    <w:p>
      <w:pPr>
        <w:pStyle w:val="3"/>
        <w:bidi w:val="0"/>
        <w:jc w:val="center"/>
        <w:rPr>
          <w:rFonts w:hint="eastAsia" w:ascii="宋体" w:hAnsi="宋体" w:eastAsia="宋体" w:cs="宋体"/>
          <w:b/>
          <w:bCs w:val="0"/>
          <w:highlight w:val="none"/>
          <w:lang w:val="en-US" w:eastAsia="zh-CN"/>
        </w:rPr>
      </w:pPr>
      <w:r>
        <w:rPr>
          <w:rFonts w:hint="eastAsia" w:ascii="宋体" w:hAnsi="宋体" w:eastAsia="宋体" w:cs="宋体"/>
          <w:b/>
          <w:bCs w:val="0"/>
          <w:highlight w:val="none"/>
          <w:lang w:val="en-US" w:eastAsia="zh-CN"/>
        </w:rPr>
        <w:t>附录3  资格审查条件（信誉最低条件）</w:t>
      </w:r>
    </w:p>
    <w:p>
      <w:pPr>
        <w:bidi w:val="0"/>
        <w:rPr>
          <w:rFonts w:hint="eastAsia"/>
          <w:highlight w:val="none"/>
          <w:lang w:val="en-US" w:eastAsia="zh-CN"/>
        </w:rPr>
      </w:pPr>
    </w:p>
    <w:tbl>
      <w:tblPr>
        <w:tblStyle w:val="7"/>
        <w:tblW w:w="852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852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eastAsia"/>
                <w:highlight w:val="none"/>
              </w:rPr>
            </w:pPr>
            <w:r>
              <w:rPr>
                <w:rFonts w:hint="eastAsia"/>
                <w:highlight w:val="none"/>
              </w:rPr>
              <w:t>信 誉 要 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85" w:hRule="atLeast"/>
          <w:jc w:val="center"/>
        </w:trPr>
        <w:tc>
          <w:tcPr>
            <w:tcW w:w="8528" w:type="dxa"/>
            <w:tcBorders>
              <w:top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textAlignment w:val="baseline"/>
              <w:rPr>
                <w:rFonts w:hint="eastAsia"/>
                <w:highlight w:val="none"/>
              </w:rPr>
            </w:pPr>
            <w:r>
              <w:rPr>
                <w:rFonts w:hint="eastAsia"/>
                <w:highlight w:val="none"/>
                <w:lang w:val="en-US" w:eastAsia="zh-CN"/>
              </w:rPr>
              <w:t>1</w:t>
            </w:r>
            <w:r>
              <w:rPr>
                <w:rFonts w:hint="eastAsia"/>
                <w:highlight w:val="none"/>
              </w:rPr>
              <w:t>．没有处于被责令停业，财务被接管、冻结、破产状态；</w:t>
            </w:r>
          </w:p>
          <w:p>
            <w:pPr>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highlight w:val="none"/>
              </w:rPr>
            </w:pPr>
            <w:r>
              <w:rPr>
                <w:rFonts w:hint="eastAsia"/>
                <w:highlight w:val="none"/>
                <w:lang w:val="en-US" w:eastAsia="zh-CN"/>
              </w:rPr>
              <w:t>2</w:t>
            </w:r>
            <w:r>
              <w:rPr>
                <w:rFonts w:hint="eastAsia"/>
                <w:highlight w:val="none"/>
              </w:rPr>
              <w:t>．没有被交通运输部或广东省交通运输厅通报而取消相应投标资格（处于有效期内）；</w:t>
            </w:r>
          </w:p>
          <w:p>
            <w:pPr>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highlight w:val="none"/>
              </w:rPr>
            </w:pPr>
            <w:r>
              <w:rPr>
                <w:rFonts w:hint="eastAsia"/>
                <w:highlight w:val="none"/>
                <w:lang w:val="en-US" w:eastAsia="zh-CN"/>
              </w:rPr>
              <w:t>3</w:t>
            </w:r>
            <w:r>
              <w:rPr>
                <w:rFonts w:hint="eastAsia"/>
                <w:highlight w:val="none"/>
              </w:rPr>
              <w:t>．投标人没有涉及正在诉讼的案件，或虽涉及正在诉讼的案件但经评审委员会认定不会对承担本项目造成重大影响；</w:t>
            </w:r>
          </w:p>
          <w:p>
            <w:pPr>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highlight w:val="none"/>
              </w:rPr>
            </w:pPr>
            <w:r>
              <w:rPr>
                <w:rFonts w:hint="eastAsia"/>
                <w:highlight w:val="none"/>
              </w:rPr>
              <w:t>4．投标人近三年内没有因行贿犯罪而被人民法院判决、裁定生效的行为，投标人的法定代表人、拟委任的项目负责人、技术负责人近三年内没有因行贿犯罪而被判刑的行为。</w:t>
            </w:r>
          </w:p>
        </w:tc>
      </w:tr>
    </w:tbl>
    <w:p>
      <w:pPr>
        <w:bidi w:val="0"/>
        <w:rPr>
          <w:rFonts w:hint="eastAsia"/>
          <w:highlight w:val="none"/>
        </w:rPr>
      </w:pPr>
      <w:r>
        <w:rPr>
          <w:rFonts w:hint="eastAsia"/>
          <w:highlight w:val="none"/>
        </w:rPr>
        <w:br w:type="page"/>
      </w:r>
    </w:p>
    <w:p>
      <w:pPr>
        <w:pStyle w:val="3"/>
        <w:bidi w:val="0"/>
        <w:jc w:val="center"/>
        <w:rPr>
          <w:rFonts w:hint="eastAsia" w:ascii="宋体" w:hAnsi="宋体" w:eastAsia="宋体" w:cs="宋体"/>
          <w:b/>
          <w:bCs w:val="0"/>
          <w:highlight w:val="none"/>
        </w:rPr>
      </w:pPr>
      <w:r>
        <w:rPr>
          <w:rFonts w:hint="eastAsia" w:ascii="宋体" w:hAnsi="宋体" w:eastAsia="宋体" w:cs="宋体"/>
          <w:b/>
          <w:bCs w:val="0"/>
          <w:highlight w:val="none"/>
        </w:rPr>
        <w:t xml:space="preserve">附录4 </w:t>
      </w:r>
      <w:r>
        <w:rPr>
          <w:rFonts w:hint="eastAsia" w:ascii="宋体" w:hAnsi="宋体" w:eastAsia="宋体" w:cs="宋体"/>
          <w:b/>
          <w:bCs w:val="0"/>
          <w:highlight w:val="none"/>
          <w:lang w:val="en-US" w:eastAsia="zh-CN"/>
        </w:rPr>
        <w:t xml:space="preserve"> </w:t>
      </w:r>
      <w:r>
        <w:rPr>
          <w:rFonts w:hint="eastAsia" w:ascii="宋体" w:hAnsi="宋体" w:eastAsia="宋体" w:cs="宋体"/>
          <w:b/>
          <w:bCs w:val="0"/>
          <w:highlight w:val="none"/>
        </w:rPr>
        <w:t>资格审查条件（主要人员最低要求）</w:t>
      </w:r>
    </w:p>
    <w:p>
      <w:pPr>
        <w:bidi w:val="0"/>
        <w:rPr>
          <w:rFonts w:hint="eastAsia"/>
          <w:highlight w:val="none"/>
        </w:rPr>
      </w:pPr>
    </w:p>
    <w:p>
      <w:pPr>
        <w:pStyle w:val="2"/>
        <w:ind w:left="0" w:leftChars="0"/>
        <w:rPr>
          <w:rFonts w:hint="eastAsia" w:eastAsia="宋体"/>
          <w:highlight w:val="none"/>
          <w:lang w:eastAsia="zh-CN"/>
        </w:rPr>
      </w:pPr>
      <w:r>
        <w:rPr>
          <w:rFonts w:hint="eastAsia" w:hAnsi="宋体"/>
          <w:sz w:val="24"/>
          <w:highlight w:val="none"/>
        </w:rPr>
        <w:t>适用于</w:t>
      </w:r>
      <w:r>
        <w:rPr>
          <w:rFonts w:hint="eastAsia" w:hAnsi="宋体"/>
          <w:sz w:val="24"/>
          <w:highlight w:val="none"/>
          <w:lang w:val="en-US" w:eastAsia="zh-CN"/>
        </w:rPr>
        <w:t>CX1</w:t>
      </w:r>
      <w:r>
        <w:rPr>
          <w:rFonts w:hint="eastAsia" w:hAnsi="宋体"/>
          <w:sz w:val="24"/>
          <w:highlight w:val="none"/>
        </w:rPr>
        <w:t>标</w:t>
      </w:r>
      <w:r>
        <w:rPr>
          <w:rFonts w:hint="eastAsia" w:hAnsi="宋体"/>
          <w:sz w:val="24"/>
          <w:highlight w:val="none"/>
          <w:lang w:eastAsia="zh-CN"/>
        </w:rPr>
        <w:t>、</w:t>
      </w:r>
      <w:r>
        <w:rPr>
          <w:rFonts w:hint="eastAsia" w:hAnsi="宋体"/>
          <w:sz w:val="24"/>
          <w:highlight w:val="none"/>
          <w:lang w:val="en-US" w:eastAsia="zh-CN"/>
        </w:rPr>
        <w:t>CX2</w:t>
      </w:r>
      <w:r>
        <w:rPr>
          <w:rFonts w:hint="eastAsia" w:hAnsi="宋体"/>
          <w:sz w:val="24"/>
          <w:highlight w:val="none"/>
        </w:rPr>
        <w:t>标</w:t>
      </w:r>
      <w:r>
        <w:rPr>
          <w:rFonts w:hint="eastAsia" w:hAnsi="宋体"/>
          <w:sz w:val="24"/>
          <w:highlight w:val="none"/>
          <w:lang w:eastAsia="zh-CN"/>
        </w:rPr>
        <w:t>、</w:t>
      </w:r>
      <w:r>
        <w:rPr>
          <w:rFonts w:hint="eastAsia" w:hAnsi="宋体"/>
          <w:sz w:val="24"/>
          <w:highlight w:val="none"/>
          <w:lang w:val="en-US" w:eastAsia="zh-CN"/>
        </w:rPr>
        <w:t>WS</w:t>
      </w:r>
      <w:r>
        <w:rPr>
          <w:rFonts w:hint="eastAsia" w:hAnsi="宋体"/>
          <w:sz w:val="24"/>
          <w:highlight w:val="none"/>
        </w:rPr>
        <w:t>标</w:t>
      </w:r>
    </w:p>
    <w:tbl>
      <w:tblPr>
        <w:tblStyle w:val="7"/>
        <w:tblW w:w="8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870"/>
        <w:gridCol w:w="5205"/>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b/>
                <w:bCs/>
                <w:sz w:val="24"/>
                <w:highlight w:val="none"/>
              </w:rPr>
            </w:pPr>
            <w:r>
              <w:rPr>
                <w:rFonts w:hAnsi="宋体"/>
                <w:b/>
                <w:bCs/>
                <w:sz w:val="24"/>
                <w:highlight w:val="none"/>
              </w:rPr>
              <w:t>人</w:t>
            </w:r>
            <w:r>
              <w:rPr>
                <w:rFonts w:hint="eastAsia"/>
                <w:b/>
                <w:bCs/>
                <w:sz w:val="24"/>
                <w:highlight w:val="none"/>
                <w:lang w:val="en-US" w:eastAsia="zh-CN"/>
              </w:rPr>
              <w:t xml:space="preserve"> </w:t>
            </w:r>
            <w:r>
              <w:rPr>
                <w:rFonts w:hAnsi="宋体"/>
                <w:b/>
                <w:bCs/>
                <w:sz w:val="24"/>
                <w:highlight w:val="none"/>
              </w:rPr>
              <w:t>员</w:t>
            </w:r>
          </w:p>
        </w:tc>
        <w:tc>
          <w:tcPr>
            <w:tcW w:w="87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b/>
                <w:bCs/>
                <w:sz w:val="24"/>
                <w:highlight w:val="none"/>
              </w:rPr>
            </w:pPr>
            <w:r>
              <w:rPr>
                <w:rFonts w:hAnsi="宋体"/>
                <w:b/>
                <w:bCs/>
                <w:sz w:val="24"/>
                <w:highlight w:val="none"/>
              </w:rPr>
              <w:t>数</w:t>
            </w:r>
            <w:r>
              <w:rPr>
                <w:rFonts w:hint="eastAsia" w:hAnsi="宋体"/>
                <w:b/>
                <w:bCs/>
                <w:sz w:val="24"/>
                <w:highlight w:val="none"/>
                <w:lang w:val="en-US" w:eastAsia="zh-CN"/>
              </w:rPr>
              <w:t xml:space="preserve"> </w:t>
            </w:r>
            <w:r>
              <w:rPr>
                <w:rFonts w:hAnsi="宋体"/>
                <w:b/>
                <w:bCs/>
                <w:sz w:val="24"/>
                <w:highlight w:val="none"/>
              </w:rPr>
              <w:t>量</w:t>
            </w:r>
          </w:p>
        </w:tc>
        <w:tc>
          <w:tcPr>
            <w:tcW w:w="520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b/>
                <w:bCs/>
                <w:sz w:val="24"/>
                <w:highlight w:val="none"/>
              </w:rPr>
            </w:pPr>
            <w:r>
              <w:rPr>
                <w:rFonts w:hAnsi="宋体"/>
                <w:b/>
                <w:bCs/>
                <w:sz w:val="24"/>
                <w:highlight w:val="none"/>
              </w:rPr>
              <w:t>资</w:t>
            </w:r>
            <w:r>
              <w:rPr>
                <w:b/>
                <w:bCs/>
                <w:sz w:val="24"/>
                <w:highlight w:val="none"/>
              </w:rPr>
              <w:t xml:space="preserve"> </w:t>
            </w:r>
            <w:r>
              <w:rPr>
                <w:rFonts w:hAnsi="宋体"/>
                <w:b/>
                <w:bCs/>
                <w:sz w:val="24"/>
                <w:highlight w:val="none"/>
              </w:rPr>
              <w:t>格</w:t>
            </w:r>
            <w:r>
              <w:rPr>
                <w:b/>
                <w:bCs/>
                <w:sz w:val="24"/>
                <w:highlight w:val="none"/>
              </w:rPr>
              <w:t xml:space="preserve"> </w:t>
            </w:r>
            <w:r>
              <w:rPr>
                <w:rFonts w:hAnsi="宋体"/>
                <w:b/>
                <w:bCs/>
                <w:sz w:val="24"/>
                <w:highlight w:val="none"/>
              </w:rPr>
              <w:t>要</w:t>
            </w:r>
            <w:r>
              <w:rPr>
                <w:b/>
                <w:bCs/>
                <w:sz w:val="24"/>
                <w:highlight w:val="none"/>
              </w:rPr>
              <w:t xml:space="preserve"> </w:t>
            </w:r>
            <w:r>
              <w:rPr>
                <w:rFonts w:hAnsi="宋体"/>
                <w:b/>
                <w:bCs/>
                <w:sz w:val="24"/>
                <w:highlight w:val="none"/>
              </w:rPr>
              <w:t>求</w:t>
            </w:r>
          </w:p>
        </w:tc>
        <w:tc>
          <w:tcPr>
            <w:tcW w:w="1017"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eastAsia" w:hAnsi="宋体"/>
                <w:b/>
                <w:bCs/>
                <w:sz w:val="24"/>
                <w:highlight w:val="none"/>
              </w:rPr>
            </w:pPr>
            <w:r>
              <w:rPr>
                <w:rFonts w:hint="eastAsia" w:hAnsi="宋体"/>
                <w:b/>
                <w:bCs/>
                <w:sz w:val="24"/>
                <w:highlight w:val="none"/>
              </w:rPr>
              <w:t>备</w:t>
            </w:r>
            <w:r>
              <w:rPr>
                <w:rFonts w:hint="eastAsia" w:hAnsi="宋体"/>
                <w:b/>
                <w:bCs/>
                <w:sz w:val="24"/>
                <w:highlight w:val="none"/>
                <w:lang w:val="en-US" w:eastAsia="zh-CN"/>
              </w:rPr>
              <w:t xml:space="preserve"> </w:t>
            </w:r>
            <w:r>
              <w:rPr>
                <w:rFonts w:hint="eastAsia" w:hAnsi="宋体"/>
                <w:b/>
                <w:bCs/>
                <w:sz w:val="24"/>
                <w:highlight w:val="none"/>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1"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sz w:val="24"/>
                <w:highlight w:val="none"/>
              </w:rPr>
            </w:pPr>
            <w:r>
              <w:rPr>
                <w:rFonts w:hAnsi="宋体"/>
                <w:sz w:val="24"/>
                <w:highlight w:val="none"/>
              </w:rPr>
              <w:t>项目负责人</w:t>
            </w:r>
          </w:p>
        </w:tc>
        <w:tc>
          <w:tcPr>
            <w:tcW w:w="87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sz w:val="24"/>
                <w:highlight w:val="none"/>
              </w:rPr>
            </w:pPr>
            <w:r>
              <w:rPr>
                <w:sz w:val="24"/>
                <w:highlight w:val="none"/>
              </w:rPr>
              <w:t>1</w:t>
            </w:r>
          </w:p>
        </w:tc>
        <w:tc>
          <w:tcPr>
            <w:tcW w:w="5205"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baseline"/>
              <w:rPr>
                <w:sz w:val="24"/>
                <w:highlight w:val="none"/>
              </w:rPr>
            </w:pPr>
            <w:r>
              <w:rPr>
                <w:rFonts w:hint="eastAsia" w:hAnsi="宋体"/>
                <w:sz w:val="24"/>
                <w:highlight w:val="none"/>
              </w:rPr>
              <w:t>工程师或以上职称，持交通运输部</w:t>
            </w:r>
            <w:r>
              <w:rPr>
                <w:sz w:val="24"/>
                <w:highlight w:val="none"/>
              </w:rPr>
              <w:t>工程质量监督机构颁发的</w:t>
            </w:r>
            <w:r>
              <w:rPr>
                <w:rFonts w:hint="eastAsia" w:hAnsi="宋体"/>
                <w:sz w:val="24"/>
                <w:highlight w:val="none"/>
              </w:rPr>
              <w:t>试验检测工程师证书。</w:t>
            </w:r>
          </w:p>
        </w:tc>
        <w:tc>
          <w:tcPr>
            <w:tcW w:w="1017" w:type="dxa"/>
            <w:vMerge w:val="restart"/>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baseline"/>
              <w:rPr>
                <w:rFonts w:hint="eastAsia"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Ansi="宋体"/>
                <w:sz w:val="24"/>
                <w:highlight w:val="none"/>
              </w:rPr>
            </w:pPr>
            <w:r>
              <w:rPr>
                <w:rFonts w:hAnsi="宋体"/>
                <w:sz w:val="24"/>
                <w:highlight w:val="none"/>
              </w:rPr>
              <w:t>技术负责人</w:t>
            </w:r>
          </w:p>
        </w:tc>
        <w:tc>
          <w:tcPr>
            <w:tcW w:w="87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sz w:val="24"/>
                <w:highlight w:val="none"/>
              </w:rPr>
            </w:pPr>
            <w:r>
              <w:rPr>
                <w:sz w:val="24"/>
                <w:highlight w:val="none"/>
              </w:rPr>
              <w:t>1</w:t>
            </w:r>
          </w:p>
        </w:tc>
        <w:tc>
          <w:tcPr>
            <w:tcW w:w="5205"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hAnsi="宋体"/>
                <w:sz w:val="24"/>
                <w:highlight w:val="none"/>
              </w:rPr>
            </w:pPr>
            <w:r>
              <w:rPr>
                <w:rFonts w:hint="eastAsia" w:hAnsi="宋体"/>
                <w:sz w:val="24"/>
                <w:highlight w:val="none"/>
              </w:rPr>
              <w:t>高级</w:t>
            </w:r>
            <w:r>
              <w:rPr>
                <w:rFonts w:hAnsi="宋体"/>
                <w:sz w:val="24"/>
                <w:highlight w:val="none"/>
              </w:rPr>
              <w:t>工程师或以上职称，</w:t>
            </w:r>
            <w:r>
              <w:rPr>
                <w:rFonts w:hint="eastAsia" w:hAnsi="宋体"/>
                <w:sz w:val="24"/>
                <w:highlight w:val="none"/>
              </w:rPr>
              <w:t>持交通运输部</w:t>
            </w:r>
            <w:r>
              <w:rPr>
                <w:sz w:val="24"/>
                <w:highlight w:val="none"/>
              </w:rPr>
              <w:t>工程质量监督机构颁发的</w:t>
            </w:r>
            <w:r>
              <w:rPr>
                <w:rFonts w:hint="eastAsia" w:hAnsi="宋体"/>
                <w:sz w:val="24"/>
                <w:highlight w:val="none"/>
              </w:rPr>
              <w:t>试验检测工程师证书。</w:t>
            </w:r>
          </w:p>
        </w:tc>
        <w:tc>
          <w:tcPr>
            <w:tcW w:w="1017" w:type="dxa"/>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baseline"/>
              <w:rPr>
                <w:rFonts w:hint="eastAsia"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1"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sz w:val="24"/>
                <w:highlight w:val="none"/>
              </w:rPr>
            </w:pPr>
            <w:r>
              <w:rPr>
                <w:rFonts w:hAnsi="宋体"/>
                <w:sz w:val="24"/>
                <w:highlight w:val="none"/>
              </w:rPr>
              <w:t>专业检测工程师</w:t>
            </w:r>
          </w:p>
        </w:tc>
        <w:tc>
          <w:tcPr>
            <w:tcW w:w="87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sz w:val="24"/>
                <w:highlight w:val="none"/>
              </w:rPr>
            </w:pPr>
            <w:r>
              <w:rPr>
                <w:sz w:val="24"/>
                <w:highlight w:val="none"/>
              </w:rPr>
              <w:t>2</w:t>
            </w:r>
          </w:p>
        </w:tc>
        <w:tc>
          <w:tcPr>
            <w:tcW w:w="5205"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baseline"/>
              <w:rPr>
                <w:sz w:val="24"/>
                <w:highlight w:val="none"/>
              </w:rPr>
            </w:pPr>
            <w:r>
              <w:rPr>
                <w:rFonts w:hAnsi="宋体"/>
                <w:sz w:val="24"/>
                <w:highlight w:val="none"/>
              </w:rPr>
              <w:t>工程师或以上职称，</w:t>
            </w:r>
            <w:r>
              <w:rPr>
                <w:rFonts w:hint="eastAsia" w:hAnsi="宋体"/>
                <w:sz w:val="24"/>
                <w:highlight w:val="none"/>
              </w:rPr>
              <w:t>持交通运输部</w:t>
            </w:r>
            <w:r>
              <w:rPr>
                <w:sz w:val="24"/>
                <w:highlight w:val="none"/>
              </w:rPr>
              <w:t>工程质量监督机构颁发的</w:t>
            </w:r>
            <w:r>
              <w:rPr>
                <w:rFonts w:hint="eastAsia" w:hAnsi="宋体"/>
                <w:sz w:val="24"/>
                <w:highlight w:val="none"/>
              </w:rPr>
              <w:t>试验检测工程师证书。</w:t>
            </w:r>
          </w:p>
        </w:tc>
        <w:tc>
          <w:tcPr>
            <w:tcW w:w="1017" w:type="dxa"/>
            <w:vMerge w:val="restart"/>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baseline"/>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5" w:hRule="atLeast"/>
          <w:jc w:val="center"/>
        </w:trPr>
        <w:tc>
          <w:tcPr>
            <w:tcW w:w="1424"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sz w:val="24"/>
                <w:highlight w:val="none"/>
              </w:rPr>
            </w:pPr>
            <w:r>
              <w:rPr>
                <w:rFonts w:hAnsi="宋体"/>
                <w:sz w:val="24"/>
                <w:highlight w:val="none"/>
              </w:rPr>
              <w:t>检测员</w:t>
            </w:r>
          </w:p>
        </w:tc>
        <w:tc>
          <w:tcPr>
            <w:tcW w:w="870"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baseline"/>
              <w:rPr>
                <w:rFonts w:hint="eastAsia"/>
                <w:sz w:val="24"/>
                <w:highlight w:val="none"/>
              </w:rPr>
            </w:pPr>
            <w:r>
              <w:rPr>
                <w:rFonts w:hint="eastAsia"/>
                <w:sz w:val="24"/>
                <w:highlight w:val="none"/>
              </w:rPr>
              <w:t>5</w:t>
            </w:r>
          </w:p>
        </w:tc>
        <w:tc>
          <w:tcPr>
            <w:tcW w:w="5205"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baseline"/>
              <w:rPr>
                <w:sz w:val="24"/>
                <w:highlight w:val="none"/>
              </w:rPr>
            </w:pPr>
            <w:r>
              <w:rPr>
                <w:rFonts w:ascii="宋体" w:hAnsi="宋体"/>
                <w:sz w:val="24"/>
                <w:highlight w:val="none"/>
              </w:rPr>
              <w:t>助理工程师或以上职称</w:t>
            </w:r>
            <w:r>
              <w:rPr>
                <w:rFonts w:hint="eastAsia" w:ascii="宋体" w:hAnsi="宋体"/>
                <w:sz w:val="24"/>
                <w:highlight w:val="none"/>
              </w:rPr>
              <w:t>，</w:t>
            </w:r>
            <w:r>
              <w:rPr>
                <w:sz w:val="24"/>
                <w:highlight w:val="none"/>
              </w:rPr>
              <w:t>持有交通运输部工程质量监督机构颁发的</w:t>
            </w:r>
            <w:r>
              <w:rPr>
                <w:rFonts w:ascii="宋体" w:hAnsi="宋体"/>
                <w:sz w:val="24"/>
                <w:highlight w:val="none"/>
              </w:rPr>
              <w:t>试验检测员证书。</w:t>
            </w:r>
          </w:p>
        </w:tc>
        <w:tc>
          <w:tcPr>
            <w:tcW w:w="1017" w:type="dxa"/>
            <w:vMerge w:val="continue"/>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baseline"/>
              <w:rPr>
                <w:rFonts w:ascii="宋体" w:hAnsi="宋体"/>
                <w:sz w:val="24"/>
                <w:highlight w:val="none"/>
              </w:rPr>
            </w:pPr>
          </w:p>
        </w:tc>
      </w:tr>
    </w:tbl>
    <w:p>
      <w:pPr>
        <w:rPr>
          <w:rFonts w:ascii="宋体" w:hAnsi="宋体"/>
          <w:bCs/>
          <w:sz w:val="18"/>
          <w:szCs w:val="18"/>
          <w:highlight w:val="none"/>
        </w:rPr>
      </w:pPr>
    </w:p>
    <w:p>
      <w:pPr>
        <w:spacing w:line="440" w:lineRule="exact"/>
        <w:ind w:left="418" w:leftChars="174" w:firstLine="0" w:firstLineChars="0"/>
        <w:jc w:val="left"/>
        <w:rPr>
          <w:rFonts w:ascii="宋体" w:hAnsi="宋体"/>
          <w:bCs/>
          <w:sz w:val="21"/>
          <w:szCs w:val="18"/>
          <w:highlight w:val="none"/>
        </w:rPr>
      </w:pPr>
      <w:r>
        <w:rPr>
          <w:rFonts w:hint="eastAsia" w:ascii="宋体" w:hAnsi="宋体"/>
          <w:bCs/>
          <w:sz w:val="21"/>
          <w:szCs w:val="18"/>
          <w:highlight w:val="none"/>
        </w:rPr>
        <w:t>注：（1）</w:t>
      </w:r>
      <w:r>
        <w:rPr>
          <w:rFonts w:hint="eastAsia"/>
          <w:sz w:val="21"/>
          <w:szCs w:val="16"/>
          <w:highlight w:val="none"/>
        </w:rPr>
        <w:t>本</w:t>
      </w:r>
      <w:r>
        <w:rPr>
          <w:rFonts w:hint="eastAsia" w:ascii="宋体" w:hAnsi="宋体"/>
          <w:bCs/>
          <w:sz w:val="21"/>
          <w:szCs w:val="18"/>
          <w:highlight w:val="none"/>
        </w:rPr>
        <w:t>表项目负责人</w:t>
      </w:r>
      <w:r>
        <w:rPr>
          <w:rFonts w:hint="eastAsia" w:ascii="宋体" w:hAnsi="宋体"/>
          <w:bCs/>
          <w:sz w:val="21"/>
          <w:szCs w:val="18"/>
          <w:highlight w:val="none"/>
          <w:lang w:eastAsia="zh-CN"/>
        </w:rPr>
        <w:t>、</w:t>
      </w:r>
      <w:r>
        <w:rPr>
          <w:rFonts w:hint="eastAsia" w:ascii="宋体" w:hAnsi="宋体"/>
          <w:bCs/>
          <w:sz w:val="21"/>
          <w:szCs w:val="18"/>
          <w:highlight w:val="none"/>
          <w:lang w:val="en-US" w:eastAsia="zh-CN"/>
        </w:rPr>
        <w:t>技术负责人</w:t>
      </w:r>
      <w:r>
        <w:rPr>
          <w:rFonts w:hint="eastAsia" w:ascii="宋体" w:hAnsi="宋体"/>
          <w:bCs/>
          <w:sz w:val="21"/>
          <w:szCs w:val="18"/>
          <w:highlight w:val="none"/>
        </w:rPr>
        <w:t>要求填写投标文件格式资格审查资料表；专业检测工程师和检测员仅需提交投标文件格式中</w:t>
      </w:r>
      <w:r>
        <w:rPr>
          <w:rFonts w:hint="eastAsia" w:ascii="宋体" w:hAnsi="宋体"/>
          <w:bCs/>
          <w:sz w:val="21"/>
          <w:szCs w:val="18"/>
          <w:highlight w:val="none"/>
          <w:lang w:eastAsia="zh-CN"/>
        </w:rPr>
        <w:t>“</w:t>
      </w:r>
      <w:r>
        <w:rPr>
          <w:rFonts w:hint="eastAsia" w:ascii="宋体" w:hAnsi="宋体"/>
          <w:bCs/>
          <w:sz w:val="21"/>
          <w:szCs w:val="18"/>
          <w:highlight w:val="none"/>
        </w:rPr>
        <w:t>拟投入的人员</w:t>
      </w:r>
      <w:r>
        <w:rPr>
          <w:rFonts w:hint="eastAsia" w:ascii="宋体" w:hAnsi="宋体"/>
          <w:bCs/>
          <w:sz w:val="21"/>
          <w:szCs w:val="18"/>
          <w:highlight w:val="none"/>
          <w:lang w:eastAsia="zh-CN"/>
        </w:rPr>
        <w:t>、</w:t>
      </w:r>
      <w:r>
        <w:rPr>
          <w:rFonts w:hint="eastAsia" w:ascii="宋体" w:hAnsi="宋体"/>
          <w:bCs/>
          <w:sz w:val="21"/>
          <w:szCs w:val="18"/>
          <w:highlight w:val="none"/>
          <w:lang w:val="en-US" w:eastAsia="zh-CN"/>
        </w:rPr>
        <w:t>仪器（设备）</w:t>
      </w:r>
      <w:r>
        <w:rPr>
          <w:rFonts w:hint="eastAsia" w:ascii="宋体" w:hAnsi="宋体"/>
          <w:bCs/>
          <w:sz w:val="21"/>
          <w:szCs w:val="18"/>
          <w:highlight w:val="none"/>
        </w:rPr>
        <w:t>承诺书</w:t>
      </w:r>
      <w:r>
        <w:rPr>
          <w:rFonts w:hint="eastAsia" w:ascii="宋体" w:hAnsi="宋体"/>
          <w:bCs/>
          <w:sz w:val="21"/>
          <w:szCs w:val="18"/>
          <w:highlight w:val="none"/>
          <w:lang w:eastAsia="zh-CN"/>
        </w:rPr>
        <w:t>”</w:t>
      </w:r>
      <w:r>
        <w:rPr>
          <w:rFonts w:hint="eastAsia" w:ascii="宋体" w:hAnsi="宋体"/>
          <w:bCs/>
          <w:sz w:val="21"/>
          <w:szCs w:val="18"/>
          <w:highlight w:val="none"/>
        </w:rPr>
        <w:t>即可，中标人在项目进场前向招标人提交实际投入的人员。</w:t>
      </w:r>
    </w:p>
    <w:p>
      <w:pPr>
        <w:spacing w:line="440" w:lineRule="exact"/>
        <w:ind w:left="360" w:leftChars="150" w:firstLine="420" w:firstLineChars="200"/>
        <w:rPr>
          <w:rFonts w:ascii="宋体" w:hAnsi="宋体"/>
          <w:sz w:val="21"/>
          <w:szCs w:val="18"/>
          <w:highlight w:val="none"/>
        </w:rPr>
      </w:pPr>
      <w:r>
        <w:rPr>
          <w:rFonts w:hint="eastAsia" w:ascii="宋体" w:hAnsi="宋体"/>
          <w:bCs/>
          <w:sz w:val="21"/>
          <w:szCs w:val="18"/>
          <w:highlight w:val="none"/>
        </w:rPr>
        <w:t>（2）</w:t>
      </w:r>
      <w:r>
        <w:rPr>
          <w:rFonts w:ascii="宋体" w:hAnsi="宋体"/>
          <w:bCs/>
          <w:sz w:val="21"/>
          <w:szCs w:val="18"/>
          <w:highlight w:val="none"/>
        </w:rPr>
        <w:t>以上为本项目的</w:t>
      </w:r>
      <w:r>
        <w:rPr>
          <w:rFonts w:hint="eastAsia" w:ascii="宋体" w:hAnsi="宋体"/>
          <w:bCs/>
          <w:sz w:val="21"/>
          <w:szCs w:val="18"/>
          <w:highlight w:val="none"/>
        </w:rPr>
        <w:t>主要人员</w:t>
      </w:r>
      <w:r>
        <w:rPr>
          <w:rFonts w:ascii="宋体" w:hAnsi="宋体"/>
          <w:bCs/>
          <w:sz w:val="21"/>
          <w:szCs w:val="18"/>
          <w:highlight w:val="none"/>
        </w:rPr>
        <w:t>最低要求，合同履行期间中标人应根据监理工程师、招标人要求和</w:t>
      </w:r>
      <w:r>
        <w:rPr>
          <w:rFonts w:hint="eastAsia" w:ascii="宋体" w:hAnsi="宋体"/>
          <w:bCs/>
          <w:sz w:val="21"/>
          <w:szCs w:val="18"/>
          <w:highlight w:val="none"/>
        </w:rPr>
        <w:t>各标段</w:t>
      </w:r>
      <w:r>
        <w:rPr>
          <w:rFonts w:ascii="宋体" w:hAnsi="宋体"/>
          <w:bCs/>
          <w:sz w:val="21"/>
          <w:szCs w:val="18"/>
          <w:highlight w:val="none"/>
        </w:rPr>
        <w:t>实际进展情况增加</w:t>
      </w:r>
      <w:r>
        <w:rPr>
          <w:rFonts w:ascii="宋体" w:hAnsi="宋体"/>
          <w:sz w:val="21"/>
          <w:szCs w:val="18"/>
          <w:highlight w:val="none"/>
        </w:rPr>
        <w:t>人员以满足工程需要，并不因此增加费用。</w:t>
      </w:r>
    </w:p>
    <w:p>
      <w:pPr>
        <w:spacing w:line="440" w:lineRule="exact"/>
        <w:ind w:left="310" w:leftChars="129" w:firstLine="420" w:firstLineChars="200"/>
        <w:rPr>
          <w:sz w:val="21"/>
          <w:szCs w:val="18"/>
          <w:highlight w:val="none"/>
        </w:rPr>
      </w:pPr>
      <w:r>
        <w:rPr>
          <w:rFonts w:hint="eastAsia" w:ascii="宋体" w:hAnsi="宋体"/>
          <w:sz w:val="21"/>
          <w:szCs w:val="18"/>
          <w:highlight w:val="none"/>
        </w:rPr>
        <w:t>（3）</w:t>
      </w:r>
      <w:r>
        <w:rPr>
          <w:rFonts w:hint="eastAsia" w:ascii="宋体" w:hAnsi="宋体"/>
          <w:sz w:val="21"/>
          <w:szCs w:val="18"/>
          <w:highlight w:val="none"/>
          <w:lang w:val="en-US" w:eastAsia="zh-CN"/>
        </w:rPr>
        <w:t>附</w:t>
      </w:r>
      <w:r>
        <w:rPr>
          <w:rFonts w:hint="eastAsia" w:ascii="宋体" w:hAnsi="宋体"/>
          <w:sz w:val="21"/>
          <w:szCs w:val="18"/>
          <w:highlight w:val="none"/>
        </w:rPr>
        <w:t>投标人在社保系统打印的拟委任的项目</w:t>
      </w:r>
      <w:r>
        <w:rPr>
          <w:rFonts w:hint="eastAsia" w:ascii="宋体" w:hAnsi="宋体"/>
          <w:sz w:val="21"/>
          <w:szCs w:val="18"/>
          <w:highlight w:val="none"/>
          <w:lang w:val="en-US" w:eastAsia="zh-CN"/>
        </w:rPr>
        <w:t>负责人、技术负责人</w:t>
      </w:r>
      <w:r>
        <w:rPr>
          <w:rFonts w:hint="eastAsia" w:ascii="宋体" w:hAnsi="宋体"/>
          <w:sz w:val="21"/>
          <w:szCs w:val="18"/>
          <w:highlight w:val="none"/>
        </w:rPr>
        <w:t>参加社保的缴费明细复印件（社保时段为投标文件递交截止日前半年时间内连续不少于三个月）；如果投标人属事业法人单位且未参加社保，可由投标人的上级主管部门出具拟委任的主要人员为投标人本单位职工的书面证明材料。如主要人员在国家科研机构任职不需要缴纳社保的，须出具相关证明文件或聘书；如投标人为高等院校则可提供其社保、人事等相关部门出具的证明等相关材料</w:t>
      </w:r>
      <w:r>
        <w:rPr>
          <w:sz w:val="21"/>
          <w:szCs w:val="18"/>
          <w:highlight w:val="none"/>
        </w:rPr>
        <w:t>。</w:t>
      </w:r>
    </w:p>
    <w:p>
      <w:pPr>
        <w:bidi w:val="0"/>
        <w:rPr>
          <w:rFonts w:hint="eastAsia"/>
          <w:highlight w:val="none"/>
        </w:rPr>
      </w:pPr>
      <w:r>
        <w:rPr>
          <w:rFonts w:hint="eastAsia"/>
          <w:highlight w:val="none"/>
        </w:rPr>
        <w:br w:type="page"/>
      </w:r>
    </w:p>
    <w:p>
      <w:pPr>
        <w:pStyle w:val="3"/>
        <w:bidi w:val="0"/>
        <w:jc w:val="center"/>
        <w:rPr>
          <w:rFonts w:hint="eastAsia" w:ascii="宋体" w:hAnsi="宋体" w:eastAsia="宋体" w:cs="宋体"/>
          <w:b/>
          <w:bCs w:val="0"/>
          <w:highlight w:val="none"/>
        </w:rPr>
      </w:pPr>
      <w:r>
        <w:rPr>
          <w:rFonts w:hint="eastAsia" w:ascii="宋体" w:hAnsi="宋体" w:eastAsia="宋体" w:cs="宋体"/>
          <w:b/>
          <w:bCs w:val="0"/>
          <w:highlight w:val="none"/>
        </w:rPr>
        <w:t>附录</w:t>
      </w:r>
      <w:r>
        <w:rPr>
          <w:rFonts w:hint="eastAsia" w:ascii="宋体" w:hAnsi="宋体" w:eastAsia="宋体" w:cs="宋体"/>
          <w:b/>
          <w:bCs w:val="0"/>
          <w:highlight w:val="none"/>
          <w:lang w:val="en-US" w:eastAsia="zh-CN"/>
        </w:rPr>
        <w:t xml:space="preserve">5  </w:t>
      </w:r>
      <w:r>
        <w:rPr>
          <w:rFonts w:hint="eastAsia" w:ascii="宋体" w:hAnsi="宋体" w:eastAsia="宋体" w:cs="宋体"/>
          <w:b/>
          <w:bCs w:val="0"/>
          <w:highlight w:val="none"/>
        </w:rPr>
        <w:t>资格审查条件（主要</w:t>
      </w:r>
      <w:r>
        <w:rPr>
          <w:rFonts w:hint="eastAsia" w:ascii="宋体" w:hAnsi="宋体" w:eastAsia="宋体" w:cs="宋体"/>
          <w:b/>
          <w:bCs w:val="0"/>
          <w:highlight w:val="none"/>
          <w:lang w:val="en-US" w:eastAsia="zh-CN"/>
        </w:rPr>
        <w:t>设备</w:t>
      </w:r>
      <w:r>
        <w:rPr>
          <w:rFonts w:hint="eastAsia" w:ascii="宋体" w:hAnsi="宋体" w:eastAsia="宋体" w:cs="宋体"/>
          <w:b/>
          <w:bCs w:val="0"/>
          <w:highlight w:val="none"/>
        </w:rPr>
        <w:t>最低要求）</w:t>
      </w:r>
    </w:p>
    <w:p>
      <w:pPr>
        <w:bidi w:val="0"/>
        <w:rPr>
          <w:rFonts w:hint="eastAsia"/>
          <w:highlight w:val="none"/>
        </w:rPr>
      </w:pPr>
    </w:p>
    <w:tbl>
      <w:tblPr>
        <w:tblStyle w:val="7"/>
        <w:tblW w:w="851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4"/>
        <w:gridCol w:w="2401"/>
        <w:gridCol w:w="1184"/>
        <w:gridCol w:w="1740"/>
        <w:gridCol w:w="13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14"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b/>
                <w:bCs/>
                <w:highlight w:val="none"/>
              </w:rPr>
            </w:pPr>
            <w:r>
              <w:rPr>
                <w:rFonts w:hint="eastAsia"/>
                <w:b/>
                <w:bCs/>
                <w:highlight w:val="none"/>
              </w:rPr>
              <w:t>标</w:t>
            </w:r>
            <w:r>
              <w:rPr>
                <w:rFonts w:hint="eastAsia"/>
                <w:b/>
                <w:bCs/>
                <w:highlight w:val="none"/>
                <w:lang w:val="en-US" w:eastAsia="zh-CN"/>
              </w:rPr>
              <w:t>段</w:t>
            </w:r>
          </w:p>
        </w:tc>
        <w:tc>
          <w:tcPr>
            <w:tcW w:w="2401"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b/>
                <w:bCs/>
                <w:highlight w:val="none"/>
              </w:rPr>
            </w:pPr>
            <w:r>
              <w:rPr>
                <w:rFonts w:hint="eastAsia"/>
                <w:b/>
                <w:bCs/>
                <w:highlight w:val="none"/>
              </w:rPr>
              <w:t>设备名称</w:t>
            </w:r>
          </w:p>
        </w:tc>
        <w:tc>
          <w:tcPr>
            <w:tcW w:w="1184"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b/>
                <w:bCs/>
                <w:highlight w:val="none"/>
              </w:rPr>
            </w:pPr>
            <w:r>
              <w:rPr>
                <w:rFonts w:hint="eastAsia"/>
                <w:b/>
                <w:bCs/>
                <w:highlight w:val="none"/>
              </w:rPr>
              <w:t>单位</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b/>
                <w:bCs/>
                <w:highlight w:val="none"/>
              </w:rPr>
            </w:pPr>
            <w:r>
              <w:rPr>
                <w:rFonts w:hint="eastAsia"/>
                <w:b/>
                <w:bCs/>
                <w:highlight w:val="none"/>
              </w:rPr>
              <w:t>最低数量要求</w:t>
            </w:r>
          </w:p>
        </w:tc>
        <w:tc>
          <w:tcPr>
            <w:tcW w:w="1377"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b/>
                <w:bCs/>
                <w:highlight w:val="none"/>
              </w:rPr>
            </w:pPr>
            <w:r>
              <w:rPr>
                <w:rFonts w:hint="eastAsia"/>
                <w:b/>
                <w:bCs/>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14" w:type="dxa"/>
            <w:vMerge w:val="restart"/>
            <w:vAlign w:val="center"/>
          </w:tcPr>
          <w:p>
            <w:pPr>
              <w:ind w:firstLine="0" w:firstLineChars="0"/>
              <w:jc w:val="center"/>
              <w:rPr>
                <w:rFonts w:hint="eastAsia"/>
                <w:highlight w:val="none"/>
              </w:rPr>
            </w:pPr>
            <w:r>
              <w:rPr>
                <w:rFonts w:hint="eastAsia"/>
                <w:highlight w:val="none"/>
              </w:rPr>
              <w:t>抽芯检测</w:t>
            </w:r>
          </w:p>
          <w:p>
            <w:pPr>
              <w:ind w:firstLine="0" w:firstLineChars="0"/>
              <w:jc w:val="center"/>
              <w:rPr>
                <w:rFonts w:hint="default" w:eastAsia="宋体"/>
                <w:highlight w:val="none"/>
                <w:lang w:val="en-US" w:eastAsia="zh-CN"/>
              </w:rPr>
            </w:pPr>
            <w:r>
              <w:rPr>
                <w:rFonts w:hint="eastAsia"/>
                <w:highlight w:val="none"/>
                <w:lang w:val="en-US" w:eastAsia="zh-CN"/>
              </w:rPr>
              <w:t>CX1标</w:t>
            </w:r>
          </w:p>
        </w:tc>
        <w:tc>
          <w:tcPr>
            <w:tcW w:w="2401"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r>
              <w:rPr>
                <w:rFonts w:hint="eastAsia"/>
                <w:highlight w:val="none"/>
              </w:rPr>
              <w:t>钻机</w:t>
            </w:r>
          </w:p>
        </w:tc>
        <w:tc>
          <w:tcPr>
            <w:tcW w:w="1184"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highlight w:val="none"/>
              </w:rPr>
            </w:pPr>
            <w:r>
              <w:rPr>
                <w:rFonts w:hint="eastAsia"/>
                <w:highlight w:val="none"/>
              </w:rPr>
              <w:t>台</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eastAsia="宋体"/>
                <w:highlight w:val="none"/>
                <w:lang w:eastAsia="zh-CN"/>
              </w:rPr>
            </w:pPr>
            <w:r>
              <w:rPr>
                <w:rFonts w:hint="eastAsia"/>
                <w:highlight w:val="none"/>
                <w:lang w:val="en-US" w:eastAsia="zh-CN"/>
              </w:rPr>
              <w:t>5</w:t>
            </w:r>
          </w:p>
        </w:tc>
        <w:tc>
          <w:tcPr>
            <w:tcW w:w="1377"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14" w:type="dxa"/>
            <w:vMerge w:val="continue"/>
            <w:vAlign w:val="center"/>
          </w:tcPr>
          <w:p>
            <w:pPr>
              <w:ind w:firstLine="0" w:firstLineChars="0"/>
              <w:jc w:val="center"/>
              <w:rPr>
                <w:rFonts w:hint="eastAsia"/>
                <w:highlight w:val="none"/>
                <w:lang w:val="en-US" w:eastAsia="zh-CN"/>
              </w:rPr>
            </w:pPr>
          </w:p>
        </w:tc>
        <w:tc>
          <w:tcPr>
            <w:tcW w:w="2401"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r>
              <w:rPr>
                <w:rFonts w:hint="eastAsia"/>
                <w:highlight w:val="none"/>
                <w:lang w:val="en-US" w:eastAsia="zh-CN"/>
              </w:rPr>
              <w:t>静</w:t>
            </w:r>
            <w:r>
              <w:rPr>
                <w:highlight w:val="none"/>
              </w:rPr>
              <w:t>载试验设备</w:t>
            </w:r>
          </w:p>
        </w:tc>
        <w:tc>
          <w:tcPr>
            <w:tcW w:w="1184"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r>
              <w:rPr>
                <w:highlight w:val="none"/>
              </w:rPr>
              <w:t>套</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eastAsia="宋体"/>
                <w:highlight w:val="none"/>
                <w:lang w:val="en-US" w:eastAsia="zh-CN"/>
              </w:rPr>
            </w:pPr>
            <w:r>
              <w:rPr>
                <w:rFonts w:hint="eastAsia"/>
                <w:highlight w:val="none"/>
                <w:lang w:val="en-US" w:eastAsia="zh-CN"/>
              </w:rPr>
              <w:t>1</w:t>
            </w:r>
          </w:p>
        </w:tc>
        <w:tc>
          <w:tcPr>
            <w:tcW w:w="1377"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14" w:type="dxa"/>
            <w:vMerge w:val="restart"/>
            <w:vAlign w:val="center"/>
          </w:tcPr>
          <w:p>
            <w:pPr>
              <w:ind w:firstLine="0" w:firstLineChars="0"/>
              <w:jc w:val="center"/>
              <w:rPr>
                <w:rFonts w:hint="eastAsia"/>
                <w:highlight w:val="none"/>
              </w:rPr>
            </w:pPr>
            <w:r>
              <w:rPr>
                <w:rFonts w:hint="eastAsia"/>
                <w:highlight w:val="none"/>
              </w:rPr>
              <w:t>抽芯检测</w:t>
            </w:r>
          </w:p>
          <w:p>
            <w:pPr>
              <w:ind w:firstLine="0" w:firstLineChars="0"/>
              <w:jc w:val="center"/>
              <w:rPr>
                <w:rFonts w:hint="eastAsia"/>
                <w:highlight w:val="none"/>
                <w:lang w:val="en-US" w:eastAsia="zh-CN"/>
              </w:rPr>
            </w:pPr>
            <w:r>
              <w:rPr>
                <w:rFonts w:hint="eastAsia"/>
                <w:highlight w:val="none"/>
                <w:lang w:val="en-US" w:eastAsia="zh-CN"/>
              </w:rPr>
              <w:t>CX2标</w:t>
            </w:r>
          </w:p>
        </w:tc>
        <w:tc>
          <w:tcPr>
            <w:tcW w:w="2401"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lang w:val="en-US" w:eastAsia="zh-CN"/>
              </w:rPr>
            </w:pPr>
            <w:r>
              <w:rPr>
                <w:rFonts w:hint="eastAsia"/>
                <w:highlight w:val="none"/>
              </w:rPr>
              <w:t>钻机</w:t>
            </w:r>
          </w:p>
        </w:tc>
        <w:tc>
          <w:tcPr>
            <w:tcW w:w="1184"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highlight w:val="none"/>
              </w:rPr>
            </w:pPr>
            <w:r>
              <w:rPr>
                <w:rFonts w:hint="eastAsia"/>
                <w:highlight w:val="none"/>
              </w:rPr>
              <w:t>台</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lang w:val="en-US" w:eastAsia="zh-CN"/>
              </w:rPr>
            </w:pPr>
            <w:r>
              <w:rPr>
                <w:rFonts w:hint="eastAsia"/>
                <w:highlight w:val="none"/>
                <w:lang w:val="en-US" w:eastAsia="zh-CN"/>
              </w:rPr>
              <w:t>3</w:t>
            </w:r>
          </w:p>
        </w:tc>
        <w:tc>
          <w:tcPr>
            <w:tcW w:w="1377"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14" w:type="dxa"/>
            <w:vMerge w:val="continue"/>
            <w:vAlign w:val="center"/>
          </w:tcPr>
          <w:p>
            <w:pPr>
              <w:ind w:firstLine="0" w:firstLineChars="0"/>
              <w:jc w:val="center"/>
              <w:rPr>
                <w:rFonts w:hint="eastAsia"/>
                <w:highlight w:val="none"/>
                <w:lang w:val="en-US" w:eastAsia="zh-CN"/>
              </w:rPr>
            </w:pPr>
          </w:p>
        </w:tc>
        <w:tc>
          <w:tcPr>
            <w:tcW w:w="2401"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lang w:val="en-US" w:eastAsia="zh-CN"/>
              </w:rPr>
            </w:pPr>
            <w:r>
              <w:rPr>
                <w:rFonts w:hint="eastAsia"/>
                <w:highlight w:val="none"/>
                <w:lang w:val="en-US" w:eastAsia="zh-CN"/>
              </w:rPr>
              <w:t>静</w:t>
            </w:r>
            <w:r>
              <w:rPr>
                <w:highlight w:val="none"/>
              </w:rPr>
              <w:t>载试验设备</w:t>
            </w:r>
          </w:p>
        </w:tc>
        <w:tc>
          <w:tcPr>
            <w:tcW w:w="1184"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highlight w:val="none"/>
              </w:rPr>
            </w:pPr>
            <w:r>
              <w:rPr>
                <w:highlight w:val="none"/>
              </w:rPr>
              <w:t>套</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lang w:val="en-US" w:eastAsia="zh-CN"/>
              </w:rPr>
            </w:pPr>
            <w:r>
              <w:rPr>
                <w:rFonts w:hint="eastAsia"/>
                <w:highlight w:val="none"/>
                <w:lang w:val="en-US" w:eastAsia="zh-CN"/>
              </w:rPr>
              <w:t>1</w:t>
            </w:r>
          </w:p>
        </w:tc>
        <w:tc>
          <w:tcPr>
            <w:tcW w:w="1377"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14" w:type="dxa"/>
            <w:vMerge w:val="restart"/>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r>
              <w:rPr>
                <w:rFonts w:hint="eastAsia"/>
                <w:highlight w:val="none"/>
              </w:rPr>
              <w:t>无损检测</w:t>
            </w:r>
          </w:p>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lang w:val="en-US" w:eastAsia="zh-CN"/>
              </w:rPr>
            </w:pPr>
            <w:r>
              <w:rPr>
                <w:rFonts w:hint="eastAsia"/>
                <w:highlight w:val="none"/>
                <w:lang w:val="en-US" w:eastAsia="zh-CN"/>
              </w:rPr>
              <w:t>WS标</w:t>
            </w:r>
          </w:p>
        </w:tc>
        <w:tc>
          <w:tcPr>
            <w:tcW w:w="2401"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highlight w:val="none"/>
              </w:rPr>
            </w:pPr>
            <w:r>
              <w:rPr>
                <w:highlight w:val="none"/>
              </w:rPr>
              <w:t>基桩动测仪</w:t>
            </w:r>
          </w:p>
        </w:tc>
        <w:tc>
          <w:tcPr>
            <w:tcW w:w="1184"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highlight w:val="none"/>
              </w:rPr>
            </w:pPr>
            <w:r>
              <w:rPr>
                <w:highlight w:val="none"/>
              </w:rPr>
              <w:t>套</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r>
              <w:rPr>
                <w:rFonts w:hint="eastAsia"/>
                <w:highlight w:val="none"/>
              </w:rPr>
              <w:t>2</w:t>
            </w:r>
          </w:p>
        </w:tc>
        <w:tc>
          <w:tcPr>
            <w:tcW w:w="1377"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814" w:type="dxa"/>
            <w:vMerge w:val="continue"/>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lang w:val="en-US" w:eastAsia="zh-CN"/>
              </w:rPr>
            </w:pPr>
          </w:p>
        </w:tc>
        <w:tc>
          <w:tcPr>
            <w:tcW w:w="2401"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highlight w:val="none"/>
              </w:rPr>
            </w:pPr>
            <w:r>
              <w:rPr>
                <w:highlight w:val="none"/>
              </w:rPr>
              <w:t>跨孔超声波检测仪</w:t>
            </w:r>
          </w:p>
        </w:tc>
        <w:tc>
          <w:tcPr>
            <w:tcW w:w="1184"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highlight w:val="none"/>
              </w:rPr>
            </w:pPr>
            <w:r>
              <w:rPr>
                <w:highlight w:val="none"/>
              </w:rPr>
              <w:t>套</w:t>
            </w:r>
          </w:p>
        </w:tc>
        <w:tc>
          <w:tcPr>
            <w:tcW w:w="1740"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r>
              <w:rPr>
                <w:rFonts w:hint="eastAsia"/>
                <w:highlight w:val="none"/>
              </w:rPr>
              <w:t>2</w:t>
            </w:r>
          </w:p>
        </w:tc>
        <w:tc>
          <w:tcPr>
            <w:tcW w:w="1377" w:type="dxa"/>
            <w:vAlign w:val="center"/>
          </w:tcPr>
          <w:p>
            <w:pPr>
              <w:keepNext w:val="0"/>
              <w:keepLines w:val="0"/>
              <w:pageBreakBefore w:val="0"/>
              <w:widowControl w:val="0"/>
              <w:kinsoku/>
              <w:wordWrap/>
              <w:overflowPunct/>
              <w:topLinePunct w:val="0"/>
              <w:autoSpaceDE/>
              <w:autoSpaceDN/>
              <w:bidi w:val="0"/>
              <w:adjustRightInd w:val="0"/>
              <w:snapToGrid/>
              <w:ind w:firstLine="0" w:firstLineChars="0"/>
              <w:jc w:val="center"/>
              <w:textAlignment w:val="baseline"/>
              <w:rPr>
                <w:rFonts w:hint="eastAsia"/>
                <w:highlight w:val="none"/>
              </w:rPr>
            </w:pPr>
          </w:p>
        </w:tc>
      </w:tr>
    </w:tbl>
    <w:p>
      <w:pPr>
        <w:pStyle w:val="4"/>
        <w:spacing w:line="360" w:lineRule="auto"/>
        <w:ind w:firstLine="0" w:firstLineChars="0"/>
        <w:rPr>
          <w:rFonts w:hint="eastAsia" w:ascii="Times New Roman" w:hAnsi="Times New Roman"/>
          <w:color w:val="auto"/>
          <w:sz w:val="21"/>
          <w:szCs w:val="21"/>
          <w:highlight w:val="none"/>
        </w:rPr>
      </w:pPr>
    </w:p>
    <w:p>
      <w:pPr>
        <w:pStyle w:val="4"/>
        <w:spacing w:line="360" w:lineRule="auto"/>
        <w:ind w:firstLine="0" w:firstLineChars="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注：</w:t>
      </w:r>
      <w:r>
        <w:rPr>
          <w:rFonts w:hint="eastAsia" w:ascii="Times New Roman" w:hAnsi="Times New Roman"/>
          <w:color w:val="auto"/>
          <w:kern w:val="0"/>
          <w:sz w:val="21"/>
          <w:szCs w:val="21"/>
          <w:highlight w:val="none"/>
        </w:rPr>
        <w:t>（1）</w:t>
      </w:r>
      <w:r>
        <w:rPr>
          <w:rFonts w:hint="eastAsia" w:ascii="Times New Roman" w:hAnsi="Times New Roman"/>
          <w:color w:val="auto"/>
          <w:kern w:val="0"/>
          <w:sz w:val="21"/>
          <w:szCs w:val="21"/>
          <w:highlight w:val="none"/>
          <w:lang w:val="en-US" w:eastAsia="zh-CN"/>
        </w:rPr>
        <w:t>本表</w:t>
      </w:r>
      <w:r>
        <w:rPr>
          <w:rFonts w:hint="eastAsia" w:ascii="Times New Roman" w:hAnsi="Times New Roman"/>
          <w:color w:val="auto"/>
          <w:kern w:val="0"/>
          <w:sz w:val="21"/>
          <w:szCs w:val="21"/>
          <w:highlight w:val="none"/>
        </w:rPr>
        <w:t>所要求设备须按招标文件格式要求附</w:t>
      </w:r>
      <w:r>
        <w:rPr>
          <w:rFonts w:hint="eastAsia" w:ascii="宋体" w:hAnsi="宋体"/>
          <w:bCs/>
          <w:sz w:val="21"/>
          <w:szCs w:val="18"/>
          <w:highlight w:val="none"/>
          <w:lang w:eastAsia="zh-CN"/>
        </w:rPr>
        <w:t>“</w:t>
      </w:r>
      <w:r>
        <w:rPr>
          <w:rFonts w:hint="eastAsia" w:ascii="宋体" w:hAnsi="宋体"/>
          <w:bCs/>
          <w:sz w:val="21"/>
          <w:szCs w:val="18"/>
          <w:highlight w:val="none"/>
        </w:rPr>
        <w:t>拟投入的人员</w:t>
      </w:r>
      <w:r>
        <w:rPr>
          <w:rFonts w:hint="eastAsia" w:ascii="宋体" w:hAnsi="宋体"/>
          <w:bCs/>
          <w:sz w:val="21"/>
          <w:szCs w:val="18"/>
          <w:highlight w:val="none"/>
          <w:lang w:eastAsia="zh-CN"/>
        </w:rPr>
        <w:t>、</w:t>
      </w:r>
      <w:r>
        <w:rPr>
          <w:rFonts w:hint="eastAsia" w:ascii="宋体" w:hAnsi="宋体"/>
          <w:bCs/>
          <w:sz w:val="21"/>
          <w:szCs w:val="18"/>
          <w:highlight w:val="none"/>
          <w:lang w:val="en-US" w:eastAsia="zh-CN"/>
        </w:rPr>
        <w:t>仪器（设备）</w:t>
      </w:r>
      <w:r>
        <w:rPr>
          <w:rFonts w:hint="eastAsia" w:ascii="宋体" w:hAnsi="宋体"/>
          <w:bCs/>
          <w:sz w:val="21"/>
          <w:szCs w:val="18"/>
          <w:highlight w:val="none"/>
        </w:rPr>
        <w:t>承诺书</w:t>
      </w:r>
      <w:r>
        <w:rPr>
          <w:rFonts w:hint="eastAsia" w:ascii="宋体" w:hAnsi="宋体"/>
          <w:bCs/>
          <w:sz w:val="21"/>
          <w:szCs w:val="18"/>
          <w:highlight w:val="none"/>
          <w:lang w:eastAsia="zh-CN"/>
        </w:rPr>
        <w:t>”</w:t>
      </w:r>
      <w:r>
        <w:rPr>
          <w:rFonts w:hint="eastAsia" w:ascii="Times New Roman" w:hAnsi="Times New Roman"/>
          <w:color w:val="auto"/>
          <w:kern w:val="0"/>
          <w:sz w:val="21"/>
          <w:szCs w:val="21"/>
          <w:highlight w:val="none"/>
        </w:rPr>
        <w:t>。</w:t>
      </w:r>
    </w:p>
    <w:p>
      <w:pPr>
        <w:pStyle w:val="4"/>
        <w:numPr>
          <w:ilvl w:val="0"/>
          <w:numId w:val="1"/>
        </w:numPr>
        <w:spacing w:line="360" w:lineRule="auto"/>
        <w:rPr>
          <w:rFonts w:hint="eastAsia" w:ascii="Times New Roman" w:hAnsi="Times New Roman"/>
          <w:color w:val="auto"/>
          <w:sz w:val="21"/>
          <w:szCs w:val="21"/>
          <w:highlight w:val="none"/>
        </w:rPr>
      </w:pPr>
      <w:r>
        <w:rPr>
          <w:rFonts w:hint="eastAsia" w:ascii="Times New Roman" w:hAnsi="Times New Roman"/>
          <w:bCs w:val="0"/>
          <w:color w:val="auto"/>
          <w:sz w:val="21"/>
          <w:szCs w:val="21"/>
          <w:highlight w:val="none"/>
        </w:rPr>
        <w:t>以上为每一标段拟投入的设备最低要求</w:t>
      </w:r>
      <w:r>
        <w:rPr>
          <w:rFonts w:hint="eastAsia" w:ascii="Times New Roman" w:hAnsi="Times New Roman"/>
          <w:color w:val="auto"/>
          <w:sz w:val="21"/>
          <w:szCs w:val="21"/>
          <w:highlight w:val="none"/>
        </w:rPr>
        <w:t>，发包人有权根据土建施工标的工程进度情况要求</w:t>
      </w:r>
      <w:r>
        <w:rPr>
          <w:rFonts w:hint="eastAsia" w:ascii="Times New Roman" w:hAnsi="Times New Roman"/>
          <w:color w:val="auto"/>
          <w:sz w:val="21"/>
          <w:szCs w:val="21"/>
          <w:highlight w:val="none"/>
          <w:lang w:eastAsia="zh-CN"/>
        </w:rPr>
        <w:t>桩基检测人</w:t>
      </w:r>
      <w:r>
        <w:rPr>
          <w:rFonts w:hint="eastAsia" w:ascii="Times New Roman" w:hAnsi="Times New Roman"/>
          <w:color w:val="auto"/>
          <w:sz w:val="21"/>
          <w:szCs w:val="21"/>
          <w:highlight w:val="none"/>
        </w:rPr>
        <w:t>增加相应的试验、检测设备，由此不存在索赔问题。</w:t>
      </w:r>
    </w:p>
    <w:p>
      <w:pPr>
        <w:ind w:left="0" w:leftChars="0" w:firstLine="0" w:firstLineChars="0"/>
        <w:jc w:val="center"/>
        <w:rPr>
          <w:rFonts w:hint="eastAsia" w:ascii="宋体" w:hAnsi="宋体" w:cs="宋体"/>
          <w:b/>
          <w:bCs w:val="0"/>
          <w:color w:val="auto"/>
          <w:sz w:val="32"/>
          <w:szCs w:val="32"/>
          <w:highlight w:val="none"/>
        </w:rPr>
      </w:pPr>
      <w:r>
        <w:rPr>
          <w:rFonts w:ascii="黑体" w:hAnsi="宋体" w:eastAsia="黑体"/>
          <w:b/>
          <w:bCs w:val="0"/>
          <w:color w:val="auto"/>
          <w:sz w:val="27"/>
          <w:szCs w:val="27"/>
          <w:highlight w:val="none"/>
        </w:rPr>
        <w:br w:type="page"/>
      </w:r>
      <w:r>
        <w:rPr>
          <w:rFonts w:hint="eastAsia"/>
          <w:b/>
          <w:bCs w:val="0"/>
          <w:color w:val="auto"/>
          <w:sz w:val="32"/>
          <w:szCs w:val="32"/>
          <w:highlight w:val="none"/>
        </w:rPr>
        <w:t xml:space="preserve">第三章  </w:t>
      </w:r>
      <w:r>
        <w:rPr>
          <w:b/>
          <w:bCs w:val="0"/>
          <w:color w:val="auto"/>
          <w:sz w:val="32"/>
          <w:szCs w:val="32"/>
          <w:highlight w:val="none"/>
        </w:rPr>
        <w:t>评标办法</w:t>
      </w:r>
      <w:r>
        <w:rPr>
          <w:rFonts w:hint="eastAsia"/>
          <w:b/>
          <w:bCs w:val="0"/>
          <w:color w:val="auto"/>
          <w:sz w:val="32"/>
          <w:szCs w:val="32"/>
          <w:highlight w:val="none"/>
        </w:rPr>
        <w:t>（综合评估法</w:t>
      </w:r>
      <w:r>
        <w:rPr>
          <w:rFonts w:hint="eastAsia" w:ascii="宋体" w:hAnsi="宋体" w:cs="宋体"/>
          <w:b/>
          <w:bCs w:val="0"/>
          <w:color w:val="auto"/>
          <w:sz w:val="32"/>
          <w:szCs w:val="32"/>
          <w:highlight w:val="none"/>
        </w:rPr>
        <w:t>）</w:t>
      </w:r>
    </w:p>
    <w:p>
      <w:pPr>
        <w:rPr>
          <w:color w:val="auto"/>
          <w:highlight w:val="none"/>
        </w:rPr>
      </w:pPr>
      <w:r>
        <w:rPr>
          <w:rFonts w:hint="eastAsia" w:ascii="黑体" w:hAnsi="黑体" w:eastAsia="黑体"/>
          <w:color w:val="auto"/>
          <w:szCs w:val="24"/>
          <w:highlight w:val="none"/>
        </w:rPr>
        <w:t>评标办法前附表：</w:t>
      </w:r>
    </w:p>
    <w:tbl>
      <w:tblPr>
        <w:tblStyle w:val="7"/>
        <w:tblW w:w="8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513"/>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blHeader/>
          <w:jc w:val="center"/>
        </w:trPr>
        <w:tc>
          <w:tcPr>
            <w:tcW w:w="2519" w:type="dxa"/>
            <w:gridSpan w:val="2"/>
            <w:vAlign w:val="center"/>
          </w:tcPr>
          <w:p>
            <w:pPr>
              <w:keepNext w:val="0"/>
              <w:keepLines w:val="0"/>
              <w:pageBreakBefore w:val="0"/>
              <w:widowControl w:val="0"/>
              <w:kinsoku/>
              <w:wordWrap w:val="0"/>
              <w:overflowPunct/>
              <w:topLinePunct/>
              <w:autoSpaceDE/>
              <w:autoSpaceDN/>
              <w:bidi w:val="0"/>
              <w:adjustRightInd/>
              <w:snapToGrid/>
              <w:spacing w:line="440" w:lineRule="exact"/>
              <w:ind w:firstLine="0" w:firstLineChars="0"/>
              <w:jc w:val="center"/>
              <w:textAlignment w:val="baseline"/>
              <w:rPr>
                <w:rFonts w:hint="eastAsia"/>
                <w:b/>
                <w:color w:val="auto"/>
                <w:szCs w:val="24"/>
                <w:highlight w:val="none"/>
              </w:rPr>
            </w:pPr>
            <w:r>
              <w:rPr>
                <w:rFonts w:hint="eastAsia"/>
                <w:b/>
                <w:color w:val="auto"/>
                <w:szCs w:val="24"/>
                <w:highlight w:val="none"/>
              </w:rPr>
              <w:t>条款号</w:t>
            </w:r>
          </w:p>
        </w:tc>
        <w:tc>
          <w:tcPr>
            <w:tcW w:w="6005" w:type="dxa"/>
            <w:vAlign w:val="center"/>
          </w:tcPr>
          <w:p>
            <w:pPr>
              <w:keepNext w:val="0"/>
              <w:keepLines w:val="0"/>
              <w:pageBreakBefore w:val="0"/>
              <w:widowControl w:val="0"/>
              <w:kinsoku/>
              <w:wordWrap w:val="0"/>
              <w:overflowPunct/>
              <w:topLinePunct/>
              <w:autoSpaceDE/>
              <w:autoSpaceDN/>
              <w:bidi w:val="0"/>
              <w:adjustRightInd/>
              <w:snapToGrid/>
              <w:spacing w:line="440" w:lineRule="exact"/>
              <w:ind w:firstLine="0" w:firstLineChars="0"/>
              <w:jc w:val="center"/>
              <w:textAlignment w:val="baseline"/>
              <w:rPr>
                <w:rFonts w:hint="eastAsia"/>
                <w:b/>
                <w:color w:val="auto"/>
                <w:szCs w:val="24"/>
                <w:highlight w:val="none"/>
              </w:rPr>
            </w:pPr>
            <w:r>
              <w:rPr>
                <w:rFonts w:hint="eastAsia"/>
                <w:b/>
                <w:color w:val="auto"/>
                <w:szCs w:val="24"/>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b/>
                <w:color w:val="auto"/>
                <w:sz w:val="21"/>
                <w:szCs w:val="21"/>
                <w:highlight w:val="none"/>
              </w:rPr>
            </w:pPr>
            <w:r>
              <w:rPr>
                <w:rFonts w:hint="eastAsia"/>
                <w:color w:val="auto"/>
                <w:sz w:val="21"/>
                <w:szCs w:val="21"/>
                <w:highlight w:val="none"/>
              </w:rPr>
              <w:t>1</w:t>
            </w:r>
          </w:p>
        </w:tc>
        <w:tc>
          <w:tcPr>
            <w:tcW w:w="1513" w:type="dxa"/>
            <w:vAlign w:val="center"/>
          </w:tcPr>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b/>
                <w:color w:val="auto"/>
                <w:sz w:val="21"/>
                <w:szCs w:val="21"/>
                <w:highlight w:val="none"/>
              </w:rPr>
            </w:pPr>
            <w:r>
              <w:rPr>
                <w:color w:val="auto"/>
                <w:sz w:val="21"/>
                <w:szCs w:val="21"/>
                <w:highlight w:val="none"/>
              </w:rPr>
              <w:t>评标方法</w:t>
            </w:r>
          </w:p>
        </w:tc>
        <w:tc>
          <w:tcPr>
            <w:tcW w:w="6005" w:type="dxa"/>
            <w:vAlign w:val="center"/>
          </w:tcPr>
          <w:p>
            <w:pPr>
              <w:keepNext w:val="0"/>
              <w:keepLines w:val="0"/>
              <w:pageBreakBefore w:val="0"/>
              <w:kinsoku/>
              <w:overflowPunct/>
              <w:autoSpaceDE/>
              <w:autoSpaceDN/>
              <w:bidi w:val="0"/>
              <w:snapToGrid/>
              <w:spacing w:line="340" w:lineRule="atLeast"/>
              <w:ind w:firstLine="0" w:firstLineChars="0"/>
              <w:rPr>
                <w:color w:val="auto"/>
                <w:sz w:val="21"/>
                <w:szCs w:val="21"/>
                <w:highlight w:val="none"/>
              </w:rPr>
            </w:pPr>
            <w:r>
              <w:rPr>
                <w:rFonts w:hint="eastAsia"/>
                <w:color w:val="auto"/>
                <w:sz w:val="21"/>
                <w:szCs w:val="21"/>
                <w:highlight w:val="none"/>
              </w:rPr>
              <w:t>综合</w:t>
            </w:r>
            <w:r>
              <w:rPr>
                <w:color w:val="auto"/>
                <w:sz w:val="21"/>
                <w:szCs w:val="21"/>
                <w:highlight w:val="none"/>
              </w:rPr>
              <w:t>评分相等时，评标委员会依次按照以下优先顺序推荐中标候选人或确定中标人：</w:t>
            </w:r>
          </w:p>
          <w:p>
            <w:pPr>
              <w:keepNext w:val="0"/>
              <w:keepLines w:val="0"/>
              <w:pageBreakBefore w:val="0"/>
              <w:kinsoku/>
              <w:overflowPunct/>
              <w:autoSpaceDE/>
              <w:autoSpaceDN/>
              <w:bidi w:val="0"/>
              <w:snapToGrid/>
              <w:spacing w:line="340" w:lineRule="atLeast"/>
              <w:ind w:firstLine="0" w:firstLineChars="0"/>
              <w:rPr>
                <w:rFonts w:ascii="宋体" w:hAnsi="宋体"/>
                <w:color w:val="auto"/>
                <w:sz w:val="21"/>
                <w:szCs w:val="21"/>
                <w:highlight w:val="none"/>
              </w:rPr>
            </w:pPr>
            <w:r>
              <w:rPr>
                <w:rFonts w:hint="eastAsia"/>
                <w:color w:val="auto"/>
                <w:sz w:val="21"/>
                <w:szCs w:val="21"/>
                <w:highlight w:val="none"/>
              </w:rPr>
              <w:t>（</w:t>
            </w:r>
            <w:r>
              <w:rPr>
                <w:rFonts w:hint="eastAsia" w:ascii="宋体" w:hAnsi="宋体"/>
                <w:color w:val="auto"/>
                <w:sz w:val="21"/>
                <w:szCs w:val="21"/>
                <w:highlight w:val="none"/>
              </w:rPr>
              <w:t>1）评标价低</w:t>
            </w:r>
            <w:r>
              <w:rPr>
                <w:rFonts w:ascii="宋体" w:hAnsi="宋体"/>
                <w:color w:val="auto"/>
                <w:sz w:val="21"/>
                <w:szCs w:val="21"/>
                <w:highlight w:val="none"/>
              </w:rPr>
              <w:t>的投标人优先；</w:t>
            </w:r>
          </w:p>
          <w:p>
            <w:pPr>
              <w:keepNext w:val="0"/>
              <w:keepLines w:val="0"/>
              <w:pageBreakBefore w:val="0"/>
              <w:kinsoku/>
              <w:overflowPunct/>
              <w:autoSpaceDE/>
              <w:autoSpaceDN/>
              <w:bidi w:val="0"/>
              <w:snapToGrid/>
              <w:spacing w:line="340" w:lineRule="atLeast"/>
              <w:ind w:firstLine="0" w:firstLineChars="0"/>
              <w:rPr>
                <w:rFonts w:ascii="宋体" w:hAnsi="宋体"/>
                <w:color w:val="auto"/>
                <w:sz w:val="21"/>
                <w:szCs w:val="21"/>
                <w:highlight w:val="none"/>
              </w:rPr>
            </w:pPr>
            <w:r>
              <w:rPr>
                <w:rFonts w:hint="eastAsia" w:ascii="宋体" w:hAnsi="宋体"/>
                <w:color w:val="auto"/>
                <w:sz w:val="21"/>
                <w:szCs w:val="21"/>
                <w:highlight w:val="none"/>
              </w:rPr>
              <w:t>（2）商务和技术得分较高的投标人优先；</w:t>
            </w:r>
          </w:p>
          <w:p>
            <w:pPr>
              <w:keepNext w:val="0"/>
              <w:keepLines w:val="0"/>
              <w:pageBreakBefore w:val="0"/>
              <w:kinsoku/>
              <w:overflowPunct/>
              <w:autoSpaceDE/>
              <w:autoSpaceDN/>
              <w:bidi w:val="0"/>
              <w:snapToGrid/>
              <w:spacing w:line="340" w:lineRule="atLeast"/>
              <w:ind w:firstLine="0" w:firstLineChars="0"/>
              <w:rPr>
                <w:rFonts w:hint="eastAsia"/>
                <w:b/>
                <w:color w:val="auto"/>
                <w:sz w:val="21"/>
                <w:szCs w:val="21"/>
                <w:highlight w:val="none"/>
              </w:rPr>
            </w:pPr>
            <w:r>
              <w:rPr>
                <w:rFonts w:hint="eastAsia" w:ascii="宋体" w:hAnsi="宋体"/>
                <w:color w:val="auto"/>
                <w:sz w:val="21"/>
                <w:szCs w:val="21"/>
                <w:highlight w:val="none"/>
              </w:rPr>
              <w:t>（3）评标委员会视投标人情况综合比较，投票确定其名次</w:t>
            </w: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pStyle w:val="2"/>
              <w:rPr>
                <w:rFonts w:hint="eastAsia"/>
                <w:color w:val="auto"/>
                <w:sz w:val="21"/>
                <w:szCs w:val="21"/>
                <w:highlight w:val="none"/>
              </w:rPr>
            </w:pPr>
          </w:p>
          <w:p>
            <w:pPr>
              <w:pStyle w:val="2"/>
              <w:rPr>
                <w:rFonts w:hint="eastAsia"/>
                <w:color w:val="auto"/>
                <w:sz w:val="21"/>
                <w:szCs w:val="21"/>
                <w:highlight w:val="none"/>
              </w:rPr>
            </w:pPr>
          </w:p>
          <w:p>
            <w:pPr>
              <w:pStyle w:val="2"/>
              <w:rPr>
                <w:rFonts w:hint="eastAsia"/>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r>
              <w:rPr>
                <w:rFonts w:hint="eastAsia"/>
                <w:color w:val="auto"/>
                <w:sz w:val="21"/>
                <w:szCs w:val="21"/>
                <w:highlight w:val="none"/>
              </w:rPr>
              <w:t>2.1.1</w:t>
            </w: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r>
              <w:rPr>
                <w:rFonts w:hint="eastAsia"/>
                <w:color w:val="auto"/>
                <w:sz w:val="21"/>
                <w:szCs w:val="21"/>
                <w:highlight w:val="none"/>
              </w:rPr>
              <w:t>2.1.3</w:t>
            </w: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pStyle w:val="2"/>
              <w:ind w:left="0" w:leftChars="0" w:firstLine="0" w:firstLineChars="0"/>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r>
              <w:rPr>
                <w:rFonts w:hint="eastAsia"/>
                <w:color w:val="auto"/>
                <w:sz w:val="21"/>
                <w:szCs w:val="21"/>
                <w:highlight w:val="none"/>
              </w:rPr>
              <w:t>2.1.1</w:t>
            </w: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r>
              <w:rPr>
                <w:rFonts w:hint="eastAsia"/>
                <w:color w:val="auto"/>
                <w:sz w:val="21"/>
                <w:szCs w:val="21"/>
                <w:highlight w:val="none"/>
              </w:rPr>
              <w:t>2.1.3</w:t>
            </w:r>
          </w:p>
        </w:tc>
        <w:tc>
          <w:tcPr>
            <w:tcW w:w="1513" w:type="dxa"/>
            <w:vAlign w:val="center"/>
          </w:tcPr>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pStyle w:val="2"/>
              <w:rPr>
                <w:rFonts w:hint="eastAsia"/>
                <w:sz w:val="21"/>
                <w:szCs w:val="21"/>
                <w:highlight w:val="none"/>
              </w:rPr>
            </w:pPr>
          </w:p>
          <w:p>
            <w:pPr>
              <w:pStyle w:val="2"/>
              <w:rPr>
                <w:rFonts w:hint="eastAsia"/>
                <w:sz w:val="21"/>
                <w:szCs w:val="21"/>
                <w:highlight w:val="none"/>
              </w:rPr>
            </w:pPr>
          </w:p>
          <w:p>
            <w:pPr>
              <w:bidi w:val="0"/>
              <w:rPr>
                <w:rFonts w:hint="eastAsia"/>
                <w:sz w:val="21"/>
                <w:szCs w:val="21"/>
                <w:highlight w:val="none"/>
              </w:rPr>
            </w:pPr>
          </w:p>
          <w:p>
            <w:pPr>
              <w:bidi w:val="0"/>
              <w:ind w:left="0" w:leftChars="0" w:firstLine="0" w:firstLineChars="0"/>
              <w:jc w:val="center"/>
              <w:rPr>
                <w:rFonts w:hint="eastAsia"/>
                <w:sz w:val="21"/>
                <w:szCs w:val="21"/>
                <w:highlight w:val="none"/>
              </w:rPr>
            </w:pPr>
            <w:r>
              <w:rPr>
                <w:sz w:val="21"/>
                <w:szCs w:val="21"/>
                <w:highlight w:val="none"/>
              </w:rPr>
              <w:t>形式评审与响应性评审标准</w:t>
            </w: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ascii="Times New Roman" w:hAnsi="Times New Roman"/>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p>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r>
              <w:rPr>
                <w:rFonts w:ascii="Times New Roman" w:hAnsi="Times New Roman"/>
                <w:color w:val="auto"/>
                <w:sz w:val="21"/>
                <w:szCs w:val="21"/>
                <w:highlight w:val="none"/>
              </w:rPr>
              <w:t>形式评审与响应性评审标准</w:t>
            </w:r>
          </w:p>
          <w:p>
            <w:pPr>
              <w:keepNext w:val="0"/>
              <w:keepLines w:val="0"/>
              <w:pageBreakBefore w:val="0"/>
              <w:kinsoku/>
              <w:wordWrap w:val="0"/>
              <w:overflowPunct/>
              <w:topLinePunct/>
              <w:autoSpaceDE/>
              <w:autoSpaceDN/>
              <w:bidi w:val="0"/>
              <w:adjustRightInd/>
              <w:snapToGrid/>
              <w:spacing w:line="360" w:lineRule="auto"/>
              <w:ind w:firstLine="0" w:firstLineChars="0"/>
              <w:rPr>
                <w:rFonts w:hint="eastAsia"/>
                <w:color w:val="auto"/>
                <w:sz w:val="21"/>
                <w:szCs w:val="21"/>
                <w:highlight w:val="none"/>
              </w:rPr>
            </w:pPr>
          </w:p>
        </w:tc>
        <w:tc>
          <w:tcPr>
            <w:tcW w:w="6005" w:type="dxa"/>
            <w:vAlign w:val="top"/>
          </w:tcPr>
          <w:p>
            <w:pPr>
              <w:keepNext w:val="0"/>
              <w:keepLines w:val="0"/>
              <w:pageBreakBefore w:val="0"/>
              <w:kinsoku/>
              <w:overflowPunct/>
              <w:autoSpaceDE/>
              <w:autoSpaceDN/>
              <w:bidi w:val="0"/>
              <w:adjustRightInd/>
              <w:snapToGrid/>
              <w:ind w:firstLine="0" w:firstLineChars="0"/>
              <w:jc w:val="both"/>
              <w:textAlignment w:val="auto"/>
              <w:rPr>
                <w:rFonts w:ascii="Times New Roman" w:hAnsi="Times New Roman"/>
                <w:b/>
                <w:bCs/>
                <w:color w:val="auto"/>
                <w:sz w:val="21"/>
                <w:szCs w:val="21"/>
                <w:highlight w:val="none"/>
              </w:rPr>
            </w:pPr>
            <w:r>
              <w:rPr>
                <w:rFonts w:hint="eastAsia" w:ascii="Times New Roman" w:hAnsi="Times New Roman"/>
                <w:b/>
                <w:bCs/>
                <w:color w:val="auto"/>
                <w:sz w:val="21"/>
                <w:szCs w:val="21"/>
                <w:highlight w:val="none"/>
              </w:rPr>
              <w:t>第一个信封（商务及技术文件）评审标准：</w:t>
            </w:r>
          </w:p>
          <w:p>
            <w:pPr>
              <w:keepNext w:val="0"/>
              <w:keepLines w:val="0"/>
              <w:pageBreakBefore w:val="0"/>
              <w:kinsoku/>
              <w:overflowPunct/>
              <w:autoSpaceDE/>
              <w:autoSpaceDN/>
              <w:bidi w:val="0"/>
              <w:adjustRightInd/>
              <w:snapToGrid/>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（1</w:t>
            </w:r>
            <w:r>
              <w:rPr>
                <w:rFonts w:ascii="宋体" w:hAnsi="宋体"/>
                <w:color w:val="auto"/>
                <w:sz w:val="21"/>
                <w:szCs w:val="21"/>
                <w:highlight w:val="none"/>
              </w:rPr>
              <w:t>）投标文件按照招标文件规定的格式、内容填写，字迹清晰可辨：</w:t>
            </w:r>
          </w:p>
          <w:p>
            <w:pPr>
              <w:keepNext w:val="0"/>
              <w:keepLines w:val="0"/>
              <w:pageBreakBefore w:val="0"/>
              <w:kinsoku/>
              <w:overflowPunct/>
              <w:autoSpaceDE/>
              <w:autoSpaceDN/>
              <w:bidi w:val="0"/>
              <w:adjustRightInd/>
              <w:snapToGrid/>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a.</w:t>
            </w:r>
            <w:r>
              <w:rPr>
                <w:rFonts w:ascii="宋体" w:hAnsi="宋体"/>
                <w:color w:val="auto"/>
                <w:sz w:val="21"/>
                <w:szCs w:val="21"/>
                <w:highlight w:val="none"/>
              </w:rPr>
              <w:t>投标函按招标文件规定填报了</w:t>
            </w:r>
            <w:r>
              <w:rPr>
                <w:rFonts w:hint="eastAsia" w:ascii="Times New Roman" w:hAnsi="Times New Roman"/>
                <w:color w:val="auto"/>
                <w:sz w:val="21"/>
                <w:szCs w:val="21"/>
                <w:highlight w:val="none"/>
              </w:rPr>
              <w:t>项目名称、补遗书编号（如有）、</w:t>
            </w:r>
            <w:r>
              <w:rPr>
                <w:rFonts w:ascii="Times New Roman" w:hAnsi="Times New Roman"/>
                <w:color w:val="auto"/>
                <w:sz w:val="21"/>
                <w:szCs w:val="21"/>
                <w:highlight w:val="none"/>
              </w:rPr>
              <w:t>服务期限</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质量要求</w:t>
            </w:r>
            <w:r>
              <w:rPr>
                <w:rFonts w:hint="eastAsia" w:ascii="Times New Roman" w:hAnsi="Times New Roman"/>
                <w:color w:val="auto"/>
                <w:sz w:val="21"/>
                <w:szCs w:val="21"/>
                <w:highlight w:val="none"/>
              </w:rPr>
              <w:t>及</w:t>
            </w:r>
            <w:r>
              <w:rPr>
                <w:rFonts w:ascii="Times New Roman" w:hAnsi="Times New Roman"/>
                <w:color w:val="auto"/>
                <w:sz w:val="21"/>
                <w:szCs w:val="21"/>
                <w:highlight w:val="none"/>
              </w:rPr>
              <w:t>安全目标；</w:t>
            </w:r>
          </w:p>
          <w:p>
            <w:pPr>
              <w:keepNext w:val="0"/>
              <w:keepLines w:val="0"/>
              <w:pageBreakBefore w:val="0"/>
              <w:kinsoku/>
              <w:overflowPunct/>
              <w:autoSpaceDE/>
              <w:autoSpaceDN/>
              <w:bidi w:val="0"/>
              <w:adjustRightInd/>
              <w:snapToGrid/>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b</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投标文件组成齐全完整，内容均按规定填写。</w:t>
            </w:r>
          </w:p>
          <w:p>
            <w:pPr>
              <w:keepNext w:val="0"/>
              <w:keepLines w:val="0"/>
              <w:pageBreakBefore w:val="0"/>
              <w:kinsoku/>
              <w:overflowPunct/>
              <w:autoSpaceDE/>
              <w:autoSpaceDN/>
              <w:bidi w:val="0"/>
              <w:adjustRightInd/>
              <w:snapToGrid/>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（2</w:t>
            </w:r>
            <w:r>
              <w:rPr>
                <w:rFonts w:ascii="宋体" w:hAnsi="宋体"/>
                <w:color w:val="auto"/>
                <w:sz w:val="21"/>
                <w:szCs w:val="21"/>
                <w:highlight w:val="none"/>
              </w:rPr>
              <w:t>）投标文件上法定代表人或其</w:t>
            </w:r>
            <w:r>
              <w:rPr>
                <w:rFonts w:hint="eastAsia" w:ascii="Times New Roman" w:hAnsi="Times New Roman"/>
                <w:color w:val="auto"/>
                <w:sz w:val="21"/>
                <w:szCs w:val="21"/>
                <w:highlight w:val="none"/>
              </w:rPr>
              <w:t>委托</w:t>
            </w:r>
            <w:r>
              <w:rPr>
                <w:rFonts w:ascii="Times New Roman" w:hAnsi="Times New Roman"/>
                <w:color w:val="auto"/>
                <w:sz w:val="21"/>
                <w:szCs w:val="21"/>
                <w:highlight w:val="none"/>
              </w:rPr>
              <w:t>代理人的签字、投标人的单位章盖章齐全，符合招标文件规定</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adjustRightInd/>
              <w:snapToGrid/>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3</w:t>
            </w:r>
            <w:r>
              <w:rPr>
                <w:rFonts w:ascii="宋体" w:hAnsi="宋体"/>
                <w:color w:val="auto"/>
                <w:sz w:val="21"/>
                <w:szCs w:val="21"/>
                <w:highlight w:val="none"/>
              </w:rPr>
              <w:t>） 投标人按照招标文件</w:t>
            </w:r>
            <w:r>
              <w:rPr>
                <w:rFonts w:hint="eastAsia" w:ascii="Times New Roman" w:hAnsi="Times New Roman"/>
                <w:color w:val="auto"/>
                <w:sz w:val="21"/>
                <w:szCs w:val="21"/>
                <w:highlight w:val="none"/>
              </w:rPr>
              <w:t>的</w:t>
            </w:r>
            <w:r>
              <w:rPr>
                <w:rFonts w:ascii="Times New Roman" w:hAnsi="Times New Roman"/>
                <w:color w:val="auto"/>
                <w:sz w:val="21"/>
                <w:szCs w:val="21"/>
                <w:highlight w:val="none"/>
              </w:rPr>
              <w:t>规定提供了投标保证金：</w:t>
            </w:r>
          </w:p>
          <w:p>
            <w:pPr>
              <w:keepNext w:val="0"/>
              <w:keepLines w:val="0"/>
              <w:pageBreakBefore w:val="0"/>
              <w:kinsoku/>
              <w:overflowPunct/>
              <w:autoSpaceDE/>
              <w:autoSpaceDN/>
              <w:bidi w:val="0"/>
              <w:adjustRightInd/>
              <w:snapToGrid/>
              <w:ind w:firstLine="0" w:firstLineChars="0"/>
              <w:jc w:val="both"/>
              <w:textAlignment w:val="auto"/>
              <w:rPr>
                <w:rFonts w:hint="eastAsia" w:ascii="Times New Roman" w:hAnsi="Times New Roman"/>
                <w:color w:val="auto"/>
                <w:sz w:val="21"/>
                <w:szCs w:val="21"/>
                <w:highlight w:val="none"/>
              </w:rPr>
            </w:pPr>
            <w:r>
              <w:rPr>
                <w:rFonts w:ascii="Times New Roman" w:hAnsi="Times New Roman"/>
                <w:color w:val="auto"/>
                <w:sz w:val="21"/>
                <w:szCs w:val="21"/>
                <w:highlight w:val="none"/>
              </w:rPr>
              <w:t>a.投标</w:t>
            </w:r>
            <w:r>
              <w:rPr>
                <w:rFonts w:hint="eastAsia" w:ascii="Times New Roman" w:hAnsi="Times New Roman"/>
                <w:color w:val="auto"/>
                <w:sz w:val="21"/>
                <w:szCs w:val="21"/>
                <w:highlight w:val="none"/>
              </w:rPr>
              <w:t>保证金</w:t>
            </w:r>
            <w:r>
              <w:rPr>
                <w:rFonts w:ascii="Times New Roman" w:hAnsi="Times New Roman"/>
                <w:color w:val="auto"/>
                <w:sz w:val="21"/>
                <w:szCs w:val="21"/>
                <w:highlight w:val="none"/>
              </w:rPr>
              <w:t>金额符合招标文件规定的金额</w:t>
            </w:r>
            <w:r>
              <w:rPr>
                <w:rFonts w:hint="eastAsia" w:ascii="Times New Roman" w:hAnsi="Times New Roman"/>
                <w:color w:val="auto"/>
                <w:sz w:val="21"/>
                <w:szCs w:val="21"/>
                <w:highlight w:val="none"/>
              </w:rPr>
              <w:t>，且投标保证金有效期不少于投标有效期；</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b.</w:t>
            </w:r>
            <w:r>
              <w:rPr>
                <w:rFonts w:ascii="宋体" w:hAnsi="宋体"/>
                <w:color w:val="auto"/>
                <w:sz w:val="21"/>
                <w:szCs w:val="21"/>
                <w:highlight w:val="none"/>
              </w:rPr>
              <w:t>若投标保证金</w:t>
            </w:r>
            <w:r>
              <w:rPr>
                <w:rFonts w:hint="eastAsia" w:ascii="Times New Roman" w:hAnsi="Times New Roman"/>
                <w:color w:val="auto"/>
                <w:sz w:val="21"/>
                <w:szCs w:val="21"/>
                <w:highlight w:val="none"/>
              </w:rPr>
              <w:t>采用</w:t>
            </w:r>
            <w:r>
              <w:rPr>
                <w:rFonts w:ascii="Times New Roman" w:hAnsi="Times New Roman"/>
                <w:color w:val="auto"/>
                <w:sz w:val="21"/>
                <w:szCs w:val="21"/>
                <w:highlight w:val="none"/>
              </w:rPr>
              <w:t>现金或支票形式提</w:t>
            </w:r>
            <w:r>
              <w:rPr>
                <w:rFonts w:hint="eastAsia" w:ascii="Times New Roman" w:hAnsi="Times New Roman"/>
                <w:color w:val="auto"/>
                <w:sz w:val="21"/>
                <w:szCs w:val="21"/>
                <w:highlight w:val="none"/>
              </w:rPr>
              <w:t>交</w:t>
            </w:r>
            <w:r>
              <w:rPr>
                <w:rFonts w:ascii="Times New Roman" w:hAnsi="Times New Roman"/>
                <w:color w:val="auto"/>
                <w:sz w:val="21"/>
                <w:szCs w:val="21"/>
                <w:highlight w:val="none"/>
              </w:rPr>
              <w:t>，投标人</w:t>
            </w:r>
            <w:r>
              <w:rPr>
                <w:rFonts w:hint="eastAsia" w:ascii="Times New Roman" w:hAnsi="Times New Roman"/>
                <w:color w:val="auto"/>
                <w:sz w:val="21"/>
                <w:szCs w:val="21"/>
                <w:highlight w:val="none"/>
              </w:rPr>
              <w:t>应</w:t>
            </w:r>
            <w:r>
              <w:rPr>
                <w:rFonts w:ascii="Times New Roman" w:hAnsi="Times New Roman"/>
                <w:color w:val="auto"/>
                <w:sz w:val="21"/>
                <w:szCs w:val="21"/>
                <w:highlight w:val="none"/>
              </w:rPr>
              <w:t>在</w:t>
            </w:r>
            <w:r>
              <w:rPr>
                <w:rFonts w:hint="eastAsia" w:ascii="Times New Roman" w:hAnsi="Times New Roman"/>
                <w:color w:val="auto"/>
                <w:sz w:val="21"/>
                <w:szCs w:val="21"/>
                <w:highlight w:val="none"/>
              </w:rPr>
              <w:t>投标人须知前附表3.4.1款规定的时间</w:t>
            </w:r>
            <w:r>
              <w:rPr>
                <w:rFonts w:ascii="Times New Roman" w:hAnsi="Times New Roman"/>
                <w:color w:val="auto"/>
                <w:sz w:val="21"/>
                <w:szCs w:val="21"/>
                <w:highlight w:val="none"/>
              </w:rPr>
              <w:t>，将投标保证金由投标人的基本账户</w:t>
            </w:r>
            <w:r>
              <w:rPr>
                <w:rFonts w:hint="eastAsia" w:ascii="Times New Roman" w:hAnsi="Times New Roman"/>
                <w:color w:val="auto"/>
                <w:sz w:val="21"/>
                <w:szCs w:val="21"/>
                <w:highlight w:val="none"/>
              </w:rPr>
              <w:t>转入</w:t>
            </w:r>
            <w:r>
              <w:rPr>
                <w:rFonts w:ascii="Times New Roman" w:hAnsi="Times New Roman"/>
                <w:color w:val="auto"/>
                <w:sz w:val="21"/>
                <w:szCs w:val="21"/>
                <w:highlight w:val="none"/>
              </w:rPr>
              <w:t>招标人指定账户；</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hint="eastAsia" w:ascii="Times New Roman" w:hAnsi="Times New Roman"/>
                <w:color w:val="auto"/>
                <w:sz w:val="21"/>
                <w:szCs w:val="21"/>
                <w:highlight w:val="none"/>
              </w:rPr>
            </w:pPr>
            <w:r>
              <w:rPr>
                <w:rFonts w:ascii="Times New Roman" w:hAnsi="Times New Roman"/>
                <w:color w:val="auto"/>
                <w:sz w:val="21"/>
                <w:szCs w:val="21"/>
                <w:highlight w:val="none"/>
              </w:rPr>
              <w:t>c.</w:t>
            </w:r>
            <w:r>
              <w:rPr>
                <w:rFonts w:ascii="宋体" w:hAnsi="宋体"/>
                <w:color w:val="auto"/>
                <w:sz w:val="21"/>
                <w:szCs w:val="21"/>
                <w:highlight w:val="none"/>
              </w:rPr>
              <w:t>若投标保证金</w:t>
            </w:r>
            <w:r>
              <w:rPr>
                <w:rFonts w:hint="eastAsia" w:ascii="Times New Roman" w:hAnsi="Times New Roman"/>
                <w:color w:val="auto"/>
                <w:sz w:val="21"/>
                <w:szCs w:val="21"/>
                <w:highlight w:val="none"/>
              </w:rPr>
              <w:t>采用</w:t>
            </w:r>
            <w:r>
              <w:rPr>
                <w:rFonts w:ascii="Times New Roman" w:hAnsi="Times New Roman"/>
                <w:color w:val="auto"/>
                <w:sz w:val="21"/>
                <w:szCs w:val="21"/>
                <w:highlight w:val="none"/>
              </w:rPr>
              <w:t>银行保函</w:t>
            </w:r>
            <w:r>
              <w:rPr>
                <w:rFonts w:hint="eastAsia" w:ascii="Times New Roman" w:hAnsi="Times New Roman"/>
                <w:color w:val="auto"/>
                <w:sz w:val="21"/>
                <w:szCs w:val="21"/>
                <w:highlight w:val="none"/>
              </w:rPr>
              <w:t>形式提交</w:t>
            </w:r>
            <w:r>
              <w:rPr>
                <w:rFonts w:ascii="Times New Roman" w:hAnsi="Times New Roman"/>
                <w:color w:val="auto"/>
                <w:sz w:val="21"/>
                <w:szCs w:val="21"/>
                <w:highlight w:val="none"/>
              </w:rPr>
              <w:t>，银行保函的格式、开具保函的银行均满足招标文件要求，</w:t>
            </w:r>
            <w:r>
              <w:rPr>
                <w:color w:val="auto"/>
                <w:spacing w:val="-8"/>
                <w:sz w:val="21"/>
                <w:szCs w:val="21"/>
                <w:highlight w:val="none"/>
              </w:rPr>
              <w:t>银行保函原件在</w:t>
            </w:r>
            <w:r>
              <w:rPr>
                <w:rFonts w:hint="eastAsia"/>
                <w:color w:val="auto"/>
                <w:spacing w:val="-8"/>
                <w:sz w:val="21"/>
                <w:szCs w:val="21"/>
                <w:highlight w:val="none"/>
              </w:rPr>
              <w:t>递交</w:t>
            </w:r>
            <w:r>
              <w:rPr>
                <w:color w:val="auto"/>
                <w:spacing w:val="-8"/>
                <w:sz w:val="21"/>
                <w:szCs w:val="21"/>
                <w:highlight w:val="none"/>
              </w:rPr>
              <w:t>投标文件</w:t>
            </w:r>
            <w:r>
              <w:rPr>
                <w:rFonts w:hint="eastAsia"/>
                <w:color w:val="auto"/>
                <w:spacing w:val="-8"/>
                <w:sz w:val="21"/>
                <w:szCs w:val="21"/>
                <w:highlight w:val="none"/>
              </w:rPr>
              <w:t>时单独密封递交，其复印件装订在投标文件中</w:t>
            </w:r>
            <w:r>
              <w:rPr>
                <w:color w:val="auto"/>
                <w:spacing w:val="-8"/>
                <w:sz w:val="21"/>
                <w:szCs w:val="21"/>
                <w:highlight w:val="none"/>
              </w:rPr>
              <w:t>。</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4</w:t>
            </w:r>
            <w:r>
              <w:rPr>
                <w:rFonts w:ascii="宋体" w:hAnsi="宋体"/>
                <w:color w:val="auto"/>
                <w:sz w:val="21"/>
                <w:szCs w:val="21"/>
                <w:highlight w:val="none"/>
              </w:rPr>
              <w:t>）投标人法定代表人授权委托代理人</w:t>
            </w:r>
            <w:r>
              <w:rPr>
                <w:rFonts w:hint="eastAsia" w:ascii="Times New Roman" w:hAnsi="Times New Roman"/>
                <w:color w:val="auto"/>
                <w:sz w:val="21"/>
                <w:szCs w:val="21"/>
                <w:highlight w:val="none"/>
              </w:rPr>
              <w:t>签署</w:t>
            </w:r>
            <w:r>
              <w:rPr>
                <w:rFonts w:ascii="Times New Roman" w:hAnsi="Times New Roman"/>
                <w:color w:val="auto"/>
                <w:sz w:val="21"/>
                <w:szCs w:val="21"/>
                <w:highlight w:val="none"/>
              </w:rPr>
              <w:t>投标文件的，须提交授权委托书，</w:t>
            </w:r>
            <w:r>
              <w:rPr>
                <w:rFonts w:hint="eastAsia" w:ascii="Times New Roman" w:hAnsi="Times New Roman"/>
                <w:color w:val="auto"/>
                <w:sz w:val="21"/>
                <w:szCs w:val="21"/>
                <w:highlight w:val="none"/>
              </w:rPr>
              <w:t>且</w:t>
            </w:r>
            <w:r>
              <w:rPr>
                <w:rFonts w:ascii="Times New Roman" w:hAnsi="Times New Roman"/>
                <w:color w:val="auto"/>
                <w:sz w:val="21"/>
                <w:szCs w:val="21"/>
                <w:highlight w:val="none"/>
              </w:rPr>
              <w:t>授权人和被授权人均在授权</w:t>
            </w:r>
            <w:r>
              <w:rPr>
                <w:rFonts w:hint="eastAsia" w:ascii="Times New Roman" w:hAnsi="Times New Roman"/>
                <w:color w:val="auto"/>
                <w:sz w:val="21"/>
                <w:szCs w:val="21"/>
                <w:highlight w:val="none"/>
              </w:rPr>
              <w:t>委托</w:t>
            </w:r>
            <w:r>
              <w:rPr>
                <w:rFonts w:ascii="Times New Roman" w:hAnsi="Times New Roman"/>
                <w:color w:val="auto"/>
                <w:sz w:val="21"/>
                <w:szCs w:val="21"/>
                <w:highlight w:val="none"/>
              </w:rPr>
              <w:t>书上签名，未使用印章、签名章或其他电子制版签名</w:t>
            </w:r>
            <w:r>
              <w:rPr>
                <w:rFonts w:hint="eastAsia" w:ascii="Times New Roman" w:hAnsi="Times New Roman"/>
                <w:color w:val="auto"/>
                <w:sz w:val="21"/>
                <w:szCs w:val="21"/>
                <w:highlight w:val="none"/>
              </w:rPr>
              <w:t>代替</w:t>
            </w:r>
            <w:r>
              <w:rPr>
                <w:rFonts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5</w:t>
            </w:r>
            <w:r>
              <w:rPr>
                <w:rFonts w:ascii="宋体" w:hAnsi="宋体"/>
                <w:color w:val="auto"/>
                <w:sz w:val="21"/>
                <w:szCs w:val="21"/>
                <w:highlight w:val="none"/>
              </w:rPr>
              <w:t>）投标人法定代表人亲自签署投标文件的，提供了法定代表人身份证明，</w:t>
            </w:r>
            <w:r>
              <w:rPr>
                <w:rFonts w:hint="eastAsia" w:ascii="Times New Roman" w:hAnsi="Times New Roman"/>
                <w:color w:val="auto"/>
                <w:sz w:val="21"/>
                <w:szCs w:val="21"/>
                <w:highlight w:val="none"/>
              </w:rPr>
              <w:t>且</w:t>
            </w:r>
            <w:r>
              <w:rPr>
                <w:rFonts w:ascii="Times New Roman" w:hAnsi="Times New Roman"/>
                <w:color w:val="auto"/>
                <w:sz w:val="21"/>
                <w:szCs w:val="21"/>
                <w:highlight w:val="none"/>
              </w:rPr>
              <w:t>法定代表人在法定代表人身份证明上签名，未使用印章、签名章或其他电子制版签名</w:t>
            </w:r>
            <w:r>
              <w:rPr>
                <w:rFonts w:hint="eastAsia" w:ascii="Times New Roman" w:hAnsi="Times New Roman"/>
                <w:color w:val="auto"/>
                <w:sz w:val="21"/>
                <w:szCs w:val="21"/>
                <w:highlight w:val="none"/>
              </w:rPr>
              <w:t>代替</w:t>
            </w:r>
            <w:r>
              <w:rPr>
                <w:rFonts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6</w:t>
            </w:r>
            <w:r>
              <w:rPr>
                <w:rFonts w:ascii="宋体" w:hAnsi="宋体"/>
                <w:color w:val="auto"/>
                <w:sz w:val="21"/>
                <w:szCs w:val="21"/>
                <w:highlight w:val="none"/>
              </w:rPr>
              <w:t>）投标人</w:t>
            </w:r>
            <w:r>
              <w:rPr>
                <w:rFonts w:hint="eastAsia" w:ascii="宋体" w:hAnsi="宋体"/>
                <w:color w:val="auto"/>
                <w:sz w:val="21"/>
                <w:szCs w:val="21"/>
                <w:highlight w:val="none"/>
              </w:rPr>
              <w:t>未</w:t>
            </w:r>
            <w:r>
              <w:rPr>
                <w:rFonts w:ascii="宋体" w:hAnsi="宋体"/>
                <w:color w:val="auto"/>
                <w:sz w:val="21"/>
                <w:szCs w:val="21"/>
                <w:highlight w:val="none"/>
              </w:rPr>
              <w:t>以联合体形式投标</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7</w:t>
            </w:r>
            <w:r>
              <w:rPr>
                <w:rFonts w:ascii="宋体" w:hAnsi="宋体"/>
                <w:color w:val="auto"/>
                <w:sz w:val="21"/>
                <w:szCs w:val="21"/>
                <w:highlight w:val="none"/>
              </w:rPr>
              <w:t>）投标人如有分包计划，</w:t>
            </w:r>
            <w:r>
              <w:rPr>
                <w:rFonts w:hint="eastAsia" w:ascii="Times New Roman" w:hAnsi="Times New Roman"/>
                <w:color w:val="auto"/>
                <w:sz w:val="21"/>
                <w:szCs w:val="21"/>
                <w:highlight w:val="none"/>
              </w:rPr>
              <w:t>符合招标</w:t>
            </w:r>
            <w:r>
              <w:rPr>
                <w:rFonts w:ascii="Times New Roman" w:hAnsi="Times New Roman"/>
                <w:color w:val="auto"/>
                <w:sz w:val="21"/>
                <w:szCs w:val="21"/>
                <w:highlight w:val="none"/>
              </w:rPr>
              <w:t>文件第二章</w:t>
            </w:r>
            <w:r>
              <w:rPr>
                <w:rFonts w:hint="eastAsia" w:ascii="Times New Roman" w:hAnsi="Times New Roman"/>
                <w:color w:val="auto"/>
                <w:sz w:val="21"/>
                <w:szCs w:val="21"/>
                <w:highlight w:val="none"/>
              </w:rPr>
              <w:t>“投标人须知”第1.11</w:t>
            </w:r>
            <w:r>
              <w:rPr>
                <w:rFonts w:hint="eastAsia" w:ascii="宋体" w:hAnsi="宋体"/>
                <w:color w:val="auto"/>
                <w:sz w:val="21"/>
                <w:szCs w:val="21"/>
                <w:highlight w:val="none"/>
              </w:rPr>
              <w:t>款规定，且按招标文件第六章“投标文件格式”的要求填写了“拟分包项目情况表”。</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8</w:t>
            </w:r>
            <w:r>
              <w:rPr>
                <w:rFonts w:ascii="宋体" w:hAnsi="宋体"/>
                <w:color w:val="auto"/>
                <w:sz w:val="21"/>
                <w:szCs w:val="21"/>
                <w:highlight w:val="none"/>
              </w:rPr>
              <w:t>）同一投标人</w:t>
            </w:r>
            <w:r>
              <w:rPr>
                <w:rFonts w:hint="eastAsia" w:ascii="Times New Roman" w:hAnsi="Times New Roman"/>
                <w:color w:val="auto"/>
                <w:sz w:val="21"/>
                <w:szCs w:val="21"/>
                <w:highlight w:val="none"/>
              </w:rPr>
              <w:t>未</w:t>
            </w:r>
            <w:r>
              <w:rPr>
                <w:rFonts w:ascii="Times New Roman" w:hAnsi="Times New Roman"/>
                <w:color w:val="auto"/>
                <w:sz w:val="21"/>
                <w:szCs w:val="21"/>
                <w:highlight w:val="none"/>
              </w:rPr>
              <w:t>提交两个以上不同的投标文件，但招标文件要求提交备选投标的除外</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（9</w:t>
            </w:r>
            <w:r>
              <w:rPr>
                <w:rFonts w:hint="eastAsia" w:ascii="宋体" w:hAnsi="宋体"/>
                <w:color w:val="auto"/>
                <w:sz w:val="21"/>
                <w:szCs w:val="21"/>
                <w:highlight w:val="none"/>
              </w:rPr>
              <w:t>）投标文件中未出现有关投标报价的内容。</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10</w:t>
            </w:r>
            <w:r>
              <w:rPr>
                <w:rFonts w:ascii="Times New Roman" w:hAnsi="Times New Roman"/>
                <w:color w:val="auto"/>
                <w:sz w:val="21"/>
                <w:szCs w:val="21"/>
                <w:highlight w:val="none"/>
              </w:rPr>
              <w:t>）投标文件载明的招标项目完成期限未超过招标文件规定的时限</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11</w:t>
            </w:r>
            <w:r>
              <w:rPr>
                <w:rFonts w:ascii="Times New Roman" w:hAnsi="Times New Roman"/>
                <w:color w:val="auto"/>
                <w:sz w:val="21"/>
                <w:szCs w:val="21"/>
                <w:highlight w:val="none"/>
              </w:rPr>
              <w:t>）投标文件对招标文件的实质性要求和条件作出响应</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12</w:t>
            </w:r>
            <w:r>
              <w:rPr>
                <w:rFonts w:ascii="Times New Roman" w:hAnsi="Times New Roman"/>
                <w:color w:val="auto"/>
                <w:sz w:val="21"/>
                <w:szCs w:val="21"/>
                <w:highlight w:val="none"/>
              </w:rPr>
              <w:t>）权利义务符合招标文件规定：</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a.</w:t>
            </w:r>
            <w:r>
              <w:rPr>
                <w:rFonts w:ascii="宋体" w:hAnsi="宋体"/>
                <w:color w:val="auto"/>
                <w:sz w:val="21"/>
                <w:szCs w:val="21"/>
                <w:highlight w:val="none"/>
              </w:rPr>
              <w:t>投标人应接受招标文件规定的风险划分原则，未提出新的风险划分办法；</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b.</w:t>
            </w:r>
            <w:r>
              <w:rPr>
                <w:rFonts w:ascii="宋体" w:hAnsi="宋体"/>
                <w:color w:val="auto"/>
                <w:sz w:val="21"/>
                <w:szCs w:val="21"/>
                <w:highlight w:val="none"/>
              </w:rPr>
              <w:t>投标人未增加发包人的责任范围，或减少投标人义务；</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c.</w:t>
            </w:r>
            <w:r>
              <w:rPr>
                <w:rFonts w:ascii="宋体" w:hAnsi="宋体"/>
                <w:color w:val="auto"/>
                <w:sz w:val="21"/>
                <w:szCs w:val="21"/>
                <w:highlight w:val="none"/>
              </w:rPr>
              <w:t>投标人未提出不同的支付办法；</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d.</w:t>
            </w:r>
            <w:r>
              <w:rPr>
                <w:rFonts w:ascii="宋体" w:hAnsi="宋体"/>
                <w:color w:val="auto"/>
                <w:sz w:val="21"/>
                <w:szCs w:val="21"/>
                <w:highlight w:val="none"/>
              </w:rPr>
              <w:t>投标人对合同纠纷、事故处理办法未提出异议；</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e.</w:t>
            </w:r>
            <w:r>
              <w:rPr>
                <w:rFonts w:ascii="宋体" w:hAnsi="宋体"/>
                <w:color w:val="auto"/>
                <w:sz w:val="21"/>
                <w:szCs w:val="21"/>
                <w:highlight w:val="none"/>
              </w:rPr>
              <w:t>投标人在投标活动中无欺诈行为；</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f.</w:t>
            </w:r>
            <w:r>
              <w:rPr>
                <w:rFonts w:ascii="宋体" w:hAnsi="宋体"/>
                <w:color w:val="auto"/>
                <w:sz w:val="21"/>
                <w:szCs w:val="21"/>
                <w:highlight w:val="none"/>
              </w:rPr>
              <w:t>投标人未对合同条款有重要保留。</w:t>
            </w:r>
          </w:p>
          <w:p>
            <w:pPr>
              <w:keepNext w:val="0"/>
              <w:keepLines w:val="0"/>
              <w:pageBreakBefore w:val="0"/>
              <w:kinsoku/>
              <w:overflowPunct/>
              <w:autoSpaceDE/>
              <w:autoSpaceDN/>
              <w:bidi w:val="0"/>
              <w:adjustRightInd/>
              <w:snapToGrid/>
              <w:spacing w:line="33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13</w:t>
            </w:r>
            <w:r>
              <w:rPr>
                <w:rFonts w:ascii="宋体" w:hAnsi="宋体"/>
                <w:color w:val="auto"/>
                <w:sz w:val="21"/>
                <w:szCs w:val="21"/>
                <w:highlight w:val="none"/>
              </w:rPr>
              <w:t>）</w:t>
            </w:r>
            <w:r>
              <w:rPr>
                <w:rFonts w:hint="eastAsia" w:ascii="Times New Roman" w:hAnsi="Times New Roman"/>
                <w:color w:val="auto"/>
                <w:sz w:val="21"/>
                <w:szCs w:val="21"/>
                <w:highlight w:val="none"/>
              </w:rPr>
              <w:t>投标</w:t>
            </w:r>
            <w:r>
              <w:rPr>
                <w:rFonts w:ascii="Times New Roman" w:hAnsi="Times New Roman"/>
                <w:color w:val="auto"/>
                <w:sz w:val="21"/>
                <w:szCs w:val="21"/>
                <w:highlight w:val="none"/>
              </w:rPr>
              <w:t>文件正、副本份数符合</w:t>
            </w:r>
            <w:r>
              <w:rPr>
                <w:rFonts w:hint="eastAsia" w:ascii="Times New Roman" w:hAnsi="Times New Roman"/>
                <w:color w:val="auto"/>
                <w:sz w:val="21"/>
                <w:szCs w:val="21"/>
                <w:highlight w:val="none"/>
              </w:rPr>
              <w:t>招标</w:t>
            </w:r>
            <w:r>
              <w:rPr>
                <w:rFonts w:ascii="Times New Roman" w:hAnsi="Times New Roman"/>
                <w:color w:val="auto"/>
                <w:sz w:val="21"/>
                <w:szCs w:val="21"/>
                <w:highlight w:val="none"/>
              </w:rPr>
              <w:t>文件第二章“</w:t>
            </w:r>
            <w:r>
              <w:rPr>
                <w:rFonts w:hint="eastAsia" w:ascii="Times New Roman" w:hAnsi="Times New Roman"/>
                <w:color w:val="auto"/>
                <w:sz w:val="21"/>
                <w:szCs w:val="21"/>
                <w:highlight w:val="none"/>
              </w:rPr>
              <w:t>投标</w:t>
            </w:r>
            <w:r>
              <w:rPr>
                <w:rFonts w:ascii="Times New Roman" w:hAnsi="Times New Roman"/>
                <w:color w:val="auto"/>
                <w:sz w:val="21"/>
                <w:szCs w:val="21"/>
                <w:highlight w:val="none"/>
              </w:rPr>
              <w:t>人须知”</w:t>
            </w:r>
            <w:r>
              <w:rPr>
                <w:rFonts w:ascii="宋体" w:hAnsi="宋体"/>
                <w:color w:val="auto"/>
                <w:sz w:val="21"/>
                <w:szCs w:val="21"/>
                <w:highlight w:val="none"/>
              </w:rPr>
              <w:t>第</w:t>
            </w:r>
            <w:r>
              <w:rPr>
                <w:rFonts w:ascii="Times New Roman" w:hAnsi="Times New Roman"/>
                <w:color w:val="auto"/>
                <w:sz w:val="21"/>
                <w:szCs w:val="21"/>
                <w:highlight w:val="none"/>
              </w:rPr>
              <w:t>3.7.4</w:t>
            </w:r>
            <w:r>
              <w:rPr>
                <w:rFonts w:ascii="宋体" w:hAnsi="宋体"/>
                <w:color w:val="auto"/>
                <w:sz w:val="21"/>
                <w:szCs w:val="21"/>
                <w:highlight w:val="none"/>
              </w:rPr>
              <w:t>项规定</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snapToGrid/>
              <w:spacing w:line="340" w:lineRule="atLeast"/>
              <w:ind w:firstLine="0" w:firstLineChars="0"/>
              <w:rPr>
                <w:rFonts w:ascii="Times New Roman" w:hAnsi="Times New Roman"/>
                <w:b/>
                <w:bCs/>
                <w:color w:val="auto"/>
                <w:sz w:val="21"/>
                <w:szCs w:val="21"/>
                <w:highlight w:val="none"/>
              </w:rPr>
            </w:pPr>
            <w:r>
              <w:rPr>
                <w:rFonts w:hint="eastAsia" w:ascii="Times New Roman" w:hAnsi="Times New Roman"/>
                <w:b/>
                <w:bCs/>
                <w:color w:val="auto"/>
                <w:sz w:val="21"/>
                <w:szCs w:val="21"/>
                <w:highlight w:val="none"/>
              </w:rPr>
              <w:t>第二个信封（报价文件）评审标准：</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（1</w:t>
            </w:r>
            <w:r>
              <w:rPr>
                <w:rFonts w:ascii="宋体" w:hAnsi="宋体"/>
                <w:color w:val="auto"/>
                <w:sz w:val="21"/>
                <w:szCs w:val="21"/>
                <w:highlight w:val="none"/>
              </w:rPr>
              <w:t>）投标文件按照招标文件规定的格式、内容填写，字迹清晰可辨</w:t>
            </w:r>
            <w:r>
              <w:rPr>
                <w:rFonts w:hint="eastAsia" w:ascii="Times New Roman" w:hAnsi="Times New Roman"/>
                <w:color w:val="auto"/>
                <w:sz w:val="21"/>
                <w:szCs w:val="21"/>
                <w:highlight w:val="none"/>
              </w:rPr>
              <w:t>，内容齐全完整</w:t>
            </w:r>
            <w:r>
              <w:rPr>
                <w:rFonts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a.投标</w:t>
            </w:r>
            <w:r>
              <w:rPr>
                <w:rFonts w:ascii="Times New Roman" w:hAnsi="Times New Roman"/>
                <w:color w:val="auto"/>
                <w:sz w:val="21"/>
                <w:szCs w:val="21"/>
                <w:highlight w:val="none"/>
              </w:rPr>
              <w:t>函按招标文件规定填报了</w:t>
            </w:r>
            <w:r>
              <w:rPr>
                <w:rFonts w:hint="eastAsia" w:ascii="Times New Roman" w:hAnsi="Times New Roman"/>
                <w:color w:val="auto"/>
                <w:sz w:val="21"/>
                <w:szCs w:val="21"/>
                <w:highlight w:val="none"/>
              </w:rPr>
              <w:t>项目名称、补遗书编号（如有）、</w:t>
            </w:r>
            <w:r>
              <w:rPr>
                <w:rFonts w:ascii="Times New Roman" w:hAnsi="Times New Roman"/>
                <w:color w:val="auto"/>
                <w:sz w:val="21"/>
                <w:szCs w:val="21"/>
                <w:highlight w:val="none"/>
              </w:rPr>
              <w:t>投标</w:t>
            </w:r>
            <w:r>
              <w:rPr>
                <w:rFonts w:hint="eastAsia" w:ascii="Times New Roman" w:hAnsi="Times New Roman"/>
                <w:color w:val="auto"/>
                <w:sz w:val="21"/>
                <w:szCs w:val="21"/>
                <w:highlight w:val="none"/>
              </w:rPr>
              <w:t>总报</w:t>
            </w:r>
            <w:r>
              <w:rPr>
                <w:rFonts w:ascii="Times New Roman" w:hAnsi="Times New Roman"/>
                <w:color w:val="auto"/>
                <w:sz w:val="21"/>
                <w:szCs w:val="21"/>
                <w:highlight w:val="none"/>
              </w:rPr>
              <w:t>价</w:t>
            </w:r>
            <w:r>
              <w:rPr>
                <w:rFonts w:hint="eastAsia" w:ascii="Times New Roman" w:hAnsi="Times New Roman"/>
                <w:color w:val="auto"/>
                <w:sz w:val="21"/>
                <w:szCs w:val="21"/>
                <w:highlight w:val="none"/>
              </w:rPr>
              <w:t>（包括大写金额和小写金额）</w:t>
            </w:r>
            <w:r>
              <w:rPr>
                <w:rFonts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b.</w:t>
            </w:r>
            <w:r>
              <w:rPr>
                <w:rFonts w:ascii="宋体" w:hAnsi="宋体"/>
                <w:color w:val="auto"/>
                <w:sz w:val="21"/>
                <w:szCs w:val="21"/>
                <w:highlight w:val="none"/>
              </w:rPr>
              <w:t>已标价报价清单说明文字与招标文件规定一致，</w:t>
            </w:r>
            <w:r>
              <w:rPr>
                <w:rFonts w:hint="eastAsia" w:ascii="Times New Roman" w:hAnsi="Times New Roman"/>
                <w:color w:val="auto"/>
                <w:sz w:val="21"/>
                <w:szCs w:val="21"/>
                <w:highlight w:val="none"/>
              </w:rPr>
              <w:t>未</w:t>
            </w:r>
            <w:r>
              <w:rPr>
                <w:rFonts w:ascii="Times New Roman" w:hAnsi="Times New Roman"/>
                <w:color w:val="auto"/>
                <w:sz w:val="21"/>
                <w:szCs w:val="21"/>
                <w:highlight w:val="none"/>
              </w:rPr>
              <w:t>进行实质性修改和删减</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c.</w:t>
            </w:r>
            <w:r>
              <w:rPr>
                <w:rFonts w:ascii="宋体" w:hAnsi="宋体"/>
                <w:color w:val="auto"/>
                <w:sz w:val="21"/>
                <w:szCs w:val="21"/>
                <w:highlight w:val="none"/>
              </w:rPr>
              <w:t>投标文件组成齐全完整，内容均按规定填写</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（2</w:t>
            </w:r>
            <w:r>
              <w:rPr>
                <w:rFonts w:ascii="宋体" w:hAnsi="宋体"/>
                <w:color w:val="auto"/>
                <w:sz w:val="21"/>
                <w:szCs w:val="21"/>
                <w:highlight w:val="none"/>
              </w:rPr>
              <w:t>）投标文件上法定代表人或其</w:t>
            </w:r>
            <w:r>
              <w:rPr>
                <w:rFonts w:hint="eastAsia" w:ascii="Times New Roman" w:hAnsi="Times New Roman"/>
                <w:color w:val="auto"/>
                <w:sz w:val="21"/>
                <w:szCs w:val="21"/>
                <w:highlight w:val="none"/>
              </w:rPr>
              <w:t>委托</w:t>
            </w:r>
            <w:r>
              <w:rPr>
                <w:rFonts w:ascii="Times New Roman" w:hAnsi="Times New Roman"/>
                <w:color w:val="auto"/>
                <w:sz w:val="21"/>
                <w:szCs w:val="21"/>
                <w:highlight w:val="none"/>
              </w:rPr>
              <w:t>代理人的签字、投标人的单位章盖章齐全，符合招标文件规定</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（3</w:t>
            </w:r>
            <w:r>
              <w:rPr>
                <w:rFonts w:hint="eastAsia" w:ascii="宋体" w:hAnsi="宋体"/>
                <w:color w:val="auto"/>
                <w:sz w:val="21"/>
                <w:szCs w:val="21"/>
                <w:highlight w:val="none"/>
              </w:rPr>
              <w:t>）投标报价未超过招标文件设定的最高投标限价（如有）。</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（4</w:t>
            </w:r>
            <w:r>
              <w:rPr>
                <w:rFonts w:hint="eastAsia" w:ascii="宋体" w:hAnsi="宋体"/>
                <w:color w:val="auto"/>
                <w:sz w:val="21"/>
                <w:szCs w:val="21"/>
                <w:highlight w:val="none"/>
              </w:rPr>
              <w:t>）投标报价的</w:t>
            </w:r>
            <w:r>
              <w:rPr>
                <w:rFonts w:ascii="Times New Roman" w:hAnsi="Times New Roman"/>
                <w:color w:val="auto"/>
                <w:sz w:val="21"/>
                <w:szCs w:val="21"/>
                <w:highlight w:val="none"/>
              </w:rPr>
              <w:t>大写金额</w:t>
            </w:r>
            <w:r>
              <w:rPr>
                <w:rFonts w:hint="eastAsia" w:ascii="Times New Roman" w:hAnsi="Times New Roman"/>
                <w:color w:val="auto"/>
                <w:sz w:val="21"/>
                <w:szCs w:val="21"/>
                <w:highlight w:val="none"/>
              </w:rPr>
              <w:t>能够确定</w:t>
            </w:r>
            <w:r>
              <w:rPr>
                <w:rFonts w:ascii="Times New Roman" w:hAnsi="Times New Roman"/>
                <w:color w:val="auto"/>
                <w:sz w:val="21"/>
                <w:szCs w:val="21"/>
                <w:highlight w:val="none"/>
              </w:rPr>
              <w:t>具体数值</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5</w:t>
            </w:r>
            <w:r>
              <w:rPr>
                <w:rFonts w:ascii="Times New Roman" w:hAnsi="Times New Roman"/>
                <w:color w:val="auto"/>
                <w:sz w:val="21"/>
                <w:szCs w:val="21"/>
                <w:highlight w:val="none"/>
              </w:rPr>
              <w:t>）同一投标人</w:t>
            </w:r>
            <w:r>
              <w:rPr>
                <w:rFonts w:hint="eastAsia" w:ascii="Times New Roman" w:hAnsi="Times New Roman"/>
                <w:color w:val="auto"/>
                <w:sz w:val="21"/>
                <w:szCs w:val="21"/>
                <w:highlight w:val="none"/>
              </w:rPr>
              <w:t>未</w:t>
            </w:r>
            <w:r>
              <w:rPr>
                <w:rFonts w:ascii="Times New Roman" w:hAnsi="Times New Roman"/>
                <w:color w:val="auto"/>
                <w:sz w:val="21"/>
                <w:szCs w:val="21"/>
                <w:highlight w:val="none"/>
              </w:rPr>
              <w:t>提交两个以上不同的投标报价，但招标文件要求提交备选投标的除外</w:t>
            </w:r>
            <w:r>
              <w:rPr>
                <w:rFonts w:hint="eastAsia" w:ascii="Times New Roman" w:hAnsi="Times New Roman"/>
                <w:color w:val="auto"/>
                <w:sz w:val="21"/>
                <w:szCs w:val="21"/>
                <w:highlight w:val="none"/>
              </w:rPr>
              <w:t>。</w:t>
            </w:r>
          </w:p>
          <w:p>
            <w:pPr>
              <w:keepNext w:val="0"/>
              <w:keepLines w:val="0"/>
              <w:pageBreakBefore w:val="0"/>
              <w:kinsoku/>
              <w:overflowPunct/>
              <w:autoSpaceDE/>
              <w:autoSpaceDN/>
              <w:bidi w:val="0"/>
              <w:adjustRightInd/>
              <w:snapToGrid/>
              <w:spacing w:line="340" w:lineRule="atLeast"/>
              <w:ind w:firstLine="0" w:firstLineChars="0"/>
              <w:jc w:val="both"/>
              <w:textAlignment w:val="auto"/>
              <w:rPr>
                <w:rFonts w:hint="eastAsia" w:ascii="Times New Roman" w:hAnsi="Times New Roman"/>
                <w:color w:val="auto"/>
                <w:sz w:val="21"/>
                <w:szCs w:val="21"/>
                <w:highlight w:val="none"/>
              </w:rPr>
            </w:pPr>
            <w:r>
              <w:rPr>
                <w:rFonts w:ascii="Times New Roman" w:hAnsi="Times New Roman"/>
                <w:color w:val="auto"/>
                <w:sz w:val="21"/>
                <w:szCs w:val="21"/>
                <w:highlight w:val="none"/>
              </w:rPr>
              <w:t>（</w:t>
            </w:r>
            <w:r>
              <w:rPr>
                <w:rFonts w:hint="eastAsia" w:ascii="Times New Roman" w:hAnsi="Times New Roman"/>
                <w:color w:val="auto"/>
                <w:sz w:val="21"/>
                <w:szCs w:val="21"/>
                <w:highlight w:val="none"/>
              </w:rPr>
              <w:t>6</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投标</w:t>
            </w:r>
            <w:r>
              <w:rPr>
                <w:rFonts w:ascii="Times New Roman" w:hAnsi="Times New Roman"/>
                <w:color w:val="auto"/>
                <w:sz w:val="21"/>
                <w:szCs w:val="21"/>
                <w:highlight w:val="none"/>
              </w:rPr>
              <w:t>文件正、副本份数符合</w:t>
            </w:r>
            <w:r>
              <w:rPr>
                <w:rFonts w:hint="eastAsia" w:ascii="Times New Roman" w:hAnsi="Times New Roman"/>
                <w:color w:val="auto"/>
                <w:sz w:val="21"/>
                <w:szCs w:val="21"/>
                <w:highlight w:val="none"/>
              </w:rPr>
              <w:t>招标</w:t>
            </w:r>
            <w:r>
              <w:rPr>
                <w:rFonts w:ascii="Times New Roman" w:hAnsi="Times New Roman"/>
                <w:color w:val="auto"/>
                <w:sz w:val="21"/>
                <w:szCs w:val="21"/>
                <w:highlight w:val="none"/>
              </w:rPr>
              <w:t>文件第二章“</w:t>
            </w:r>
            <w:r>
              <w:rPr>
                <w:rFonts w:hint="eastAsia" w:ascii="Times New Roman" w:hAnsi="Times New Roman"/>
                <w:color w:val="auto"/>
                <w:sz w:val="21"/>
                <w:szCs w:val="21"/>
                <w:highlight w:val="none"/>
              </w:rPr>
              <w:t>投标</w:t>
            </w:r>
            <w:r>
              <w:rPr>
                <w:rFonts w:ascii="Times New Roman" w:hAnsi="Times New Roman"/>
                <w:color w:val="auto"/>
                <w:sz w:val="21"/>
                <w:szCs w:val="21"/>
                <w:highlight w:val="none"/>
              </w:rPr>
              <w:t>人须知”</w:t>
            </w:r>
            <w:r>
              <w:rPr>
                <w:rFonts w:ascii="宋体" w:hAnsi="宋体"/>
                <w:color w:val="auto"/>
                <w:sz w:val="21"/>
                <w:szCs w:val="21"/>
                <w:highlight w:val="none"/>
              </w:rPr>
              <w:t>第</w:t>
            </w:r>
            <w:r>
              <w:rPr>
                <w:rFonts w:ascii="Times New Roman" w:hAnsi="Times New Roman"/>
                <w:color w:val="auto"/>
                <w:sz w:val="21"/>
                <w:szCs w:val="21"/>
                <w:highlight w:val="none"/>
              </w:rPr>
              <w:t>3.7.4</w:t>
            </w:r>
            <w:r>
              <w:rPr>
                <w:rFonts w:ascii="宋体" w:hAnsi="宋体"/>
                <w:color w:val="auto"/>
                <w:sz w:val="21"/>
                <w:szCs w:val="21"/>
                <w:highlight w:val="none"/>
              </w:rPr>
              <w:t>项规定</w:t>
            </w:r>
            <w:r>
              <w:rPr>
                <w:rFonts w:hint="eastAsia" w:ascii="Times New Roman" w:hAnsi="Times New Roman"/>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6" w:type="dxa"/>
            <w:vAlign w:val="center"/>
          </w:tcPr>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r>
              <w:rPr>
                <w:rFonts w:ascii="Times New Roman" w:hAnsi="Times New Roman"/>
                <w:color w:val="auto"/>
                <w:sz w:val="21"/>
                <w:szCs w:val="21"/>
                <w:highlight w:val="none"/>
              </w:rPr>
              <w:t>2.1.2</w:t>
            </w:r>
          </w:p>
        </w:tc>
        <w:tc>
          <w:tcPr>
            <w:tcW w:w="1513" w:type="dxa"/>
            <w:vAlign w:val="center"/>
          </w:tcPr>
          <w:p>
            <w:pPr>
              <w:keepNext w:val="0"/>
              <w:keepLines w:val="0"/>
              <w:pageBreakBefore w:val="0"/>
              <w:kinsoku/>
              <w:wordWrap w:val="0"/>
              <w:overflowPunct/>
              <w:topLinePunct/>
              <w:autoSpaceDE/>
              <w:autoSpaceDN/>
              <w:bidi w:val="0"/>
              <w:adjustRightInd/>
              <w:snapToGrid/>
              <w:spacing w:line="360" w:lineRule="auto"/>
              <w:ind w:firstLine="0" w:firstLineChars="0"/>
              <w:jc w:val="center"/>
              <w:rPr>
                <w:rFonts w:hint="eastAsia"/>
                <w:color w:val="auto"/>
                <w:sz w:val="21"/>
                <w:szCs w:val="21"/>
                <w:highlight w:val="none"/>
              </w:rPr>
            </w:pPr>
            <w:r>
              <w:rPr>
                <w:color w:val="auto"/>
                <w:sz w:val="21"/>
                <w:szCs w:val="21"/>
                <w:highlight w:val="none"/>
              </w:rPr>
              <w:t>资格评审标准</w:t>
            </w:r>
          </w:p>
        </w:tc>
        <w:tc>
          <w:tcPr>
            <w:tcW w:w="6005" w:type="dxa"/>
            <w:vAlign w:val="center"/>
          </w:tcPr>
          <w:p>
            <w:pPr>
              <w:keepNext w:val="0"/>
              <w:keepLines w:val="0"/>
              <w:pageBreakBefore w:val="0"/>
              <w:kinsoku/>
              <w:overflowPunct/>
              <w:autoSpaceDE/>
              <w:autoSpaceDN/>
              <w:bidi w:val="0"/>
              <w:snapToGrid/>
              <w:spacing w:line="340" w:lineRule="atLeast"/>
              <w:ind w:firstLine="0" w:firstLineChars="0"/>
              <w:rPr>
                <w:color w:val="auto"/>
                <w:sz w:val="21"/>
                <w:szCs w:val="21"/>
                <w:highlight w:val="none"/>
              </w:rPr>
            </w:pPr>
            <w:r>
              <w:rPr>
                <w:color w:val="auto"/>
                <w:sz w:val="21"/>
                <w:szCs w:val="21"/>
                <w:highlight w:val="none"/>
              </w:rPr>
              <w:t>（1</w:t>
            </w:r>
            <w:r>
              <w:rPr>
                <w:rFonts w:ascii="宋体" w:hAnsi="宋体"/>
                <w:color w:val="auto"/>
                <w:sz w:val="21"/>
                <w:szCs w:val="21"/>
                <w:highlight w:val="none"/>
              </w:rPr>
              <w:t>）投标人具备有效的营业执照</w:t>
            </w:r>
            <w:r>
              <w:rPr>
                <w:rFonts w:hint="eastAsia"/>
                <w:color w:val="auto"/>
                <w:sz w:val="21"/>
                <w:szCs w:val="21"/>
                <w:highlight w:val="none"/>
              </w:rPr>
              <w:t>、</w:t>
            </w:r>
            <w:r>
              <w:rPr>
                <w:color w:val="auto"/>
                <w:sz w:val="21"/>
                <w:szCs w:val="21"/>
                <w:highlight w:val="none"/>
              </w:rPr>
              <w:t>资质证书</w:t>
            </w:r>
            <w:r>
              <w:rPr>
                <w:rFonts w:hint="eastAsia"/>
                <w:color w:val="auto"/>
                <w:sz w:val="21"/>
                <w:szCs w:val="21"/>
                <w:highlight w:val="none"/>
              </w:rPr>
              <w:t>和基本账户开户许可证（（如企业所在地已取消企业银行账户许可而无法提供开户许可证的，则需附上开户银行出具的“基本存款账户信息”或“人民银行账户管理系统查询的基本账户信息截图”）。</w:t>
            </w:r>
          </w:p>
          <w:p>
            <w:pPr>
              <w:keepNext w:val="0"/>
              <w:keepLines w:val="0"/>
              <w:pageBreakBefore w:val="0"/>
              <w:kinsoku/>
              <w:overflowPunct/>
              <w:autoSpaceDE/>
              <w:autoSpaceDN/>
              <w:bidi w:val="0"/>
              <w:snapToGrid/>
              <w:spacing w:line="340" w:lineRule="atLeast"/>
              <w:ind w:firstLine="0" w:firstLineChars="0"/>
              <w:rPr>
                <w:color w:val="auto"/>
                <w:sz w:val="21"/>
                <w:szCs w:val="21"/>
                <w:highlight w:val="none"/>
              </w:rPr>
            </w:pPr>
            <w:r>
              <w:rPr>
                <w:color w:val="auto"/>
                <w:sz w:val="21"/>
                <w:szCs w:val="21"/>
                <w:highlight w:val="none"/>
              </w:rPr>
              <w:t>（2</w:t>
            </w:r>
            <w:r>
              <w:rPr>
                <w:rFonts w:ascii="宋体" w:hAnsi="宋体"/>
                <w:color w:val="auto"/>
                <w:sz w:val="21"/>
                <w:szCs w:val="21"/>
                <w:highlight w:val="none"/>
              </w:rPr>
              <w:t>）投标人的资质等级符合招标文件规定</w:t>
            </w:r>
            <w:r>
              <w:rPr>
                <w:rFonts w:hint="eastAsia"/>
                <w:color w:val="auto"/>
                <w:sz w:val="21"/>
                <w:szCs w:val="21"/>
                <w:highlight w:val="none"/>
              </w:rPr>
              <w:t>。</w:t>
            </w:r>
          </w:p>
          <w:p>
            <w:pPr>
              <w:keepNext w:val="0"/>
              <w:keepLines w:val="0"/>
              <w:pageBreakBefore w:val="0"/>
              <w:kinsoku/>
              <w:overflowPunct/>
              <w:autoSpaceDE/>
              <w:autoSpaceDN/>
              <w:bidi w:val="0"/>
              <w:snapToGrid/>
              <w:spacing w:line="340" w:lineRule="atLeast"/>
              <w:ind w:firstLine="0" w:firstLineChars="0"/>
              <w:rPr>
                <w:color w:val="auto"/>
                <w:sz w:val="21"/>
                <w:szCs w:val="21"/>
                <w:highlight w:val="none"/>
              </w:rPr>
            </w:pPr>
            <w:r>
              <w:rPr>
                <w:rFonts w:hint="eastAsia"/>
                <w:color w:val="auto"/>
                <w:sz w:val="21"/>
                <w:szCs w:val="21"/>
                <w:highlight w:val="none"/>
              </w:rPr>
              <w:t>（</w:t>
            </w:r>
            <w:r>
              <w:rPr>
                <w:color w:val="auto"/>
                <w:sz w:val="21"/>
                <w:szCs w:val="21"/>
                <w:highlight w:val="none"/>
              </w:rPr>
              <w:t>3</w:t>
            </w:r>
            <w:r>
              <w:rPr>
                <w:rFonts w:hint="eastAsia"/>
                <w:color w:val="auto"/>
                <w:sz w:val="21"/>
                <w:szCs w:val="21"/>
                <w:highlight w:val="none"/>
              </w:rPr>
              <w:t>）</w:t>
            </w:r>
            <w:r>
              <w:rPr>
                <w:color w:val="auto"/>
                <w:sz w:val="21"/>
                <w:szCs w:val="21"/>
                <w:highlight w:val="none"/>
              </w:rPr>
              <w:t>投标人的类似项目业绩符合招标文件规定</w:t>
            </w:r>
            <w:r>
              <w:rPr>
                <w:rFonts w:hint="eastAsia"/>
                <w:color w:val="auto"/>
                <w:sz w:val="21"/>
                <w:szCs w:val="21"/>
                <w:highlight w:val="none"/>
              </w:rPr>
              <w:t>。</w:t>
            </w:r>
          </w:p>
          <w:p>
            <w:pPr>
              <w:keepNext w:val="0"/>
              <w:keepLines w:val="0"/>
              <w:pageBreakBefore w:val="0"/>
              <w:kinsoku/>
              <w:overflowPunct/>
              <w:autoSpaceDE/>
              <w:autoSpaceDN/>
              <w:bidi w:val="0"/>
              <w:snapToGrid/>
              <w:spacing w:line="340" w:lineRule="atLeast"/>
              <w:ind w:firstLine="0" w:firstLineChars="0"/>
              <w:rPr>
                <w:color w:val="auto"/>
                <w:sz w:val="21"/>
                <w:szCs w:val="21"/>
                <w:highlight w:val="none"/>
              </w:rPr>
            </w:pPr>
            <w:r>
              <w:rPr>
                <w:color w:val="auto"/>
                <w:sz w:val="21"/>
                <w:szCs w:val="21"/>
                <w:highlight w:val="none"/>
              </w:rPr>
              <w:t>（4</w:t>
            </w:r>
            <w:r>
              <w:rPr>
                <w:rFonts w:ascii="宋体" w:hAnsi="宋体"/>
                <w:color w:val="auto"/>
                <w:sz w:val="21"/>
                <w:szCs w:val="21"/>
                <w:highlight w:val="none"/>
              </w:rPr>
              <w:t>）投标人的信誉符合招标文件规定</w:t>
            </w:r>
            <w:r>
              <w:rPr>
                <w:rFonts w:hint="eastAsia"/>
                <w:color w:val="auto"/>
                <w:sz w:val="21"/>
                <w:szCs w:val="21"/>
                <w:highlight w:val="none"/>
              </w:rPr>
              <w:t>。</w:t>
            </w:r>
          </w:p>
          <w:p>
            <w:pPr>
              <w:keepNext w:val="0"/>
              <w:keepLines w:val="0"/>
              <w:pageBreakBefore w:val="0"/>
              <w:kinsoku/>
              <w:overflowPunct/>
              <w:autoSpaceDE/>
              <w:autoSpaceDN/>
              <w:bidi w:val="0"/>
              <w:snapToGrid/>
              <w:spacing w:line="340" w:lineRule="atLeast"/>
              <w:ind w:firstLine="0" w:firstLineChars="0"/>
              <w:rPr>
                <w:rFonts w:hint="eastAsia"/>
                <w:color w:val="auto"/>
                <w:sz w:val="21"/>
                <w:szCs w:val="21"/>
                <w:highlight w:val="none"/>
              </w:rPr>
            </w:pPr>
            <w:r>
              <w:rPr>
                <w:color w:val="auto"/>
                <w:sz w:val="21"/>
                <w:szCs w:val="21"/>
                <w:highlight w:val="none"/>
              </w:rPr>
              <w:t>（5</w:t>
            </w:r>
            <w:r>
              <w:rPr>
                <w:rFonts w:ascii="宋体" w:hAnsi="宋体"/>
                <w:color w:val="auto"/>
                <w:sz w:val="21"/>
                <w:szCs w:val="21"/>
                <w:highlight w:val="none"/>
              </w:rPr>
              <w:t>）投标人的</w:t>
            </w:r>
            <w:r>
              <w:rPr>
                <w:rFonts w:hint="eastAsia" w:ascii="宋体" w:hAnsi="宋体"/>
                <w:color w:val="auto"/>
                <w:sz w:val="21"/>
                <w:szCs w:val="21"/>
                <w:highlight w:val="none"/>
              </w:rPr>
              <w:t>主要人员</w:t>
            </w:r>
            <w:r>
              <w:rPr>
                <w:rFonts w:ascii="宋体" w:hAnsi="宋体"/>
                <w:color w:val="auto"/>
                <w:sz w:val="21"/>
                <w:szCs w:val="21"/>
                <w:highlight w:val="none"/>
              </w:rPr>
              <w:t>资格符合招标文件规定</w:t>
            </w:r>
            <w:r>
              <w:rPr>
                <w:rFonts w:hint="eastAsia"/>
                <w:color w:val="auto"/>
                <w:sz w:val="21"/>
                <w:szCs w:val="21"/>
                <w:highlight w:val="none"/>
              </w:rPr>
              <w:t>。</w:t>
            </w:r>
          </w:p>
          <w:p>
            <w:pPr>
              <w:keepNext w:val="0"/>
              <w:keepLines w:val="0"/>
              <w:pageBreakBefore w:val="0"/>
              <w:kinsoku/>
              <w:overflowPunct/>
              <w:autoSpaceDE/>
              <w:autoSpaceDN/>
              <w:bidi w:val="0"/>
              <w:snapToGrid/>
              <w:spacing w:line="340" w:lineRule="atLeast"/>
              <w:ind w:firstLine="0" w:firstLineChars="0"/>
              <w:rPr>
                <w:rFonts w:hint="eastAsia" w:eastAsia="宋体"/>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6</w:t>
            </w:r>
            <w:r>
              <w:rPr>
                <w:rFonts w:hint="eastAsia"/>
                <w:color w:val="auto"/>
                <w:sz w:val="21"/>
                <w:szCs w:val="21"/>
                <w:highlight w:val="none"/>
                <w:lang w:eastAsia="zh-CN"/>
              </w:rPr>
              <w:t>）</w:t>
            </w:r>
            <w:r>
              <w:rPr>
                <w:rFonts w:ascii="宋体" w:hAnsi="宋体"/>
                <w:color w:val="auto"/>
                <w:sz w:val="21"/>
                <w:szCs w:val="21"/>
                <w:highlight w:val="none"/>
              </w:rPr>
              <w:t>投标人的</w:t>
            </w:r>
            <w:r>
              <w:rPr>
                <w:rFonts w:hint="eastAsia" w:ascii="宋体" w:hAnsi="宋体"/>
                <w:color w:val="auto"/>
                <w:sz w:val="21"/>
                <w:szCs w:val="21"/>
                <w:highlight w:val="none"/>
              </w:rPr>
              <w:t>主要</w:t>
            </w:r>
            <w:r>
              <w:rPr>
                <w:rFonts w:hint="eastAsia" w:ascii="宋体" w:hAnsi="宋体"/>
                <w:color w:val="auto"/>
                <w:sz w:val="21"/>
                <w:szCs w:val="21"/>
                <w:highlight w:val="none"/>
                <w:lang w:val="en-US" w:eastAsia="zh-CN"/>
              </w:rPr>
              <w:t>设备</w:t>
            </w:r>
            <w:r>
              <w:rPr>
                <w:rFonts w:ascii="宋体" w:hAnsi="宋体"/>
                <w:color w:val="auto"/>
                <w:sz w:val="21"/>
                <w:szCs w:val="21"/>
                <w:highlight w:val="none"/>
              </w:rPr>
              <w:t>符合招标文件规定</w:t>
            </w:r>
            <w:r>
              <w:rPr>
                <w:rFonts w:hint="eastAsia"/>
                <w:color w:val="auto"/>
                <w:sz w:val="21"/>
                <w:szCs w:val="21"/>
                <w:highlight w:val="none"/>
              </w:rPr>
              <w:t>。</w:t>
            </w:r>
          </w:p>
          <w:p>
            <w:pPr>
              <w:keepNext w:val="0"/>
              <w:keepLines w:val="0"/>
              <w:pageBreakBefore w:val="0"/>
              <w:kinsoku/>
              <w:overflowPunct/>
              <w:autoSpaceDE/>
              <w:autoSpaceDN/>
              <w:bidi w:val="0"/>
              <w:snapToGrid/>
              <w:spacing w:line="340" w:lineRule="atLeast"/>
              <w:ind w:firstLine="0" w:firstLineChars="0"/>
              <w:rPr>
                <w:color w:val="auto"/>
                <w:sz w:val="21"/>
                <w:szCs w:val="21"/>
                <w:highlight w:val="none"/>
              </w:rPr>
            </w:pPr>
            <w:r>
              <w:rPr>
                <w:color w:val="auto"/>
                <w:sz w:val="21"/>
                <w:szCs w:val="21"/>
                <w:highlight w:val="none"/>
              </w:rPr>
              <w:t>（</w:t>
            </w:r>
            <w:r>
              <w:rPr>
                <w:rFonts w:hint="eastAsia"/>
                <w:color w:val="auto"/>
                <w:sz w:val="21"/>
                <w:szCs w:val="21"/>
                <w:highlight w:val="none"/>
                <w:lang w:val="en-US" w:eastAsia="zh-CN"/>
              </w:rPr>
              <w:t>7</w:t>
            </w:r>
            <w:r>
              <w:rPr>
                <w:rFonts w:ascii="宋体" w:hAnsi="宋体"/>
                <w:color w:val="auto"/>
                <w:sz w:val="21"/>
                <w:szCs w:val="21"/>
                <w:highlight w:val="none"/>
              </w:rPr>
              <w:t>）投标人的其他要求符合招标文件规定</w:t>
            </w:r>
            <w:r>
              <w:rPr>
                <w:rFonts w:hint="eastAsia"/>
                <w:color w:val="auto"/>
                <w:sz w:val="21"/>
                <w:szCs w:val="21"/>
                <w:highlight w:val="none"/>
              </w:rPr>
              <w:t>。</w:t>
            </w:r>
          </w:p>
          <w:p>
            <w:pPr>
              <w:keepNext w:val="0"/>
              <w:keepLines w:val="0"/>
              <w:pageBreakBefore w:val="0"/>
              <w:kinsoku/>
              <w:overflowPunct/>
              <w:autoSpaceDE/>
              <w:autoSpaceDN/>
              <w:bidi w:val="0"/>
              <w:snapToGrid/>
              <w:spacing w:line="340" w:lineRule="atLeast"/>
              <w:ind w:firstLine="0" w:firstLineChars="0"/>
              <w:rPr>
                <w:rFonts w:hint="eastAsia"/>
                <w:color w:val="auto"/>
                <w:sz w:val="21"/>
                <w:szCs w:val="21"/>
                <w:highlight w:val="none"/>
              </w:rPr>
            </w:pPr>
            <w:r>
              <w:rPr>
                <w:color w:val="auto"/>
                <w:sz w:val="21"/>
                <w:szCs w:val="21"/>
                <w:highlight w:val="none"/>
              </w:rPr>
              <w:t>（</w:t>
            </w:r>
            <w:r>
              <w:rPr>
                <w:rFonts w:hint="eastAsia"/>
                <w:color w:val="auto"/>
                <w:sz w:val="21"/>
                <w:szCs w:val="21"/>
                <w:highlight w:val="none"/>
                <w:lang w:val="en-US" w:eastAsia="zh-CN"/>
              </w:rPr>
              <w:t>8</w:t>
            </w:r>
            <w:r>
              <w:rPr>
                <w:rFonts w:ascii="宋体" w:hAnsi="宋体"/>
                <w:color w:val="auto"/>
                <w:sz w:val="21"/>
                <w:szCs w:val="21"/>
                <w:highlight w:val="none"/>
              </w:rPr>
              <w:t>）投标人不存在第二章</w:t>
            </w:r>
            <w:r>
              <w:rPr>
                <w:color w:val="auto"/>
                <w:sz w:val="21"/>
                <w:szCs w:val="21"/>
                <w:highlight w:val="none"/>
              </w:rPr>
              <w:t>“</w:t>
            </w:r>
            <w:r>
              <w:rPr>
                <w:rFonts w:ascii="宋体" w:hAnsi="宋体"/>
                <w:color w:val="auto"/>
                <w:sz w:val="21"/>
                <w:szCs w:val="21"/>
                <w:highlight w:val="none"/>
              </w:rPr>
              <w:t>投标人须知</w:t>
            </w:r>
            <w:r>
              <w:rPr>
                <w:color w:val="auto"/>
                <w:sz w:val="21"/>
                <w:szCs w:val="21"/>
                <w:highlight w:val="none"/>
              </w:rPr>
              <w:t>”</w:t>
            </w:r>
            <w:r>
              <w:rPr>
                <w:rFonts w:ascii="宋体" w:hAnsi="宋体"/>
                <w:color w:val="auto"/>
                <w:sz w:val="21"/>
                <w:szCs w:val="21"/>
                <w:highlight w:val="none"/>
              </w:rPr>
              <w:t>第</w:t>
            </w:r>
            <w:r>
              <w:rPr>
                <w:color w:val="auto"/>
                <w:sz w:val="21"/>
                <w:szCs w:val="21"/>
                <w:highlight w:val="none"/>
              </w:rPr>
              <w:t>1.4.3</w:t>
            </w:r>
            <w:r>
              <w:rPr>
                <w:rFonts w:ascii="宋体" w:hAnsi="宋体"/>
                <w:color w:val="auto"/>
                <w:sz w:val="21"/>
                <w:szCs w:val="21"/>
                <w:highlight w:val="none"/>
              </w:rPr>
              <w:t>项</w:t>
            </w:r>
            <w:r>
              <w:rPr>
                <w:rFonts w:hint="eastAsia"/>
                <w:color w:val="auto"/>
                <w:sz w:val="21"/>
                <w:szCs w:val="21"/>
                <w:highlight w:val="none"/>
              </w:rPr>
              <w:t>或第</w:t>
            </w:r>
            <w:r>
              <w:rPr>
                <w:color w:val="auto"/>
                <w:sz w:val="21"/>
                <w:szCs w:val="21"/>
                <w:highlight w:val="none"/>
              </w:rPr>
              <w:t>1.4.</w:t>
            </w:r>
            <w:r>
              <w:rPr>
                <w:rFonts w:hint="eastAsia"/>
                <w:color w:val="auto"/>
                <w:sz w:val="21"/>
                <w:szCs w:val="21"/>
                <w:highlight w:val="none"/>
              </w:rPr>
              <w:t>4</w:t>
            </w:r>
            <w:r>
              <w:rPr>
                <w:color w:val="auto"/>
                <w:sz w:val="21"/>
                <w:szCs w:val="21"/>
                <w:highlight w:val="none"/>
              </w:rPr>
              <w:t>项规定的任何一种情形</w:t>
            </w:r>
            <w:r>
              <w:rPr>
                <w:rFonts w:hint="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2" w:hRule="atLeast"/>
          <w:jc w:val="center"/>
        </w:trPr>
        <w:tc>
          <w:tcPr>
            <w:tcW w:w="1006" w:type="dxa"/>
            <w:vAlign w:val="center"/>
          </w:tcPr>
          <w:p>
            <w:pPr>
              <w:bidi w:val="0"/>
              <w:ind w:left="0" w:leftChars="0" w:firstLine="0" w:firstLineChars="0"/>
              <w:jc w:val="center"/>
              <w:rPr>
                <w:color w:val="auto"/>
                <w:szCs w:val="21"/>
                <w:highlight w:val="none"/>
              </w:rPr>
            </w:pPr>
            <w:r>
              <w:rPr>
                <w:rFonts w:hint="eastAsia"/>
                <w:sz w:val="21"/>
                <w:szCs w:val="16"/>
                <w:highlight w:val="none"/>
              </w:rPr>
              <w:t>2.2.1</w:t>
            </w:r>
          </w:p>
        </w:tc>
        <w:tc>
          <w:tcPr>
            <w:tcW w:w="1513" w:type="dxa"/>
            <w:vAlign w:val="center"/>
          </w:tcPr>
          <w:p>
            <w:pPr>
              <w:keepNext w:val="0"/>
              <w:keepLines w:val="0"/>
              <w:pageBreakBefore w:val="0"/>
              <w:kinsoku/>
              <w:overflowPunct/>
              <w:autoSpaceDE/>
              <w:autoSpaceDN/>
              <w:bidi w:val="0"/>
              <w:adjustRightInd/>
              <w:snapToGrid/>
              <w:spacing w:line="380" w:lineRule="atLeast"/>
              <w:ind w:firstLine="0" w:firstLineChars="0"/>
              <w:jc w:val="center"/>
              <w:textAlignment w:val="auto"/>
              <w:rPr>
                <w:rFonts w:ascii="Times New Roman" w:hAnsi="Times New Roman"/>
                <w:color w:val="auto"/>
                <w:sz w:val="21"/>
                <w:szCs w:val="21"/>
                <w:highlight w:val="none"/>
              </w:rPr>
            </w:pPr>
            <w:r>
              <w:rPr>
                <w:rFonts w:ascii="Times New Roman" w:hAnsi="Times New Roman"/>
                <w:color w:val="auto"/>
                <w:sz w:val="21"/>
                <w:szCs w:val="21"/>
                <w:highlight w:val="none"/>
              </w:rPr>
              <w:t>分值构成</w:t>
            </w:r>
          </w:p>
          <w:p>
            <w:pPr>
              <w:keepNext w:val="0"/>
              <w:keepLines w:val="0"/>
              <w:pageBreakBefore w:val="0"/>
              <w:kinsoku/>
              <w:wordWrap w:val="0"/>
              <w:overflowPunct/>
              <w:topLinePunct/>
              <w:autoSpaceDE/>
              <w:autoSpaceDN/>
              <w:bidi w:val="0"/>
              <w:adjustRightInd/>
              <w:snapToGrid/>
              <w:spacing w:line="360" w:lineRule="auto"/>
              <w:ind w:firstLine="0" w:firstLineChars="0"/>
              <w:jc w:val="center"/>
              <w:rPr>
                <w:color w:val="auto"/>
                <w:sz w:val="21"/>
                <w:szCs w:val="21"/>
                <w:highlight w:val="none"/>
              </w:rPr>
            </w:pPr>
            <w:r>
              <w:rPr>
                <w:rFonts w:ascii="Times New Roman" w:hAnsi="Times New Roman"/>
                <w:color w:val="auto"/>
                <w:sz w:val="21"/>
                <w:szCs w:val="21"/>
                <w:highlight w:val="none"/>
              </w:rPr>
              <w:t>（总分100</w:t>
            </w:r>
            <w:r>
              <w:rPr>
                <w:rFonts w:hint="eastAsia" w:ascii="Times New Roman" w:hAnsi="Times New Roman"/>
                <w:color w:val="auto"/>
                <w:sz w:val="21"/>
                <w:szCs w:val="21"/>
                <w:highlight w:val="none"/>
              </w:rPr>
              <w:t>分</w:t>
            </w:r>
            <w:r>
              <w:rPr>
                <w:rFonts w:ascii="宋体" w:hAnsi="宋体"/>
                <w:color w:val="auto"/>
                <w:sz w:val="21"/>
                <w:szCs w:val="21"/>
                <w:highlight w:val="none"/>
              </w:rPr>
              <w:t>）</w:t>
            </w:r>
          </w:p>
        </w:tc>
        <w:tc>
          <w:tcPr>
            <w:tcW w:w="6005" w:type="dxa"/>
            <w:vAlign w:val="center"/>
          </w:tcPr>
          <w:p>
            <w:pPr>
              <w:keepNext w:val="0"/>
              <w:keepLines w:val="0"/>
              <w:pageBreakBefore w:val="0"/>
              <w:kinsoku/>
              <w:overflowPunct/>
              <w:autoSpaceDE/>
              <w:autoSpaceDN/>
              <w:bidi w:val="0"/>
              <w:snapToGrid/>
              <w:spacing w:line="360" w:lineRule="auto"/>
              <w:ind w:firstLine="0" w:firstLineChars="0"/>
              <w:rPr>
                <w:rFonts w:ascii="Times New Roman" w:hAnsi="Times New Roman"/>
                <w:b/>
                <w:color w:val="auto"/>
                <w:szCs w:val="24"/>
                <w:highlight w:val="none"/>
              </w:rPr>
            </w:pPr>
            <w:bookmarkStart w:id="0" w:name="_Hlk49352907"/>
            <w:r>
              <w:rPr>
                <w:rFonts w:hint="eastAsia" w:ascii="Times New Roman" w:hAnsi="Times New Roman"/>
                <w:b/>
                <w:bCs/>
                <w:color w:val="auto"/>
                <w:sz w:val="21"/>
                <w:szCs w:val="21"/>
                <w:highlight w:val="none"/>
              </w:rPr>
              <w:t>第一个信封（商务及技术文件）评分分值构成：</w:t>
            </w:r>
          </w:p>
          <w:p>
            <w:pPr>
              <w:keepNext w:val="0"/>
              <w:keepLines w:val="0"/>
              <w:pageBreakBefore w:val="0"/>
              <w:widowControl/>
              <w:kinsoku/>
              <w:overflowPunct/>
              <w:autoSpaceDE/>
              <w:autoSpaceDN/>
              <w:bidi w:val="0"/>
              <w:snapToGrid/>
              <w:spacing w:line="360" w:lineRule="auto"/>
              <w:ind w:firstLine="0" w:firstLineChars="0"/>
              <w:rPr>
                <w:rFonts w:ascii="宋体" w:hAnsi="宋体" w:cs="宋体"/>
                <w:color w:val="auto"/>
                <w:highlight w:val="none"/>
              </w:rPr>
            </w:pPr>
            <w:r>
              <w:rPr>
                <w:rFonts w:hint="eastAsia"/>
                <w:color w:val="auto"/>
                <w:sz w:val="21"/>
                <w:szCs w:val="21"/>
                <w:highlight w:val="none"/>
              </w:rPr>
              <w:t>分值构成：</w:t>
            </w:r>
            <w:r>
              <w:rPr>
                <w:color w:val="auto"/>
                <w:szCs w:val="21"/>
                <w:highlight w:val="none"/>
              </w:rPr>
              <w:t xml:space="preserve">         </w:t>
            </w:r>
            <w:r>
              <w:rPr>
                <w:rFonts w:hint="eastAsia"/>
                <w:color w:val="auto"/>
                <w:szCs w:val="21"/>
                <w:highlight w:val="none"/>
              </w:rPr>
              <w:t xml:space="preserve"> </w:t>
            </w:r>
          </w:p>
          <w:p>
            <w:pPr>
              <w:keepNext w:val="0"/>
              <w:keepLines w:val="0"/>
              <w:pageBreakBefore w:val="0"/>
              <w:kinsoku/>
              <w:overflowPunct/>
              <w:autoSpaceDE/>
              <w:autoSpaceDN/>
              <w:bidi w:val="0"/>
              <w:adjustRightInd/>
              <w:snapToGrid/>
              <w:spacing w:line="360" w:lineRule="auto"/>
              <w:ind w:firstLine="0" w:firstLineChars="0"/>
              <w:jc w:val="both"/>
              <w:textAlignment w:val="auto"/>
              <w:rPr>
                <w:rFonts w:hint="eastAsia" w:ascii="Times New Roman" w:hAnsi="Times New Roman"/>
                <w:color w:val="auto"/>
                <w:sz w:val="21"/>
                <w:szCs w:val="21"/>
                <w:highlight w:val="none"/>
              </w:rPr>
            </w:pPr>
            <w:r>
              <w:rPr>
                <w:rFonts w:ascii="Times New Roman" w:hAnsi="Times New Roman"/>
                <w:color w:val="auto"/>
                <w:sz w:val="21"/>
                <w:szCs w:val="21"/>
                <w:highlight w:val="none"/>
              </w:rPr>
              <w:t>技术建议书：</w:t>
            </w:r>
            <w:r>
              <w:rPr>
                <w:rFonts w:hint="eastAsia" w:ascii="Times New Roman" w:hAnsi="Times New Roman"/>
                <w:color w:val="auto"/>
                <w:sz w:val="21"/>
                <w:szCs w:val="21"/>
                <w:highlight w:val="none"/>
                <w:u w:val="single"/>
              </w:rPr>
              <w:t xml:space="preserve">  20  </w:t>
            </w:r>
            <w:r>
              <w:rPr>
                <w:rFonts w:ascii="Times New Roman" w:hAnsi="Times New Roman"/>
                <w:color w:val="auto"/>
                <w:sz w:val="21"/>
                <w:szCs w:val="21"/>
                <w:highlight w:val="none"/>
              </w:rPr>
              <w:t>分</w:t>
            </w:r>
            <w:r>
              <w:rPr>
                <w:rFonts w:hint="eastAsia" w:ascii="Times New Roman" w:hAnsi="Times New Roman"/>
                <w:color w:val="auto"/>
                <w:sz w:val="21"/>
                <w:szCs w:val="21"/>
                <w:highlight w:val="none"/>
              </w:rPr>
              <w:t xml:space="preserve">       </w:t>
            </w:r>
          </w:p>
          <w:p>
            <w:pPr>
              <w:keepNext w:val="0"/>
              <w:keepLines w:val="0"/>
              <w:pageBreakBefore w:val="0"/>
              <w:kinsoku/>
              <w:overflowPunct/>
              <w:autoSpaceDE/>
              <w:autoSpaceDN/>
              <w:bidi w:val="0"/>
              <w:adjustRightInd/>
              <w:snapToGrid/>
              <w:spacing w:line="360" w:lineRule="auto"/>
              <w:ind w:firstLine="0" w:firstLineChars="0"/>
              <w:jc w:val="both"/>
              <w:textAlignment w:val="auto"/>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拟投入本项目主要人员</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lang w:val="en-US" w:eastAsia="zh-CN"/>
              </w:rPr>
              <w:t>设备</w:t>
            </w:r>
            <w:r>
              <w:rPr>
                <w:rFonts w:ascii="Times New Roman" w:hAnsi="Times New Roman"/>
                <w:color w:val="auto"/>
                <w:sz w:val="21"/>
                <w:szCs w:val="21"/>
                <w:highlight w:val="none"/>
              </w:rPr>
              <w:t>：</w:t>
            </w:r>
            <w:r>
              <w:rPr>
                <w:rFonts w:hint="eastAsia" w:ascii="Times New Roman" w:hAnsi="Times New Roman"/>
                <w:color w:val="auto"/>
                <w:sz w:val="21"/>
                <w:szCs w:val="21"/>
                <w:highlight w:val="none"/>
                <w:u w:val="single"/>
              </w:rPr>
              <w:t xml:space="preserve">   15  </w:t>
            </w:r>
            <w:r>
              <w:rPr>
                <w:rFonts w:ascii="Times New Roman" w:hAnsi="Times New Roman"/>
                <w:color w:val="auto"/>
                <w:sz w:val="21"/>
                <w:szCs w:val="21"/>
                <w:highlight w:val="none"/>
              </w:rPr>
              <w:t>分</w:t>
            </w:r>
            <w:r>
              <w:rPr>
                <w:rFonts w:hint="eastAsia" w:ascii="Times New Roman" w:hAnsi="Times New Roman"/>
                <w:color w:val="auto"/>
                <w:sz w:val="21"/>
                <w:szCs w:val="21"/>
                <w:highlight w:val="none"/>
              </w:rPr>
              <w:t xml:space="preserve">              </w:t>
            </w:r>
          </w:p>
          <w:p>
            <w:pPr>
              <w:keepNext w:val="0"/>
              <w:keepLines w:val="0"/>
              <w:pageBreakBefore w:val="0"/>
              <w:kinsoku/>
              <w:overflowPunct/>
              <w:autoSpaceDE/>
              <w:autoSpaceDN/>
              <w:bidi w:val="0"/>
              <w:adjustRightInd/>
              <w:snapToGrid/>
              <w:spacing w:line="360" w:lineRule="auto"/>
              <w:ind w:firstLine="0" w:firstLineChars="0"/>
              <w:jc w:val="both"/>
              <w:textAlignment w:val="auto"/>
              <w:rPr>
                <w:rFonts w:ascii="Times New Roman" w:hAnsi="Times New Roman"/>
                <w:color w:val="auto"/>
                <w:sz w:val="21"/>
                <w:szCs w:val="21"/>
                <w:highlight w:val="none"/>
              </w:rPr>
            </w:pPr>
            <w:r>
              <w:rPr>
                <w:rFonts w:ascii="Times New Roman" w:hAnsi="Times New Roman"/>
                <w:color w:val="auto"/>
                <w:sz w:val="21"/>
                <w:szCs w:val="21"/>
                <w:highlight w:val="none"/>
              </w:rPr>
              <w:t>业绩：</w:t>
            </w:r>
            <w:r>
              <w:rPr>
                <w:rFonts w:hint="eastAsia" w:ascii="Times New Roman" w:hAnsi="Times New Roman"/>
                <w:color w:val="auto"/>
                <w:sz w:val="21"/>
                <w:szCs w:val="21"/>
                <w:highlight w:val="none"/>
                <w:u w:val="single"/>
              </w:rPr>
              <w:t xml:space="preserve">  20  </w:t>
            </w:r>
            <w:r>
              <w:rPr>
                <w:rFonts w:ascii="Times New Roman" w:hAnsi="Times New Roman"/>
                <w:color w:val="auto"/>
                <w:sz w:val="21"/>
                <w:szCs w:val="21"/>
                <w:highlight w:val="none"/>
              </w:rPr>
              <w:t>分</w:t>
            </w:r>
            <w:r>
              <w:rPr>
                <w:rFonts w:hint="eastAsia" w:ascii="Times New Roman" w:hAnsi="Times New Roman"/>
                <w:color w:val="auto"/>
                <w:sz w:val="21"/>
                <w:szCs w:val="21"/>
                <w:highlight w:val="none"/>
              </w:rPr>
              <w:t xml:space="preserve">            </w:t>
            </w:r>
          </w:p>
          <w:p>
            <w:pPr>
              <w:keepNext w:val="0"/>
              <w:keepLines w:val="0"/>
              <w:pageBreakBefore w:val="0"/>
              <w:kinsoku/>
              <w:overflowPunct/>
              <w:autoSpaceDE/>
              <w:autoSpaceDN/>
              <w:bidi w:val="0"/>
              <w:adjustRightInd/>
              <w:snapToGrid/>
              <w:spacing w:line="360" w:lineRule="auto"/>
              <w:ind w:firstLine="0" w:firstLineChars="0"/>
              <w:jc w:val="both"/>
              <w:textAlignment w:val="auto"/>
              <w:rPr>
                <w:rFonts w:hint="eastAsia" w:ascii="Times New Roman" w:hAnsi="Times New Roman"/>
                <w:color w:val="auto"/>
                <w:sz w:val="21"/>
                <w:szCs w:val="21"/>
                <w:highlight w:val="none"/>
              </w:rPr>
            </w:pPr>
            <w:r>
              <w:rPr>
                <w:rFonts w:ascii="Times New Roman" w:hAnsi="Times New Roman"/>
                <w:color w:val="auto"/>
                <w:sz w:val="21"/>
                <w:szCs w:val="21"/>
                <w:highlight w:val="none"/>
              </w:rPr>
              <w:t>履约信誉：</w:t>
            </w:r>
            <w:r>
              <w:rPr>
                <w:rFonts w:hint="eastAsia" w:ascii="Times New Roman" w:hAnsi="Times New Roman"/>
                <w:color w:val="auto"/>
                <w:sz w:val="21"/>
                <w:szCs w:val="21"/>
                <w:highlight w:val="none"/>
                <w:u w:val="single"/>
              </w:rPr>
              <w:t xml:space="preserve">   5  </w:t>
            </w:r>
            <w:r>
              <w:rPr>
                <w:rFonts w:ascii="Times New Roman" w:hAnsi="Times New Roman"/>
                <w:color w:val="auto"/>
                <w:sz w:val="21"/>
                <w:szCs w:val="21"/>
                <w:highlight w:val="none"/>
              </w:rPr>
              <w:t>分</w:t>
            </w:r>
            <w:r>
              <w:rPr>
                <w:rFonts w:hint="eastAsia" w:ascii="Times New Roman" w:hAnsi="Times New Roman"/>
                <w:color w:val="auto"/>
                <w:sz w:val="21"/>
                <w:szCs w:val="21"/>
                <w:highlight w:val="none"/>
              </w:rPr>
              <w:t xml:space="preserve">         </w:t>
            </w:r>
          </w:p>
          <w:p>
            <w:pPr>
              <w:keepNext w:val="0"/>
              <w:keepLines w:val="0"/>
              <w:pageBreakBefore w:val="0"/>
              <w:kinsoku/>
              <w:overflowPunct/>
              <w:autoSpaceDE/>
              <w:autoSpaceDN/>
              <w:bidi w:val="0"/>
              <w:adjustRightInd/>
              <w:snapToGrid/>
              <w:spacing w:line="360" w:lineRule="auto"/>
              <w:ind w:firstLine="0" w:firstLineChars="0"/>
              <w:jc w:val="both"/>
              <w:textAlignment w:val="auto"/>
              <w:rPr>
                <w:rFonts w:ascii="Times New Roman" w:hAnsi="Times New Roman"/>
                <w:b/>
                <w:bCs/>
                <w:color w:val="auto"/>
                <w:sz w:val="21"/>
                <w:szCs w:val="21"/>
                <w:highlight w:val="none"/>
              </w:rPr>
            </w:pPr>
            <w:r>
              <w:rPr>
                <w:rFonts w:hint="eastAsia" w:ascii="Times New Roman" w:hAnsi="Times New Roman"/>
                <w:b/>
                <w:bCs/>
                <w:color w:val="auto"/>
                <w:sz w:val="21"/>
                <w:szCs w:val="21"/>
                <w:highlight w:val="none"/>
              </w:rPr>
              <w:t>第二个信封（报价文件）评分分值构成：</w:t>
            </w:r>
          </w:p>
          <w:p>
            <w:pPr>
              <w:keepNext w:val="0"/>
              <w:keepLines w:val="0"/>
              <w:pageBreakBefore w:val="0"/>
              <w:kinsoku/>
              <w:overflowPunct/>
              <w:autoSpaceDE/>
              <w:autoSpaceDN/>
              <w:bidi w:val="0"/>
              <w:snapToGrid/>
              <w:spacing w:line="340" w:lineRule="atLeast"/>
              <w:ind w:firstLine="0" w:firstLineChars="0"/>
              <w:rPr>
                <w:color w:val="auto"/>
                <w:sz w:val="21"/>
                <w:szCs w:val="21"/>
                <w:highlight w:val="none"/>
              </w:rPr>
            </w:pPr>
            <w:r>
              <w:rPr>
                <w:rFonts w:ascii="Times New Roman" w:hAnsi="Times New Roman"/>
                <w:color w:val="auto"/>
                <w:sz w:val="21"/>
                <w:szCs w:val="21"/>
                <w:highlight w:val="none"/>
              </w:rPr>
              <w:t>评标价：</w:t>
            </w:r>
            <w:r>
              <w:rPr>
                <w:rFonts w:hint="eastAsia" w:ascii="Times New Roman" w:hAnsi="Times New Roman"/>
                <w:color w:val="auto"/>
                <w:sz w:val="21"/>
                <w:szCs w:val="21"/>
                <w:highlight w:val="none"/>
                <w:u w:val="single"/>
              </w:rPr>
              <w:t xml:space="preserve">  40  </w:t>
            </w:r>
            <w:r>
              <w:rPr>
                <w:rFonts w:ascii="Times New Roman" w:hAnsi="Times New Roman"/>
                <w:color w:val="auto"/>
                <w:sz w:val="21"/>
                <w:szCs w:val="21"/>
                <w:highlight w:val="none"/>
              </w:rPr>
              <w:t>分</w:t>
            </w:r>
            <w:bookmarkEnd w:id="0"/>
          </w:p>
        </w:tc>
      </w:tr>
    </w:tbl>
    <w:p>
      <w:pPr>
        <w:ind w:left="0" w:leftChars="0" w:firstLine="0" w:firstLineChars="0"/>
        <w:jc w:val="both"/>
        <w:rPr>
          <w:rFonts w:hint="eastAsia"/>
          <w:color w:val="auto"/>
          <w:highlight w:val="none"/>
        </w:rPr>
      </w:pPr>
      <w:r>
        <w:rPr>
          <w:color w:val="auto"/>
          <w:highlight w:val="none"/>
        </w:rPr>
        <w:br w:type="page"/>
      </w:r>
    </w:p>
    <w:tbl>
      <w:tblPr>
        <w:tblStyle w:val="7"/>
        <w:tblpPr w:leftFromText="180" w:rightFromText="180" w:vertAnchor="text" w:horzAnchor="page" w:tblpX="1775" w:tblpY="-46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34"/>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tblHeader/>
        </w:trPr>
        <w:tc>
          <w:tcPr>
            <w:tcW w:w="994" w:type="dxa"/>
            <w:vAlign w:val="center"/>
          </w:tcPr>
          <w:p>
            <w:pPr>
              <w:keepNext w:val="0"/>
              <w:keepLines w:val="0"/>
              <w:pageBreakBefore w:val="0"/>
              <w:kinsoku/>
              <w:wordWrap w:val="0"/>
              <w:overflowPunct/>
              <w:topLinePunct/>
              <w:autoSpaceDE/>
              <w:autoSpaceDN/>
              <w:bidi w:val="0"/>
              <w:adjustRightInd/>
              <w:snapToGrid/>
              <w:spacing w:line="276" w:lineRule="auto"/>
              <w:ind w:firstLine="0" w:firstLineChars="0"/>
              <w:jc w:val="center"/>
              <w:textAlignment w:val="baseline"/>
              <w:rPr>
                <w:rFonts w:ascii="Times New Roman" w:hAnsi="Times New Roman"/>
                <w:color w:val="auto"/>
                <w:szCs w:val="24"/>
                <w:highlight w:val="none"/>
              </w:rPr>
            </w:pPr>
            <w:r>
              <w:rPr>
                <w:rFonts w:hint="eastAsia"/>
                <w:b/>
                <w:color w:val="auto"/>
                <w:szCs w:val="24"/>
                <w:highlight w:val="none"/>
              </w:rPr>
              <w:t>条款号</w:t>
            </w:r>
          </w:p>
        </w:tc>
        <w:tc>
          <w:tcPr>
            <w:tcW w:w="1634" w:type="dxa"/>
            <w:vAlign w:val="center"/>
          </w:tcPr>
          <w:p>
            <w:pPr>
              <w:keepNext w:val="0"/>
              <w:keepLines w:val="0"/>
              <w:pageBreakBefore w:val="0"/>
              <w:kinsoku/>
              <w:wordWrap w:val="0"/>
              <w:overflowPunct/>
              <w:topLinePunct/>
              <w:autoSpaceDE/>
              <w:autoSpaceDN/>
              <w:bidi w:val="0"/>
              <w:adjustRightInd/>
              <w:snapToGrid/>
              <w:spacing w:line="276" w:lineRule="auto"/>
              <w:ind w:firstLine="0" w:firstLineChars="0"/>
              <w:jc w:val="center"/>
              <w:textAlignment w:val="baseline"/>
              <w:rPr>
                <w:rFonts w:hint="eastAsia"/>
                <w:b/>
                <w:color w:val="auto"/>
                <w:szCs w:val="24"/>
                <w:highlight w:val="none"/>
              </w:rPr>
            </w:pPr>
            <w:r>
              <w:rPr>
                <w:rFonts w:hint="eastAsia"/>
                <w:b/>
                <w:color w:val="auto"/>
                <w:szCs w:val="24"/>
                <w:highlight w:val="none"/>
              </w:rPr>
              <w:t>条款内容</w:t>
            </w:r>
          </w:p>
        </w:tc>
        <w:tc>
          <w:tcPr>
            <w:tcW w:w="5894" w:type="dxa"/>
            <w:vAlign w:val="center"/>
          </w:tcPr>
          <w:p>
            <w:pPr>
              <w:keepNext w:val="0"/>
              <w:keepLines w:val="0"/>
              <w:pageBreakBefore w:val="0"/>
              <w:kinsoku/>
              <w:wordWrap w:val="0"/>
              <w:overflowPunct/>
              <w:topLinePunct/>
              <w:autoSpaceDE/>
              <w:autoSpaceDN/>
              <w:bidi w:val="0"/>
              <w:adjustRightInd/>
              <w:snapToGrid/>
              <w:spacing w:line="276" w:lineRule="auto"/>
              <w:ind w:firstLine="0" w:firstLineChars="0"/>
              <w:jc w:val="center"/>
              <w:textAlignment w:val="baseline"/>
              <w:rPr>
                <w:rFonts w:hint="eastAsia"/>
                <w:b/>
                <w:color w:val="auto"/>
                <w:szCs w:val="24"/>
                <w:highlight w:val="none"/>
              </w:rPr>
            </w:pPr>
            <w:r>
              <w:rPr>
                <w:rFonts w:hint="eastAsia"/>
                <w:b/>
                <w:color w:val="auto"/>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13" w:hRule="atLeast"/>
        </w:trPr>
        <w:tc>
          <w:tcPr>
            <w:tcW w:w="994" w:type="dxa"/>
            <w:vAlign w:val="center"/>
          </w:tcPr>
          <w:p>
            <w:pPr>
              <w:keepNext w:val="0"/>
              <w:keepLines w:val="0"/>
              <w:pageBreakBefore w:val="0"/>
              <w:kinsoku/>
              <w:wordWrap w:val="0"/>
              <w:overflowPunct/>
              <w:topLinePunct/>
              <w:autoSpaceDE/>
              <w:autoSpaceDN/>
              <w:bidi w:val="0"/>
              <w:snapToGrid/>
              <w:spacing w:line="276" w:lineRule="auto"/>
              <w:ind w:firstLine="0" w:firstLineChars="0"/>
              <w:jc w:val="center"/>
              <w:textAlignment w:val="baseline"/>
              <w:rPr>
                <w:color w:val="auto"/>
                <w:highlight w:val="none"/>
              </w:rPr>
            </w:pPr>
            <w:r>
              <w:rPr>
                <w:color w:val="auto"/>
                <w:sz w:val="21"/>
                <w:szCs w:val="16"/>
                <w:highlight w:val="none"/>
              </w:rPr>
              <w:t>2.2.2</w:t>
            </w:r>
          </w:p>
        </w:tc>
        <w:tc>
          <w:tcPr>
            <w:tcW w:w="1634" w:type="dxa"/>
            <w:vAlign w:val="center"/>
          </w:tcPr>
          <w:p>
            <w:pPr>
              <w:keepNext w:val="0"/>
              <w:keepLines w:val="0"/>
              <w:pageBreakBefore w:val="0"/>
              <w:widowControl/>
              <w:kinsoku/>
              <w:overflowPunct/>
              <w:autoSpaceDE/>
              <w:autoSpaceDN/>
              <w:bidi w:val="0"/>
              <w:snapToGrid/>
              <w:ind w:firstLine="0" w:firstLineChars="0"/>
              <w:jc w:val="center"/>
              <w:textAlignment w:val="baseline"/>
              <w:rPr>
                <w:color w:val="auto"/>
                <w:sz w:val="21"/>
                <w:szCs w:val="21"/>
                <w:highlight w:val="none"/>
              </w:rPr>
            </w:pPr>
            <w:r>
              <w:rPr>
                <w:color w:val="auto"/>
                <w:sz w:val="21"/>
                <w:szCs w:val="21"/>
                <w:highlight w:val="none"/>
              </w:rPr>
              <w:t>评标基准价计算方法</w:t>
            </w:r>
          </w:p>
        </w:tc>
        <w:tc>
          <w:tcPr>
            <w:tcW w:w="5894" w:type="dxa"/>
            <w:vAlign w:val="center"/>
          </w:tcPr>
          <w:p>
            <w:pPr>
              <w:keepNext w:val="0"/>
              <w:keepLines w:val="0"/>
              <w:pageBreakBefore w:val="0"/>
              <w:kinsoku/>
              <w:overflowPunct/>
              <w:autoSpaceDE/>
              <w:autoSpaceDN/>
              <w:bidi w:val="0"/>
              <w:snapToGrid/>
              <w:spacing w:line="360" w:lineRule="exact"/>
              <w:ind w:firstLine="0" w:firstLineChars="0"/>
              <w:textAlignment w:val="baseline"/>
              <w:rPr>
                <w:color w:val="auto"/>
                <w:sz w:val="21"/>
                <w:szCs w:val="21"/>
                <w:highlight w:val="none"/>
              </w:rPr>
            </w:pPr>
            <w:r>
              <w:rPr>
                <w:color w:val="auto"/>
                <w:sz w:val="21"/>
                <w:szCs w:val="21"/>
                <w:highlight w:val="none"/>
              </w:rPr>
              <w:t>评标基准价的计算：</w:t>
            </w:r>
          </w:p>
          <w:p>
            <w:pPr>
              <w:keepNext w:val="0"/>
              <w:keepLines w:val="0"/>
              <w:pageBreakBefore w:val="0"/>
              <w:kinsoku/>
              <w:overflowPunct/>
              <w:autoSpaceDE/>
              <w:autoSpaceDN/>
              <w:bidi w:val="0"/>
              <w:snapToGrid/>
              <w:spacing w:line="360" w:lineRule="exact"/>
              <w:ind w:firstLine="0" w:firstLineChars="0"/>
              <w:textAlignment w:val="baseline"/>
              <w:rPr>
                <w:color w:val="auto"/>
                <w:sz w:val="21"/>
                <w:szCs w:val="21"/>
                <w:highlight w:val="none"/>
              </w:rPr>
            </w:pPr>
            <w:r>
              <w:rPr>
                <w:color w:val="auto"/>
                <w:sz w:val="21"/>
                <w:szCs w:val="21"/>
                <w:highlight w:val="none"/>
              </w:rPr>
              <w:t>在开标现场，招标人将当场计算并宣布评标基准价。</w:t>
            </w:r>
          </w:p>
          <w:p>
            <w:pPr>
              <w:keepNext w:val="0"/>
              <w:keepLines w:val="0"/>
              <w:pageBreakBefore w:val="0"/>
              <w:kinsoku/>
              <w:overflowPunct/>
              <w:autoSpaceDE/>
              <w:autoSpaceDN/>
              <w:bidi w:val="0"/>
              <w:snapToGrid/>
              <w:spacing w:line="360" w:lineRule="exact"/>
              <w:ind w:firstLine="0" w:firstLineChars="0"/>
              <w:textAlignment w:val="baseline"/>
              <w:rPr>
                <w:color w:val="auto"/>
                <w:sz w:val="21"/>
                <w:szCs w:val="21"/>
                <w:highlight w:val="none"/>
              </w:rPr>
            </w:pPr>
            <w:r>
              <w:rPr>
                <w:color w:val="auto"/>
                <w:sz w:val="21"/>
                <w:szCs w:val="21"/>
                <w:highlight w:val="none"/>
              </w:rPr>
              <w:t>（1</w:t>
            </w:r>
            <w:r>
              <w:rPr>
                <w:rFonts w:ascii="宋体" w:hAnsi="宋体"/>
                <w:color w:val="auto"/>
                <w:sz w:val="21"/>
                <w:szCs w:val="21"/>
                <w:highlight w:val="none"/>
              </w:rPr>
              <w:t>）评标价的确定：</w:t>
            </w:r>
          </w:p>
          <w:p>
            <w:pPr>
              <w:keepNext w:val="0"/>
              <w:keepLines w:val="0"/>
              <w:pageBreakBefore w:val="0"/>
              <w:kinsoku/>
              <w:overflowPunct/>
              <w:autoSpaceDE/>
              <w:autoSpaceDN/>
              <w:bidi w:val="0"/>
              <w:snapToGrid/>
              <w:spacing w:line="360" w:lineRule="exact"/>
              <w:ind w:firstLine="0" w:firstLineChars="0"/>
              <w:textAlignment w:val="baseline"/>
              <w:rPr>
                <w:rFonts w:hint="eastAsia"/>
                <w:color w:val="auto"/>
                <w:sz w:val="21"/>
                <w:szCs w:val="21"/>
                <w:highlight w:val="none"/>
              </w:rPr>
            </w:pPr>
            <w:r>
              <w:rPr>
                <w:color w:val="auto"/>
                <w:sz w:val="21"/>
                <w:szCs w:val="21"/>
                <w:highlight w:val="none"/>
              </w:rPr>
              <w:t>评标价＝投标函文字报价</w:t>
            </w:r>
          </w:p>
          <w:p>
            <w:pPr>
              <w:keepNext w:val="0"/>
              <w:keepLines w:val="0"/>
              <w:pageBreakBefore w:val="0"/>
              <w:kinsoku/>
              <w:overflowPunct/>
              <w:autoSpaceDE/>
              <w:autoSpaceDN/>
              <w:bidi w:val="0"/>
              <w:snapToGrid/>
              <w:ind w:firstLine="0" w:firstLineChars="0"/>
              <w:textAlignment w:val="baseline"/>
              <w:rPr>
                <w:rFonts w:hint="eastAsia"/>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）最高评标限价的确定：</w:t>
            </w:r>
          </w:p>
          <w:p>
            <w:pPr>
              <w:keepNext w:val="0"/>
              <w:keepLines w:val="0"/>
              <w:pageBreakBefore w:val="0"/>
              <w:kinsoku/>
              <w:overflowPunct/>
              <w:autoSpaceDE/>
              <w:autoSpaceDN/>
              <w:bidi w:val="0"/>
              <w:snapToGrid/>
              <w:ind w:firstLine="0" w:firstLineChars="0"/>
              <w:textAlignment w:val="baseline"/>
              <w:rPr>
                <w:color w:val="auto"/>
                <w:sz w:val="21"/>
                <w:szCs w:val="21"/>
                <w:highlight w:val="none"/>
              </w:rPr>
            </w:pPr>
            <w:r>
              <w:rPr>
                <w:rFonts w:hint="default" w:ascii="Times New Roman" w:hAnsi="Times New Roman"/>
                <w:color w:val="auto"/>
                <w:sz w:val="21"/>
                <w:szCs w:val="21"/>
                <w:highlight w:val="none"/>
              </w:rPr>
              <w:t>①</w:t>
            </w:r>
            <w:r>
              <w:rPr>
                <w:rFonts w:hint="eastAsia"/>
                <w:color w:val="auto"/>
                <w:sz w:val="21"/>
                <w:szCs w:val="21"/>
                <w:highlight w:val="none"/>
              </w:rPr>
              <w:t>最高投标限价下浮率的确定</w:t>
            </w:r>
          </w:p>
          <w:p>
            <w:pPr>
              <w:keepNext w:val="0"/>
              <w:keepLines w:val="0"/>
              <w:pageBreakBefore w:val="0"/>
              <w:kinsoku/>
              <w:overflowPunct/>
              <w:autoSpaceDE/>
              <w:autoSpaceDN/>
              <w:bidi w:val="0"/>
              <w:snapToGrid/>
              <w:ind w:firstLine="0" w:firstLineChars="0"/>
              <w:textAlignment w:val="baseline"/>
              <w:rPr>
                <w:rFonts w:hint="eastAsia"/>
                <w:color w:val="auto"/>
                <w:sz w:val="21"/>
                <w:szCs w:val="21"/>
                <w:highlight w:val="none"/>
              </w:rPr>
            </w:pPr>
            <w:r>
              <w:rPr>
                <w:rFonts w:hint="eastAsia"/>
                <w:color w:val="auto"/>
                <w:sz w:val="21"/>
                <w:szCs w:val="21"/>
                <w:highlight w:val="none"/>
              </w:rPr>
              <w:t>下浮率在开标前在开标现场采取</w:t>
            </w:r>
            <w:r>
              <w:rPr>
                <w:rFonts w:hint="eastAsia"/>
                <w:color w:val="auto"/>
                <w:sz w:val="21"/>
                <w:szCs w:val="21"/>
                <w:highlight w:val="none"/>
                <w:lang w:val="en-US" w:eastAsia="zh-CN"/>
              </w:rPr>
              <w:t>逐标段</w:t>
            </w:r>
            <w:r>
              <w:rPr>
                <w:rFonts w:hint="eastAsia"/>
                <w:color w:val="auto"/>
                <w:sz w:val="21"/>
                <w:szCs w:val="21"/>
                <w:highlight w:val="none"/>
              </w:rPr>
              <w:t>摇珠方式确定。摇珠操作办法如下：</w:t>
            </w:r>
            <w:r>
              <w:rPr>
                <w:rFonts w:hint="eastAsia"/>
                <w:color w:val="auto"/>
                <w:sz w:val="21"/>
                <w:szCs w:val="21"/>
                <w:highlight w:val="none"/>
                <w:lang w:val="en-US" w:eastAsia="zh-CN"/>
              </w:rPr>
              <w:t>在下浮率摇珠范围内，</w:t>
            </w:r>
            <w:r>
              <w:rPr>
                <w:rFonts w:hint="eastAsia"/>
                <w:color w:val="auto"/>
                <w:sz w:val="21"/>
                <w:szCs w:val="21"/>
                <w:highlight w:val="none"/>
              </w:rPr>
              <w:t>以0.1%为一档次增序确定摇珠号码，不少于31个球，</w:t>
            </w:r>
            <w:r>
              <w:rPr>
                <w:rFonts w:hint="eastAsia"/>
                <w:color w:val="auto"/>
                <w:sz w:val="21"/>
                <w:szCs w:val="21"/>
                <w:highlight w:val="none"/>
                <w:lang w:val="en-US" w:eastAsia="zh-CN"/>
              </w:rPr>
              <w:t>每个标段各</w:t>
            </w:r>
            <w:r>
              <w:rPr>
                <w:rFonts w:hint="eastAsia"/>
                <w:color w:val="auto"/>
                <w:sz w:val="21"/>
                <w:szCs w:val="21"/>
                <w:highlight w:val="none"/>
              </w:rPr>
              <w:t>一次性摇出3个球（摇出的</w:t>
            </w:r>
            <w:r>
              <w:rPr>
                <w:rFonts w:hint="eastAsia"/>
                <w:color w:val="auto"/>
                <w:sz w:val="21"/>
                <w:szCs w:val="21"/>
                <w:highlight w:val="none"/>
                <w:lang w:val="en-US" w:eastAsia="zh-CN"/>
              </w:rPr>
              <w:t>球</w:t>
            </w:r>
            <w:r>
              <w:rPr>
                <w:rFonts w:hint="eastAsia"/>
                <w:color w:val="auto"/>
                <w:sz w:val="21"/>
                <w:szCs w:val="21"/>
                <w:highlight w:val="none"/>
              </w:rPr>
              <w:t>不放回），摇出3个球对应的下浮率的平均值即为本</w:t>
            </w:r>
            <w:r>
              <w:rPr>
                <w:rFonts w:hint="eastAsia"/>
                <w:color w:val="auto"/>
                <w:sz w:val="21"/>
                <w:szCs w:val="21"/>
                <w:highlight w:val="none"/>
                <w:lang w:val="en-US" w:eastAsia="zh-CN"/>
              </w:rPr>
              <w:t>标段</w:t>
            </w:r>
            <w:r>
              <w:rPr>
                <w:rFonts w:hint="eastAsia"/>
                <w:color w:val="auto"/>
                <w:sz w:val="21"/>
                <w:szCs w:val="21"/>
                <w:highlight w:val="none"/>
              </w:rPr>
              <w:t>招标的下浮率（注：本次招标的下浮率范围为</w:t>
            </w:r>
            <w:r>
              <w:rPr>
                <w:rFonts w:hint="eastAsia"/>
                <w:color w:val="auto"/>
                <w:sz w:val="21"/>
                <w:szCs w:val="21"/>
                <w:highlight w:val="none"/>
                <w:u w:val="single"/>
                <w:lang w:val="en-US" w:eastAsia="zh-CN"/>
              </w:rPr>
              <w:t xml:space="preserve">     </w:t>
            </w:r>
            <w:r>
              <w:rPr>
                <w:rFonts w:hint="eastAsia"/>
                <w:color w:val="auto"/>
                <w:sz w:val="21"/>
                <w:szCs w:val="21"/>
                <w:highlight w:val="none"/>
                <w:u w:val="none"/>
                <w:lang w:val="en-US" w:eastAsia="zh-CN"/>
              </w:rPr>
              <w:t>（</w:t>
            </w:r>
            <w:r>
              <w:rPr>
                <w:rFonts w:hint="eastAsia"/>
                <w:sz w:val="21"/>
                <w:szCs w:val="21"/>
                <w:highlight w:val="none"/>
                <w:u w:val="none"/>
              </w:rPr>
              <w:t>或在递交投标文件截止时间15天前以补遗书形式公布</w:t>
            </w:r>
            <w:r>
              <w:rPr>
                <w:rFonts w:hint="eastAsia"/>
                <w:color w:val="auto"/>
                <w:sz w:val="21"/>
                <w:szCs w:val="21"/>
                <w:highlight w:val="none"/>
                <w:u w:val="none"/>
                <w:lang w:val="en-US" w:eastAsia="zh-CN"/>
              </w:rPr>
              <w:t>）</w:t>
            </w:r>
            <w:r>
              <w:rPr>
                <w:rFonts w:hint="eastAsia"/>
                <w:color w:val="auto"/>
                <w:sz w:val="21"/>
                <w:szCs w:val="21"/>
                <w:highlight w:val="none"/>
              </w:rPr>
              <w:t>，摇出3个下浮率的算术平均值四舍五入取整到0.001％）。</w:t>
            </w:r>
          </w:p>
          <w:p>
            <w:pPr>
              <w:keepNext w:val="0"/>
              <w:keepLines w:val="0"/>
              <w:pageBreakBefore w:val="0"/>
              <w:kinsoku/>
              <w:overflowPunct/>
              <w:autoSpaceDE/>
              <w:autoSpaceDN/>
              <w:bidi w:val="0"/>
              <w:snapToGrid/>
              <w:ind w:firstLine="0" w:firstLineChars="0"/>
              <w:textAlignment w:val="baseline"/>
              <w:rPr>
                <w:rFonts w:hint="eastAsia"/>
                <w:color w:val="auto"/>
                <w:sz w:val="21"/>
                <w:szCs w:val="21"/>
                <w:highlight w:val="none"/>
              </w:rPr>
            </w:pPr>
            <w:r>
              <w:rPr>
                <w:rFonts w:hint="eastAsia"/>
                <w:color w:val="auto"/>
                <w:sz w:val="21"/>
                <w:szCs w:val="21"/>
                <w:highlight w:val="none"/>
              </w:rPr>
              <w:t>②最高评标限价=最高投标限价×（</w:t>
            </w:r>
            <w:r>
              <w:rPr>
                <w:color w:val="auto"/>
                <w:sz w:val="21"/>
                <w:szCs w:val="21"/>
                <w:highlight w:val="none"/>
              </w:rPr>
              <w:t>1-</w:t>
            </w:r>
            <w:r>
              <w:rPr>
                <w:rFonts w:hint="eastAsia"/>
                <w:color w:val="auto"/>
                <w:sz w:val="21"/>
                <w:szCs w:val="21"/>
                <w:highlight w:val="none"/>
              </w:rPr>
              <w:t>下浮率）</w:t>
            </w:r>
          </w:p>
          <w:p>
            <w:pPr>
              <w:keepNext w:val="0"/>
              <w:keepLines w:val="0"/>
              <w:pageBreakBefore w:val="0"/>
              <w:kinsoku/>
              <w:overflowPunct/>
              <w:autoSpaceDE/>
              <w:autoSpaceDN/>
              <w:bidi w:val="0"/>
              <w:snapToGrid/>
              <w:ind w:firstLine="0" w:firstLineChars="0"/>
              <w:textAlignment w:val="baseline"/>
              <w:rPr>
                <w:rFonts w:hint="eastAsia"/>
                <w:color w:val="auto"/>
                <w:sz w:val="21"/>
                <w:szCs w:val="21"/>
                <w:highlight w:val="none"/>
              </w:rPr>
            </w:pPr>
            <w:r>
              <w:rPr>
                <w:rFonts w:hint="eastAsia"/>
                <w:color w:val="auto"/>
                <w:sz w:val="21"/>
                <w:szCs w:val="21"/>
                <w:highlight w:val="none"/>
              </w:rPr>
              <w:t>有效评标价范围：不大于最高评标限价的评标价为有效评标价。若大于最高评标限价的评标价，其评标价得分为0分。</w:t>
            </w:r>
          </w:p>
          <w:p>
            <w:pPr>
              <w:keepNext w:val="0"/>
              <w:keepLines w:val="0"/>
              <w:pageBreakBefore w:val="0"/>
              <w:kinsoku/>
              <w:overflowPunct/>
              <w:autoSpaceDE/>
              <w:autoSpaceDN/>
              <w:bidi w:val="0"/>
              <w:snapToGrid/>
              <w:ind w:firstLine="0" w:firstLineChars="0"/>
              <w:textAlignment w:val="baseline"/>
              <w:rPr>
                <w:rFonts w:hint="eastAsia"/>
                <w:color w:val="auto"/>
                <w:sz w:val="21"/>
                <w:szCs w:val="21"/>
                <w:highlight w:val="none"/>
              </w:rPr>
            </w:pPr>
            <w:r>
              <w:rPr>
                <w:rFonts w:hint="eastAsia"/>
                <w:color w:val="auto"/>
                <w:sz w:val="21"/>
                <w:szCs w:val="21"/>
                <w:highlight w:val="none"/>
              </w:rPr>
              <w:t>（3）评标基准价的确定：</w:t>
            </w:r>
          </w:p>
          <w:p>
            <w:pPr>
              <w:keepNext w:val="0"/>
              <w:keepLines w:val="0"/>
              <w:pageBreakBefore w:val="0"/>
              <w:kinsoku/>
              <w:overflowPunct/>
              <w:autoSpaceDE/>
              <w:autoSpaceDN/>
              <w:bidi w:val="0"/>
              <w:snapToGrid/>
              <w:ind w:firstLine="0" w:firstLineChars="0"/>
              <w:textAlignment w:val="baseline"/>
              <w:rPr>
                <w:rFonts w:hint="eastAsia"/>
                <w:color w:val="auto"/>
                <w:sz w:val="21"/>
                <w:szCs w:val="21"/>
                <w:highlight w:val="none"/>
              </w:rPr>
            </w:pPr>
            <w:r>
              <w:rPr>
                <w:rFonts w:hint="eastAsia"/>
                <w:color w:val="auto"/>
                <w:sz w:val="21"/>
                <w:szCs w:val="21"/>
                <w:highlight w:val="none"/>
              </w:rPr>
              <w:t>将最高评标限价下浮</w:t>
            </w:r>
            <w:r>
              <w:rPr>
                <w:color w:val="auto"/>
                <w:sz w:val="21"/>
                <w:szCs w:val="21"/>
                <w:highlight w:val="none"/>
                <w:u w:val="single"/>
              </w:rPr>
              <w:t xml:space="preserve"> </w:t>
            </w:r>
            <w:r>
              <w:rPr>
                <w:rFonts w:hint="eastAsia"/>
                <w:color w:val="auto"/>
                <w:sz w:val="21"/>
                <w:szCs w:val="21"/>
                <w:highlight w:val="none"/>
                <w:u w:val="single"/>
              </w:rPr>
              <w:t>2</w:t>
            </w:r>
            <w:r>
              <w:rPr>
                <w:color w:val="auto"/>
                <w:sz w:val="21"/>
                <w:szCs w:val="21"/>
                <w:highlight w:val="none"/>
                <w:u w:val="single"/>
              </w:rPr>
              <w:t xml:space="preserve"> </w:t>
            </w:r>
            <w:r>
              <w:rPr>
                <w:color w:val="auto"/>
                <w:sz w:val="21"/>
                <w:szCs w:val="21"/>
                <w:highlight w:val="none"/>
              </w:rPr>
              <w:t>%</w:t>
            </w:r>
            <w:r>
              <w:rPr>
                <w:rFonts w:hint="eastAsia"/>
                <w:color w:val="auto"/>
                <w:sz w:val="21"/>
                <w:szCs w:val="21"/>
                <w:highlight w:val="none"/>
              </w:rPr>
              <w:t>，作为评标基准价。在评标过程中，评标委员会应对招标人计算的</w:t>
            </w:r>
            <w:r>
              <w:rPr>
                <w:color w:val="auto"/>
                <w:sz w:val="21"/>
                <w:szCs w:val="21"/>
                <w:highlight w:val="none"/>
              </w:rPr>
              <w:t>评标基准价进行复核</w:t>
            </w:r>
            <w:r>
              <w:rPr>
                <w:rFonts w:hint="eastAsia"/>
                <w:color w:val="auto"/>
                <w:sz w:val="21"/>
                <w:szCs w:val="21"/>
                <w:highlight w:val="none"/>
              </w:rPr>
              <w:t>，</w:t>
            </w:r>
            <w:r>
              <w:rPr>
                <w:color w:val="auto"/>
                <w:sz w:val="21"/>
                <w:szCs w:val="21"/>
                <w:highlight w:val="none"/>
              </w:rPr>
              <w:t>存在计算错误的应予以修正并在评标报告中作出说明</w:t>
            </w:r>
            <w:r>
              <w:rPr>
                <w:rFonts w:hint="eastAsia"/>
                <w:color w:val="auto"/>
                <w:sz w:val="21"/>
                <w:szCs w:val="21"/>
                <w:highlight w:val="none"/>
              </w:rPr>
              <w:t>。除此之外，</w:t>
            </w:r>
            <w:r>
              <w:rPr>
                <w:color w:val="auto"/>
                <w:sz w:val="21"/>
                <w:szCs w:val="21"/>
                <w:highlight w:val="none"/>
              </w:rPr>
              <w:t>评标基准价在整个评标期间保持不变，不随</w:t>
            </w:r>
            <w:r>
              <w:rPr>
                <w:rFonts w:hint="eastAsia"/>
                <w:color w:val="auto"/>
                <w:sz w:val="21"/>
                <w:szCs w:val="21"/>
                <w:highlight w:val="none"/>
              </w:rPr>
              <w:t>任何</w:t>
            </w:r>
            <w:r>
              <w:rPr>
                <w:color w:val="auto"/>
                <w:sz w:val="21"/>
                <w:szCs w:val="21"/>
                <w:highlight w:val="none"/>
              </w:rPr>
              <w:t>因素发生变化</w:t>
            </w:r>
            <w:r>
              <w:rPr>
                <w:rFonts w:hint="eastAsia"/>
                <w:color w:val="auto"/>
                <w:sz w:val="21"/>
                <w:szCs w:val="21"/>
                <w:highlight w:val="none"/>
              </w:rPr>
              <w:t>。</w:t>
            </w:r>
          </w:p>
          <w:p>
            <w:pPr>
              <w:keepNext w:val="0"/>
              <w:keepLines w:val="0"/>
              <w:pageBreakBefore w:val="0"/>
              <w:kinsoku/>
              <w:overflowPunct/>
              <w:autoSpaceDE/>
              <w:autoSpaceDN/>
              <w:bidi w:val="0"/>
              <w:snapToGrid/>
              <w:ind w:firstLine="0" w:firstLineChars="0"/>
              <w:textAlignment w:val="baseline"/>
              <w:rPr>
                <w:rFonts w:hint="eastAsia"/>
                <w:color w:val="auto"/>
                <w:sz w:val="21"/>
                <w:szCs w:val="21"/>
                <w:highlight w:val="none"/>
              </w:rPr>
            </w:pPr>
            <w:r>
              <w:rPr>
                <w:rFonts w:hint="eastAsia" w:hAnsi="宋体" w:cs="宋体"/>
                <w:color w:val="auto"/>
                <w:sz w:val="21"/>
                <w:szCs w:val="21"/>
                <w:highlight w:val="none"/>
              </w:rPr>
              <w:t>注：最高评标限价、</w:t>
            </w:r>
            <w:r>
              <w:rPr>
                <w:rFonts w:hAnsi="宋体" w:cs="宋体"/>
                <w:color w:val="auto"/>
                <w:sz w:val="21"/>
                <w:szCs w:val="21"/>
                <w:highlight w:val="none"/>
              </w:rPr>
              <w:t>评标基准价</w:t>
            </w:r>
            <w:r>
              <w:rPr>
                <w:rFonts w:hint="eastAsia" w:hAnsi="宋体" w:cs="宋体"/>
                <w:color w:val="auto"/>
                <w:sz w:val="21"/>
                <w:szCs w:val="21"/>
                <w:highlight w:val="none"/>
              </w:rPr>
              <w:t>的计算均</w:t>
            </w:r>
            <w:r>
              <w:rPr>
                <w:rFonts w:hAnsi="宋体" w:cs="宋体"/>
                <w:color w:val="auto"/>
                <w:sz w:val="21"/>
                <w:szCs w:val="21"/>
                <w:highlight w:val="none"/>
              </w:rPr>
              <w:t>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6" w:hRule="atLeast"/>
        </w:trPr>
        <w:tc>
          <w:tcPr>
            <w:tcW w:w="994" w:type="dxa"/>
            <w:vAlign w:val="center"/>
          </w:tcPr>
          <w:p>
            <w:pPr>
              <w:keepNext w:val="0"/>
              <w:keepLines w:val="0"/>
              <w:pageBreakBefore w:val="0"/>
              <w:kinsoku/>
              <w:wordWrap w:val="0"/>
              <w:overflowPunct/>
              <w:topLinePunct/>
              <w:autoSpaceDE/>
              <w:autoSpaceDN/>
              <w:bidi w:val="0"/>
              <w:adjustRightInd/>
              <w:snapToGrid/>
              <w:spacing w:line="276" w:lineRule="auto"/>
              <w:ind w:firstLine="0" w:firstLineChars="0"/>
              <w:jc w:val="center"/>
              <w:textAlignment w:val="baseline"/>
              <w:rPr>
                <w:color w:val="auto"/>
                <w:highlight w:val="none"/>
              </w:rPr>
            </w:pPr>
            <w:r>
              <w:rPr>
                <w:color w:val="auto"/>
                <w:sz w:val="21"/>
                <w:szCs w:val="16"/>
                <w:highlight w:val="none"/>
              </w:rPr>
              <w:t>2.2.3</w:t>
            </w:r>
          </w:p>
        </w:tc>
        <w:tc>
          <w:tcPr>
            <w:tcW w:w="1634" w:type="dxa"/>
            <w:vAlign w:val="center"/>
          </w:tcPr>
          <w:p>
            <w:pPr>
              <w:keepNext w:val="0"/>
              <w:keepLines w:val="0"/>
              <w:pageBreakBefore w:val="0"/>
              <w:widowControl w:val="0"/>
              <w:kinsoku/>
              <w:wordWrap w:val="0"/>
              <w:overflowPunct/>
              <w:topLinePunct/>
              <w:autoSpaceDE/>
              <w:autoSpaceDN/>
              <w:bidi w:val="0"/>
              <w:adjustRightInd/>
              <w:snapToGrid/>
              <w:spacing w:line="440" w:lineRule="exact"/>
              <w:ind w:firstLine="0" w:firstLineChars="0"/>
              <w:jc w:val="center"/>
              <w:textAlignment w:val="baseline"/>
              <w:rPr>
                <w:color w:val="auto"/>
                <w:sz w:val="21"/>
                <w:szCs w:val="21"/>
                <w:highlight w:val="none"/>
              </w:rPr>
            </w:pPr>
            <w:r>
              <w:rPr>
                <w:color w:val="auto"/>
                <w:sz w:val="21"/>
                <w:szCs w:val="21"/>
                <w:highlight w:val="none"/>
              </w:rPr>
              <w:t>评标价的偏差率计算公式</w:t>
            </w:r>
          </w:p>
        </w:tc>
        <w:tc>
          <w:tcPr>
            <w:tcW w:w="5894" w:type="dxa"/>
            <w:vAlign w:val="center"/>
          </w:tcPr>
          <w:p>
            <w:pPr>
              <w:keepNext w:val="0"/>
              <w:keepLines w:val="0"/>
              <w:pageBreakBefore w:val="0"/>
              <w:kinsoku/>
              <w:overflowPunct/>
              <w:autoSpaceDE/>
              <w:autoSpaceDN/>
              <w:bidi w:val="0"/>
              <w:snapToGrid/>
              <w:ind w:firstLine="0" w:firstLineChars="0"/>
              <w:textAlignment w:val="baseline"/>
              <w:rPr>
                <w:color w:val="auto"/>
                <w:sz w:val="21"/>
                <w:szCs w:val="21"/>
                <w:highlight w:val="none"/>
              </w:rPr>
            </w:pPr>
            <w:r>
              <w:rPr>
                <w:color w:val="auto"/>
                <w:sz w:val="21"/>
                <w:szCs w:val="21"/>
                <w:highlight w:val="none"/>
              </w:rPr>
              <w:t>偏差率=100% ×</w:t>
            </w:r>
            <w:r>
              <w:rPr>
                <w:rFonts w:ascii="宋体" w:hAnsi="宋体"/>
                <w:color w:val="auto"/>
                <w:sz w:val="21"/>
                <w:szCs w:val="21"/>
                <w:highlight w:val="none"/>
              </w:rPr>
              <w:t>（投标人评标价－评标基准价）</w:t>
            </w:r>
            <w:r>
              <w:rPr>
                <w:color w:val="auto"/>
                <w:sz w:val="21"/>
                <w:szCs w:val="21"/>
                <w:highlight w:val="none"/>
              </w:rPr>
              <w:t>/</w:t>
            </w:r>
            <w:r>
              <w:rPr>
                <w:rFonts w:ascii="宋体" w:hAnsi="宋体"/>
                <w:color w:val="auto"/>
                <w:sz w:val="21"/>
                <w:szCs w:val="21"/>
                <w:highlight w:val="none"/>
              </w:rPr>
              <w:t>评标基准价</w:t>
            </w:r>
          </w:p>
        </w:tc>
      </w:tr>
    </w:tbl>
    <w:p>
      <w:pPr>
        <w:jc w:val="right"/>
        <w:rPr>
          <w:color w:val="auto"/>
          <w:highlight w:val="none"/>
        </w:rPr>
      </w:pPr>
      <w:r>
        <w:rPr>
          <w:rFonts w:hint="eastAsia"/>
          <w:b/>
          <w:color w:val="auto"/>
          <w:highlight w:val="none"/>
        </w:rPr>
        <w:br w:type="page"/>
      </w:r>
      <w:r>
        <w:rPr>
          <w:rFonts w:hint="eastAsia"/>
          <w:b/>
          <w:color w:val="auto"/>
          <w:highlight w:val="none"/>
        </w:rPr>
        <w:t>续上表</w:t>
      </w:r>
    </w:p>
    <w:tbl>
      <w:tblPr>
        <w:tblStyle w:val="7"/>
        <w:tblW w:w="8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46"/>
        <w:gridCol w:w="714"/>
        <w:gridCol w:w="3295"/>
        <w:gridCol w:w="567"/>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224" w:type="dxa"/>
            <w:gridSpan w:val="5"/>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ascii="Times New Roman" w:hAnsi="Times New Roman"/>
                <w:color w:val="auto"/>
                <w:sz w:val="21"/>
                <w:szCs w:val="21"/>
                <w:highlight w:val="none"/>
              </w:rPr>
            </w:pPr>
            <w:bookmarkStart w:id="1" w:name="OLE_LINK1" w:colFirst="0" w:colLast="5"/>
            <w:r>
              <w:rPr>
                <w:rFonts w:hint="eastAsia" w:ascii="宋体" w:hAnsi="宋体"/>
                <w:b/>
                <w:color w:val="auto"/>
                <w:sz w:val="21"/>
                <w:szCs w:val="21"/>
                <w:highlight w:val="none"/>
              </w:rPr>
              <w:t>评审因素与评分值</w:t>
            </w:r>
          </w:p>
        </w:tc>
        <w:tc>
          <w:tcPr>
            <w:tcW w:w="2338" w:type="dxa"/>
            <w:vMerge w:val="restart"/>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hint="eastAsia" w:ascii="Times New Roman" w:hAnsi="Times New Roman"/>
                <w:color w:val="auto"/>
                <w:sz w:val="21"/>
                <w:szCs w:val="21"/>
                <w:highlight w:val="none"/>
              </w:rPr>
            </w:pPr>
            <w:r>
              <w:rPr>
                <w:rFonts w:hint="eastAsia" w:ascii="宋体" w:hAnsi="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802"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ascii="宋体" w:hAnsi="宋体"/>
                <w:color w:val="auto"/>
                <w:sz w:val="21"/>
                <w:szCs w:val="21"/>
                <w:highlight w:val="none"/>
              </w:rPr>
            </w:pPr>
            <w:r>
              <w:rPr>
                <w:rFonts w:hint="eastAsia" w:ascii="宋体" w:hAnsi="宋体"/>
                <w:b/>
                <w:color w:val="auto"/>
                <w:sz w:val="21"/>
                <w:szCs w:val="21"/>
                <w:highlight w:val="none"/>
              </w:rPr>
              <w:t>条款号</w:t>
            </w:r>
          </w:p>
        </w:tc>
        <w:tc>
          <w:tcPr>
            <w:tcW w:w="846"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hint="eastAsia" w:ascii="宋体" w:hAnsi="宋体"/>
                <w:b/>
                <w:color w:val="auto"/>
                <w:sz w:val="21"/>
                <w:szCs w:val="21"/>
                <w:highlight w:val="none"/>
              </w:rPr>
            </w:pPr>
            <w:r>
              <w:rPr>
                <w:rFonts w:hint="eastAsia" w:ascii="宋体" w:hAnsi="宋体"/>
                <w:b/>
                <w:color w:val="auto"/>
                <w:sz w:val="21"/>
                <w:szCs w:val="21"/>
                <w:highlight w:val="none"/>
              </w:rPr>
              <w:t>评审</w:t>
            </w:r>
          </w:p>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ascii="宋体" w:hAnsi="宋体"/>
                <w:color w:val="auto"/>
                <w:sz w:val="21"/>
                <w:szCs w:val="21"/>
                <w:highlight w:val="none"/>
              </w:rPr>
            </w:pPr>
            <w:r>
              <w:rPr>
                <w:rFonts w:hint="eastAsia" w:ascii="宋体" w:hAnsi="宋体"/>
                <w:b/>
                <w:color w:val="auto"/>
                <w:sz w:val="21"/>
                <w:szCs w:val="21"/>
                <w:highlight w:val="none"/>
              </w:rPr>
              <w:t>因素</w:t>
            </w:r>
          </w:p>
        </w:tc>
        <w:tc>
          <w:tcPr>
            <w:tcW w:w="714"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hint="eastAsia" w:ascii="宋体" w:hAnsi="宋体"/>
                <w:color w:val="auto"/>
                <w:sz w:val="21"/>
                <w:szCs w:val="21"/>
                <w:highlight w:val="none"/>
                <w:u w:val="single"/>
              </w:rPr>
            </w:pPr>
            <w:r>
              <w:rPr>
                <w:rFonts w:hint="eastAsia" w:ascii="宋体" w:hAnsi="宋体"/>
                <w:b/>
                <w:color w:val="auto"/>
                <w:sz w:val="21"/>
                <w:szCs w:val="21"/>
                <w:highlight w:val="none"/>
              </w:rPr>
              <w:t>评分因素权重分值</w:t>
            </w:r>
          </w:p>
        </w:tc>
        <w:tc>
          <w:tcPr>
            <w:tcW w:w="3295"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hint="eastAsia" w:ascii="宋体" w:hAnsi="宋体"/>
                <w:color w:val="auto"/>
                <w:sz w:val="21"/>
                <w:szCs w:val="21"/>
                <w:highlight w:val="none"/>
              </w:rPr>
            </w:pPr>
            <w:r>
              <w:rPr>
                <w:rFonts w:hint="eastAsia" w:ascii="宋体" w:hAnsi="宋体"/>
                <w:b/>
                <w:color w:val="auto"/>
                <w:sz w:val="21"/>
                <w:szCs w:val="21"/>
                <w:highlight w:val="none"/>
              </w:rPr>
              <w:t>各评审因素细分项</w:t>
            </w:r>
          </w:p>
        </w:tc>
        <w:tc>
          <w:tcPr>
            <w:tcW w:w="567"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ascii="Times New Roman" w:hAnsi="Times New Roman"/>
                <w:color w:val="auto"/>
                <w:sz w:val="21"/>
                <w:szCs w:val="21"/>
                <w:highlight w:val="none"/>
              </w:rPr>
            </w:pPr>
            <w:r>
              <w:rPr>
                <w:rFonts w:hint="eastAsia" w:ascii="宋体" w:hAnsi="宋体"/>
                <w:b/>
                <w:color w:val="auto"/>
                <w:sz w:val="21"/>
                <w:szCs w:val="21"/>
                <w:highlight w:val="none"/>
              </w:rPr>
              <w:t>分值</w:t>
            </w:r>
          </w:p>
        </w:tc>
        <w:tc>
          <w:tcPr>
            <w:tcW w:w="2338" w:type="dxa"/>
            <w:vMerge w:val="continue"/>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both"/>
              <w:rPr>
                <w:rFonts w:hint="eastAsia" w:ascii="Times New Roman" w:hAnsi="Times New Roman"/>
                <w:color w:val="auto"/>
                <w:sz w:val="21"/>
                <w:szCs w:val="21"/>
                <w:highlight w:val="none"/>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restart"/>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2.2.4</w:t>
            </w:r>
          </w:p>
          <w:p>
            <w:pPr>
              <w:keepNext w:val="0"/>
              <w:keepLines w:val="0"/>
              <w:pageBreakBefore w:val="0"/>
              <w:widowControl w:val="0"/>
              <w:kinsoku/>
              <w:wordWrap/>
              <w:overflowPunct/>
              <w:topLinePunct w:val="0"/>
              <w:autoSpaceDE/>
              <w:autoSpaceDN/>
              <w:bidi w:val="0"/>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846" w:type="dxa"/>
            <w:vMerge w:val="restart"/>
            <w:vAlign w:val="center"/>
          </w:tcPr>
          <w:p>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技术建议书</w:t>
            </w:r>
          </w:p>
        </w:tc>
        <w:tc>
          <w:tcPr>
            <w:tcW w:w="714"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u w:val="single"/>
              </w:rPr>
              <w:t>20</w:t>
            </w:r>
            <w:r>
              <w:rPr>
                <w:rFonts w:hint="default" w:ascii="Times New Roman" w:hAnsi="Times New Roman" w:cs="Times New Roman"/>
                <w:color w:val="auto"/>
                <w:sz w:val="21"/>
                <w:szCs w:val="21"/>
                <w:highlight w:val="none"/>
              </w:rPr>
              <w:t>分</w:t>
            </w:r>
          </w:p>
        </w:tc>
        <w:tc>
          <w:tcPr>
            <w:tcW w:w="3295" w:type="dxa"/>
            <w:vAlign w:val="center"/>
          </w:tcPr>
          <w:p>
            <w:pPr>
              <w:keepNext w:val="0"/>
              <w:keepLines w:val="0"/>
              <w:pageBreakBefore w:val="0"/>
              <w:widowControl w:val="0"/>
              <w:kinsoku/>
              <w:wordWrap/>
              <w:overflowPunct/>
              <w:topLinePunct w:val="0"/>
              <w:autoSpaceDE/>
              <w:autoSpaceDN/>
              <w:bidi w:val="0"/>
              <w:snapToGrid/>
              <w:spacing w:line="36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工作大纲、工作目标和机构设置</w:t>
            </w:r>
          </w:p>
        </w:tc>
        <w:tc>
          <w:tcPr>
            <w:tcW w:w="567"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5分</w:t>
            </w:r>
          </w:p>
        </w:tc>
        <w:tc>
          <w:tcPr>
            <w:tcW w:w="2338"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一般得3.0~3.5分；</w:t>
            </w:r>
          </w:p>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较好得3.6~4.5分；</w:t>
            </w:r>
          </w:p>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很好得4.6~5分。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both"/>
              <w:textAlignment w:val="baseline"/>
              <w:rPr>
                <w:rFonts w:hint="default" w:ascii="Times New Roman" w:hAnsi="Times New Roman" w:cs="Times New Roman"/>
                <w:color w:val="auto"/>
                <w:sz w:val="21"/>
                <w:szCs w:val="21"/>
                <w:highlight w:val="none"/>
              </w:rPr>
            </w:pPr>
          </w:p>
        </w:tc>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p>
        </w:tc>
        <w:tc>
          <w:tcPr>
            <w:tcW w:w="71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baseline"/>
              <w:rPr>
                <w:rFonts w:hint="default" w:ascii="Times New Roman" w:hAnsi="Times New Roman" w:cs="Times New Roman"/>
                <w:color w:val="auto"/>
                <w:sz w:val="21"/>
                <w:szCs w:val="21"/>
                <w:highlight w:val="none"/>
              </w:rPr>
            </w:pPr>
          </w:p>
        </w:tc>
        <w:tc>
          <w:tcPr>
            <w:tcW w:w="3295" w:type="dxa"/>
            <w:vAlign w:val="center"/>
          </w:tcPr>
          <w:p>
            <w:pPr>
              <w:keepNext w:val="0"/>
              <w:keepLines w:val="0"/>
              <w:pageBreakBefore w:val="0"/>
              <w:widowControl w:val="0"/>
              <w:kinsoku/>
              <w:wordWrap/>
              <w:overflowPunct/>
              <w:topLinePunct w:val="0"/>
              <w:autoSpaceDE/>
              <w:autoSpaceDN/>
              <w:bidi w:val="0"/>
              <w:snapToGrid/>
              <w:spacing w:line="36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技术方案</w:t>
            </w:r>
          </w:p>
        </w:tc>
        <w:tc>
          <w:tcPr>
            <w:tcW w:w="567"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5分</w:t>
            </w:r>
          </w:p>
        </w:tc>
        <w:tc>
          <w:tcPr>
            <w:tcW w:w="2338"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一般得3.0~3.5分；</w:t>
            </w:r>
          </w:p>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较好得3.6~4.5分；</w:t>
            </w:r>
          </w:p>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很好得4.6~5分。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both"/>
              <w:textAlignment w:val="baseline"/>
              <w:rPr>
                <w:rFonts w:hint="default" w:ascii="Times New Roman" w:hAnsi="Times New Roman" w:cs="Times New Roman"/>
                <w:color w:val="auto"/>
                <w:sz w:val="21"/>
                <w:szCs w:val="21"/>
                <w:highlight w:val="none"/>
              </w:rPr>
            </w:pPr>
          </w:p>
        </w:tc>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p>
        </w:tc>
        <w:tc>
          <w:tcPr>
            <w:tcW w:w="71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baseline"/>
              <w:rPr>
                <w:rFonts w:hint="default" w:ascii="Times New Roman" w:hAnsi="Times New Roman" w:cs="Times New Roman"/>
                <w:color w:val="auto"/>
                <w:sz w:val="21"/>
                <w:szCs w:val="21"/>
                <w:highlight w:val="none"/>
              </w:rPr>
            </w:pPr>
          </w:p>
        </w:tc>
        <w:tc>
          <w:tcPr>
            <w:tcW w:w="3295" w:type="dxa"/>
            <w:vAlign w:val="center"/>
          </w:tcPr>
          <w:p>
            <w:pPr>
              <w:keepNext w:val="0"/>
              <w:keepLines w:val="0"/>
              <w:pageBreakBefore w:val="0"/>
              <w:widowControl w:val="0"/>
              <w:kinsoku/>
              <w:wordWrap/>
              <w:overflowPunct/>
              <w:topLinePunct w:val="0"/>
              <w:autoSpaceDE/>
              <w:autoSpaceDN/>
              <w:bidi w:val="0"/>
              <w:snapToGrid/>
              <w:spacing w:line="36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工作进度和服务质量、保障措施</w:t>
            </w:r>
          </w:p>
        </w:tc>
        <w:tc>
          <w:tcPr>
            <w:tcW w:w="567"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分</w:t>
            </w:r>
          </w:p>
        </w:tc>
        <w:tc>
          <w:tcPr>
            <w:tcW w:w="2338"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一般得3.0~3.5分；</w:t>
            </w:r>
          </w:p>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较好得3.6~4.5分；</w:t>
            </w:r>
          </w:p>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很好得4.6~5分。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Merge w:val="continue"/>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both"/>
              <w:textAlignment w:val="baseline"/>
              <w:rPr>
                <w:rFonts w:hint="default" w:ascii="Times New Roman" w:hAnsi="Times New Roman" w:cs="Times New Roman"/>
                <w:color w:val="auto"/>
                <w:sz w:val="21"/>
                <w:szCs w:val="21"/>
                <w:highlight w:val="none"/>
              </w:rPr>
            </w:pPr>
          </w:p>
        </w:tc>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p>
        </w:tc>
        <w:tc>
          <w:tcPr>
            <w:tcW w:w="714"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baseline"/>
              <w:rPr>
                <w:rFonts w:hint="default" w:ascii="Times New Roman" w:hAnsi="Times New Roman" w:cs="Times New Roman"/>
                <w:color w:val="auto"/>
                <w:sz w:val="21"/>
                <w:szCs w:val="21"/>
                <w:highlight w:val="none"/>
              </w:rPr>
            </w:pPr>
          </w:p>
        </w:tc>
        <w:tc>
          <w:tcPr>
            <w:tcW w:w="3295" w:type="dxa"/>
            <w:vAlign w:val="center"/>
          </w:tcPr>
          <w:p>
            <w:pPr>
              <w:keepNext w:val="0"/>
              <w:keepLines w:val="0"/>
              <w:pageBreakBefore w:val="0"/>
              <w:widowControl w:val="0"/>
              <w:kinsoku/>
              <w:wordWrap/>
              <w:overflowPunct/>
              <w:topLinePunct w:val="0"/>
              <w:autoSpaceDE/>
              <w:autoSpaceDN/>
              <w:bidi w:val="0"/>
              <w:snapToGrid/>
              <w:spacing w:line="360" w:lineRule="exact"/>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实施过程中的重点、难点分析及其对策</w:t>
            </w:r>
          </w:p>
        </w:tc>
        <w:tc>
          <w:tcPr>
            <w:tcW w:w="567"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分</w:t>
            </w:r>
          </w:p>
        </w:tc>
        <w:tc>
          <w:tcPr>
            <w:tcW w:w="2338"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一般得3.0~3.5分；</w:t>
            </w:r>
          </w:p>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较好得3.6~4.5分；</w:t>
            </w:r>
          </w:p>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很好得4.6~5分。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Align w:val="center"/>
          </w:tcPr>
          <w:p>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2.2.4</w:t>
            </w:r>
          </w:p>
          <w:p>
            <w:pPr>
              <w:keepNext w:val="0"/>
              <w:keepLines w:val="0"/>
              <w:pageBreakBefore w:val="0"/>
              <w:widowControl w:val="0"/>
              <w:kinsoku/>
              <w:wordWrap/>
              <w:overflowPunct/>
              <w:topLinePunct w:val="0"/>
              <w:autoSpaceDE/>
              <w:autoSpaceDN/>
              <w:bidi w:val="0"/>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w:t>
            </w:r>
          </w:p>
          <w:p>
            <w:pPr>
              <w:keepNext w:val="0"/>
              <w:keepLines w:val="0"/>
              <w:pageBreakBefore w:val="0"/>
              <w:widowControl w:val="0"/>
              <w:kinsoku/>
              <w:wordWrap/>
              <w:overflowPunct/>
              <w:topLinePunct w:val="0"/>
              <w:autoSpaceDE/>
              <w:autoSpaceDN/>
              <w:bidi w:val="0"/>
              <w:adjustRightInd/>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人员</w:t>
            </w:r>
          </w:p>
        </w:tc>
        <w:tc>
          <w:tcPr>
            <w:tcW w:w="714"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u w:val="single"/>
              </w:rPr>
              <w:t>15</w:t>
            </w:r>
            <w:r>
              <w:rPr>
                <w:rFonts w:hint="default" w:ascii="Times New Roman" w:hAnsi="Times New Roman" w:cs="Times New Roman"/>
                <w:color w:val="auto"/>
                <w:sz w:val="21"/>
                <w:szCs w:val="21"/>
                <w:highlight w:val="none"/>
              </w:rPr>
              <w:t>分</w:t>
            </w:r>
          </w:p>
        </w:tc>
        <w:tc>
          <w:tcPr>
            <w:tcW w:w="6200" w:type="dxa"/>
            <w:gridSpan w:val="3"/>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满足资格审查条件，得满分15分。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02" w:type="dxa"/>
            <w:vAlign w:val="center"/>
          </w:tcPr>
          <w:p>
            <w:pPr>
              <w:keepNext w:val="0"/>
              <w:keepLines w:val="0"/>
              <w:pageBreakBefore w:val="0"/>
              <w:widowControl w:val="0"/>
              <w:kinsoku/>
              <w:wordWrap/>
              <w:overflowPunct/>
              <w:topLinePunct w:val="0"/>
              <w:autoSpaceDE/>
              <w:autoSpaceDN/>
              <w:bidi w:val="0"/>
              <w:snapToGrid/>
              <w:spacing w:line="276" w:lineRule="auto"/>
              <w:ind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2.2.4（3）</w:t>
            </w:r>
          </w:p>
        </w:tc>
        <w:tc>
          <w:tcPr>
            <w:tcW w:w="846"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评标价</w:t>
            </w:r>
          </w:p>
        </w:tc>
        <w:tc>
          <w:tcPr>
            <w:tcW w:w="714"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u w:val="single"/>
              </w:rPr>
              <w:t>40</w:t>
            </w:r>
            <w:r>
              <w:rPr>
                <w:rFonts w:hint="default" w:ascii="Times New Roman" w:hAnsi="Times New Roman" w:cs="Times New Roman"/>
                <w:color w:val="auto"/>
                <w:sz w:val="21"/>
                <w:szCs w:val="21"/>
                <w:highlight w:val="none"/>
              </w:rPr>
              <w:t>分</w:t>
            </w:r>
          </w:p>
        </w:tc>
        <w:tc>
          <w:tcPr>
            <w:tcW w:w="6200" w:type="dxa"/>
            <w:gridSpan w:val="3"/>
            <w:vAlign w:val="center"/>
          </w:tcPr>
          <w:p>
            <w:pPr>
              <w:keepNext w:val="0"/>
              <w:keepLines w:val="0"/>
              <w:pageBreakBefore w:val="0"/>
              <w:widowControl w:val="0"/>
              <w:kinsoku/>
              <w:wordWrap/>
              <w:overflowPunct/>
              <w:topLinePunct w:val="0"/>
              <w:autoSpaceDE/>
              <w:autoSpaceDN/>
              <w:bidi w:val="0"/>
              <w:adjustRightInd/>
              <w:snapToGrid/>
              <w:spacing w:line="380" w:lineRule="atLeast"/>
              <w:ind w:firstLine="0" w:firstLineChars="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评标价得分计算公式示例：</w:t>
            </w:r>
          </w:p>
          <w:p>
            <w:pPr>
              <w:keepNext w:val="0"/>
              <w:keepLines w:val="0"/>
              <w:pageBreakBefore w:val="0"/>
              <w:widowControl w:val="0"/>
              <w:kinsoku/>
              <w:wordWrap/>
              <w:overflowPunct/>
              <w:topLinePunct w:val="0"/>
              <w:autoSpaceDE/>
              <w:autoSpaceDN/>
              <w:bidi w:val="0"/>
              <w:adjustRightInd/>
              <w:snapToGrid/>
              <w:spacing w:line="380" w:lineRule="atLeast"/>
              <w:ind w:firstLine="0" w:firstLineChars="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（1）如果投标人的评标价&gt;评标基准价，则评标价得分＝F－偏差率×100×0.6；</w:t>
            </w:r>
          </w:p>
          <w:p>
            <w:pPr>
              <w:keepNext w:val="0"/>
              <w:keepLines w:val="0"/>
              <w:pageBreakBefore w:val="0"/>
              <w:widowControl w:val="0"/>
              <w:kinsoku/>
              <w:wordWrap/>
              <w:overflowPunct/>
              <w:topLinePunct w:val="0"/>
              <w:autoSpaceDE/>
              <w:autoSpaceDN/>
              <w:bidi w:val="0"/>
              <w:adjustRightInd/>
              <w:snapToGrid/>
              <w:spacing w:line="380" w:lineRule="atLeast"/>
              <w:ind w:firstLine="0" w:firstLineChars="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（2）如果投标人的评标价≤评标基准价，则评标价得分＝F＋偏差率× 100× 0.3。</w:t>
            </w:r>
          </w:p>
          <w:p>
            <w:pPr>
              <w:keepNext w:val="0"/>
              <w:keepLines w:val="0"/>
              <w:pageBreakBefore w:val="0"/>
              <w:widowControl w:val="0"/>
              <w:kinsoku/>
              <w:wordWrap/>
              <w:overflowPunct/>
              <w:topLinePunct w:val="0"/>
              <w:autoSpaceDE/>
              <w:autoSpaceDN/>
              <w:bidi w:val="0"/>
              <w:adjustRightInd/>
              <w:snapToGrid/>
              <w:spacing w:line="380" w:lineRule="atLeast"/>
              <w:ind w:firstLine="0" w:firstLineChars="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注： </w:t>
            </w:r>
          </w:p>
          <w:p>
            <w:pPr>
              <w:keepNext w:val="0"/>
              <w:keepLines w:val="0"/>
              <w:pageBreakBefore w:val="0"/>
              <w:widowControl w:val="0"/>
              <w:kinsoku/>
              <w:wordWrap/>
              <w:overflowPunct/>
              <w:topLinePunct w:val="0"/>
              <w:autoSpaceDE/>
              <w:autoSpaceDN/>
              <w:bidi w:val="0"/>
              <w:adjustRightInd/>
              <w:snapToGrid/>
              <w:spacing w:line="380" w:lineRule="atLeast"/>
              <w:ind w:firstLine="0" w:firstLineChars="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F=40</w:t>
            </w:r>
          </w:p>
          <w:p>
            <w:pPr>
              <w:keepNext w:val="0"/>
              <w:keepLines w:val="0"/>
              <w:pageBreakBefore w:val="0"/>
              <w:widowControl w:val="0"/>
              <w:kinsoku/>
              <w:wordWrap/>
              <w:overflowPunct/>
              <w:topLinePunct w:val="0"/>
              <w:autoSpaceDE/>
              <w:autoSpaceDN/>
              <w:bidi w:val="0"/>
              <w:snapToGrid/>
              <w:spacing w:line="276"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评标价得分四舍五入至小数点后</w:t>
            </w:r>
            <w:r>
              <w:rPr>
                <w:rFonts w:hint="default" w:ascii="Times New Roman" w:hAnsi="Times New Roman" w:cs="Times New Roman"/>
                <w:color w:val="auto"/>
                <w:sz w:val="21"/>
                <w:szCs w:val="21"/>
                <w:highlight w:val="none"/>
                <w:lang w:val="en-US" w:eastAsia="zh-CN"/>
              </w:rPr>
              <w:t>四</w:t>
            </w:r>
            <w:r>
              <w:rPr>
                <w:rFonts w:hint="default" w:ascii="Times New Roman" w:hAnsi="Times New Roman" w:cs="Times New Roman"/>
                <w:color w:val="auto"/>
                <w:sz w:val="21"/>
                <w:szCs w:val="21"/>
                <w:highlight w:val="none"/>
              </w:rPr>
              <w:t>位。</w:t>
            </w:r>
          </w:p>
        </w:tc>
      </w:tr>
    </w:tbl>
    <w:p>
      <w:pPr>
        <w:ind w:left="0" w:leftChars="0" w:firstLine="0" w:firstLineChars="0"/>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06"/>
        <w:gridCol w:w="1957"/>
        <w:gridCol w:w="935"/>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462" w:type="dxa"/>
            <w:gridSpan w:val="4"/>
            <w:vAlign w:val="center"/>
          </w:tcPr>
          <w:p>
            <w:pPr>
              <w:keepNext w:val="0"/>
              <w:keepLines w:val="0"/>
              <w:pageBreakBefore w:val="0"/>
              <w:widowControl w:val="0"/>
              <w:kinsoku/>
              <w:wordWrap/>
              <w:overflowPunct/>
              <w:topLinePunct w:val="0"/>
              <w:bidi w:val="0"/>
              <w:adjustRightInd/>
              <w:snapToGrid/>
              <w:spacing w:line="276" w:lineRule="auto"/>
              <w:ind w:firstLine="0" w:firstLineChars="0"/>
              <w:jc w:val="center"/>
              <w:rPr>
                <w:rFonts w:ascii="宋体" w:hAnsi="宋体"/>
                <w:color w:val="auto"/>
                <w:sz w:val="21"/>
                <w:szCs w:val="21"/>
                <w:highlight w:val="none"/>
              </w:rPr>
            </w:pPr>
            <w:r>
              <w:rPr>
                <w:rFonts w:hint="eastAsia" w:ascii="宋体" w:hAnsi="宋体"/>
                <w:b/>
                <w:color w:val="auto"/>
                <w:sz w:val="21"/>
                <w:szCs w:val="21"/>
                <w:highlight w:val="none"/>
              </w:rPr>
              <w:t>评审因素与评分值</w:t>
            </w:r>
          </w:p>
        </w:tc>
        <w:tc>
          <w:tcPr>
            <w:tcW w:w="4060" w:type="dxa"/>
            <w:vMerge w:val="restart"/>
            <w:vAlign w:val="center"/>
          </w:tcPr>
          <w:p>
            <w:pPr>
              <w:keepNext w:val="0"/>
              <w:keepLines w:val="0"/>
              <w:pageBreakBefore w:val="0"/>
              <w:widowControl w:val="0"/>
              <w:kinsoku/>
              <w:wordWrap/>
              <w:overflowPunct/>
              <w:topLinePunct w:val="0"/>
              <w:bidi w:val="0"/>
              <w:adjustRightInd/>
              <w:snapToGrid/>
              <w:spacing w:line="276" w:lineRule="auto"/>
              <w:ind w:firstLine="0" w:firstLineChars="0"/>
              <w:jc w:val="center"/>
              <w:rPr>
                <w:rFonts w:hint="eastAsia" w:ascii="宋体" w:hAnsi="宋体"/>
                <w:color w:val="auto"/>
                <w:sz w:val="21"/>
                <w:szCs w:val="21"/>
                <w:highlight w:val="none"/>
              </w:rPr>
            </w:pPr>
            <w:r>
              <w:rPr>
                <w:rFonts w:hint="eastAsia" w:ascii="宋体" w:hAnsi="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64" w:type="dxa"/>
            <w:vAlign w:val="center"/>
          </w:tcPr>
          <w:p>
            <w:pPr>
              <w:keepNext w:val="0"/>
              <w:keepLines w:val="0"/>
              <w:pageBreakBefore w:val="0"/>
              <w:widowControl w:val="0"/>
              <w:kinsoku/>
              <w:wordWrap/>
              <w:overflowPunct/>
              <w:topLinePunct w:val="0"/>
              <w:bidi w:val="0"/>
              <w:adjustRightInd/>
              <w:snapToGrid/>
              <w:spacing w:line="276" w:lineRule="auto"/>
              <w:ind w:firstLine="0" w:firstLineChars="0"/>
              <w:jc w:val="center"/>
              <w:rPr>
                <w:rFonts w:ascii="宋体" w:hAnsi="宋体"/>
                <w:color w:val="auto"/>
                <w:sz w:val="18"/>
                <w:szCs w:val="18"/>
                <w:highlight w:val="none"/>
              </w:rPr>
            </w:pPr>
            <w:r>
              <w:rPr>
                <w:rFonts w:hint="eastAsia" w:ascii="宋体" w:hAnsi="宋体"/>
                <w:b/>
                <w:color w:val="auto"/>
                <w:sz w:val="21"/>
                <w:szCs w:val="21"/>
                <w:highlight w:val="none"/>
              </w:rPr>
              <w:t>条款号</w:t>
            </w:r>
          </w:p>
        </w:tc>
        <w:tc>
          <w:tcPr>
            <w:tcW w:w="806" w:type="dxa"/>
            <w:vAlign w:val="center"/>
          </w:tcPr>
          <w:p>
            <w:pPr>
              <w:keepNext w:val="0"/>
              <w:keepLines w:val="0"/>
              <w:pageBreakBefore w:val="0"/>
              <w:widowControl w:val="0"/>
              <w:kinsoku/>
              <w:wordWrap/>
              <w:overflowPunct/>
              <w:topLinePunct w:val="0"/>
              <w:bidi w:val="0"/>
              <w:snapToGrid/>
              <w:spacing w:line="276" w:lineRule="auto"/>
              <w:ind w:firstLine="0" w:firstLineChars="0"/>
              <w:jc w:val="center"/>
              <w:rPr>
                <w:rFonts w:hint="eastAsia" w:ascii="宋体" w:hAnsi="宋体"/>
                <w:b/>
                <w:color w:val="auto"/>
                <w:sz w:val="21"/>
                <w:szCs w:val="21"/>
                <w:highlight w:val="none"/>
              </w:rPr>
            </w:pPr>
            <w:r>
              <w:rPr>
                <w:rFonts w:hint="eastAsia" w:ascii="宋体" w:hAnsi="宋体"/>
                <w:b/>
                <w:color w:val="auto"/>
                <w:sz w:val="21"/>
                <w:szCs w:val="21"/>
                <w:highlight w:val="none"/>
              </w:rPr>
              <w:t>评审</w:t>
            </w:r>
          </w:p>
          <w:p>
            <w:pPr>
              <w:keepNext w:val="0"/>
              <w:keepLines w:val="0"/>
              <w:pageBreakBefore w:val="0"/>
              <w:widowControl w:val="0"/>
              <w:kinsoku/>
              <w:wordWrap/>
              <w:overflowPunct/>
              <w:topLinePunct w:val="0"/>
              <w:bidi w:val="0"/>
              <w:snapToGrid/>
              <w:spacing w:line="276" w:lineRule="auto"/>
              <w:ind w:firstLine="0" w:firstLineChars="0"/>
              <w:jc w:val="center"/>
              <w:rPr>
                <w:rFonts w:hint="eastAsia" w:ascii="宋体" w:hAnsi="宋体"/>
                <w:color w:val="auto"/>
                <w:sz w:val="21"/>
                <w:szCs w:val="21"/>
                <w:highlight w:val="none"/>
              </w:rPr>
            </w:pPr>
            <w:r>
              <w:rPr>
                <w:rFonts w:hint="eastAsia" w:ascii="宋体" w:hAnsi="宋体"/>
                <w:b/>
                <w:color w:val="auto"/>
                <w:sz w:val="21"/>
                <w:szCs w:val="21"/>
                <w:highlight w:val="none"/>
              </w:rPr>
              <w:t>因素</w:t>
            </w:r>
          </w:p>
        </w:tc>
        <w:tc>
          <w:tcPr>
            <w:tcW w:w="2892" w:type="dxa"/>
            <w:gridSpan w:val="2"/>
            <w:vAlign w:val="center"/>
          </w:tcPr>
          <w:p>
            <w:pPr>
              <w:keepNext w:val="0"/>
              <w:keepLines w:val="0"/>
              <w:pageBreakBefore w:val="0"/>
              <w:widowControl w:val="0"/>
              <w:kinsoku/>
              <w:wordWrap/>
              <w:overflowPunct/>
              <w:topLinePunct w:val="0"/>
              <w:bidi w:val="0"/>
              <w:adjustRightInd/>
              <w:snapToGrid/>
              <w:spacing w:line="276" w:lineRule="auto"/>
              <w:ind w:firstLine="0" w:firstLineChars="0"/>
              <w:jc w:val="center"/>
              <w:rPr>
                <w:rFonts w:hint="eastAsia" w:ascii="宋体" w:hAnsi="宋体"/>
                <w:color w:val="auto"/>
                <w:sz w:val="21"/>
                <w:szCs w:val="21"/>
                <w:highlight w:val="none"/>
                <w:u w:val="single"/>
              </w:rPr>
            </w:pPr>
            <w:r>
              <w:rPr>
                <w:rFonts w:hint="eastAsia" w:ascii="宋体" w:hAnsi="宋体"/>
                <w:b/>
                <w:color w:val="auto"/>
                <w:sz w:val="21"/>
                <w:szCs w:val="21"/>
                <w:highlight w:val="none"/>
              </w:rPr>
              <w:t>评分因素权重分值</w:t>
            </w:r>
          </w:p>
        </w:tc>
        <w:tc>
          <w:tcPr>
            <w:tcW w:w="4060" w:type="dxa"/>
            <w:vMerge w:val="continue"/>
            <w:vAlign w:val="center"/>
          </w:tcPr>
          <w:p>
            <w:pPr>
              <w:keepNext w:val="0"/>
              <w:keepLines w:val="0"/>
              <w:pageBreakBefore w:val="0"/>
              <w:widowControl w:val="0"/>
              <w:kinsoku/>
              <w:wordWrap/>
              <w:overflowPunct/>
              <w:topLinePunct w:val="0"/>
              <w:bidi w:val="0"/>
              <w:adjustRightInd/>
              <w:snapToGrid/>
              <w:spacing w:line="276" w:lineRule="auto"/>
              <w:ind w:firstLine="0" w:firstLineChars="0"/>
              <w:jc w:val="both"/>
              <w:rPr>
                <w:rFonts w:hint="eastAsia" w:ascii="Times New Roman"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jc w:val="center"/>
        </w:trPr>
        <w:tc>
          <w:tcPr>
            <w:tcW w:w="764" w:type="dxa"/>
            <w:vMerge w:val="restart"/>
            <w:vAlign w:val="center"/>
          </w:tcPr>
          <w:p>
            <w:pPr>
              <w:keepNext w:val="0"/>
              <w:keepLines w:val="0"/>
              <w:pageBreakBefore w:val="0"/>
              <w:widowControl w:val="0"/>
              <w:kinsoku/>
              <w:wordWrap/>
              <w:overflowPunct/>
              <w:topLinePunct w:val="0"/>
              <w:bidi w:val="0"/>
              <w:snapToGrid/>
              <w:spacing w:line="276"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2.2.4（4）</w:t>
            </w:r>
          </w:p>
        </w:tc>
        <w:tc>
          <w:tcPr>
            <w:tcW w:w="806" w:type="dxa"/>
            <w:vMerge w:val="restart"/>
            <w:vAlign w:val="center"/>
          </w:tcPr>
          <w:p>
            <w:pPr>
              <w:keepNext w:val="0"/>
              <w:keepLines w:val="0"/>
              <w:pageBreakBefore w:val="0"/>
              <w:widowControl w:val="0"/>
              <w:kinsoku/>
              <w:wordWrap/>
              <w:overflowPunct/>
              <w:topLinePunct w:val="0"/>
              <w:bidi w:val="0"/>
              <w:snapToGrid/>
              <w:spacing w:line="276"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其他因素</w:t>
            </w:r>
          </w:p>
        </w:tc>
        <w:tc>
          <w:tcPr>
            <w:tcW w:w="1957" w:type="dxa"/>
            <w:vAlign w:val="center"/>
          </w:tcPr>
          <w:p>
            <w:pPr>
              <w:keepNext w:val="0"/>
              <w:keepLines w:val="0"/>
              <w:pageBreakBefore w:val="0"/>
              <w:widowControl w:val="0"/>
              <w:kinsoku/>
              <w:wordWrap/>
              <w:overflowPunct/>
              <w:topLinePunct w:val="0"/>
              <w:bidi w:val="0"/>
              <w:snapToGrid/>
              <w:spacing w:line="276" w:lineRule="auto"/>
              <w:ind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主要业绩</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适用于抽芯检测</w:t>
            </w:r>
            <w:r>
              <w:rPr>
                <w:rFonts w:hint="eastAsia"/>
                <w:highlight w:val="none"/>
                <w:lang w:val="en-US" w:eastAsia="zh-CN"/>
              </w:rPr>
              <w:t>CX1标、CX2标</w:t>
            </w:r>
            <w:r>
              <w:rPr>
                <w:rFonts w:hint="default" w:ascii="Times New Roman" w:hAnsi="Times New Roman" w:cs="Times New Roman"/>
                <w:color w:val="auto"/>
                <w:sz w:val="21"/>
                <w:szCs w:val="21"/>
                <w:highlight w:val="none"/>
                <w:lang w:eastAsia="zh-CN"/>
              </w:rPr>
              <w:t>）</w:t>
            </w:r>
          </w:p>
        </w:tc>
        <w:tc>
          <w:tcPr>
            <w:tcW w:w="935" w:type="dxa"/>
            <w:vAlign w:val="center"/>
          </w:tcPr>
          <w:p>
            <w:pPr>
              <w:keepNext w:val="0"/>
              <w:keepLines w:val="0"/>
              <w:pageBreakBefore w:val="0"/>
              <w:widowControl w:val="0"/>
              <w:kinsoku/>
              <w:wordWrap/>
              <w:overflowPunct/>
              <w:topLinePunct w:val="0"/>
              <w:bidi w:val="0"/>
              <w:adjustRightInd/>
              <w:snapToGrid/>
              <w:spacing w:line="276" w:lineRule="auto"/>
              <w:ind w:firstLine="0" w:firstLineChars="0"/>
              <w:jc w:val="center"/>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20</w:t>
            </w:r>
            <w:r>
              <w:rPr>
                <w:rFonts w:hint="default" w:ascii="Times New Roman" w:hAnsi="Times New Roman" w:cs="Times New Roman"/>
                <w:color w:val="auto"/>
                <w:sz w:val="21"/>
                <w:szCs w:val="21"/>
                <w:highlight w:val="none"/>
              </w:rPr>
              <w:t>分</w:t>
            </w:r>
          </w:p>
        </w:tc>
        <w:tc>
          <w:tcPr>
            <w:tcW w:w="4060" w:type="dxa"/>
            <w:vAlign w:val="center"/>
          </w:tcPr>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满足资格审查条件（业绩最低要求）的，得12分；在此基础上近</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年内投标人：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sz w:val="21"/>
                <w:szCs w:val="21"/>
                <w:highlight w:val="none"/>
              </w:rPr>
              <w:t>承揽高速公路抽芯检测合同累计金额每增加100万元，加1分，最高加8分。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3" w:hRule="atLeast"/>
          <w:jc w:val="center"/>
        </w:trPr>
        <w:tc>
          <w:tcPr>
            <w:tcW w:w="764" w:type="dxa"/>
            <w:vMerge w:val="continue"/>
            <w:vAlign w:val="center"/>
          </w:tcPr>
          <w:p>
            <w:pPr>
              <w:keepNext w:val="0"/>
              <w:keepLines w:val="0"/>
              <w:pageBreakBefore w:val="0"/>
              <w:widowControl w:val="0"/>
              <w:kinsoku/>
              <w:wordWrap/>
              <w:overflowPunct/>
              <w:topLinePunct w:val="0"/>
              <w:bidi w:val="0"/>
              <w:snapToGrid/>
              <w:spacing w:line="276" w:lineRule="auto"/>
              <w:ind w:firstLine="0" w:firstLineChars="0"/>
              <w:jc w:val="center"/>
              <w:rPr>
                <w:rFonts w:hint="default" w:ascii="Times New Roman" w:hAnsi="Times New Roman" w:cs="Times New Roman"/>
                <w:color w:val="auto"/>
                <w:sz w:val="21"/>
                <w:szCs w:val="21"/>
                <w:highlight w:val="none"/>
              </w:rPr>
            </w:pPr>
          </w:p>
        </w:tc>
        <w:tc>
          <w:tcPr>
            <w:tcW w:w="806" w:type="dxa"/>
            <w:vMerge w:val="continue"/>
            <w:vAlign w:val="center"/>
          </w:tcPr>
          <w:p>
            <w:pPr>
              <w:keepNext w:val="0"/>
              <w:keepLines w:val="0"/>
              <w:pageBreakBefore w:val="0"/>
              <w:widowControl w:val="0"/>
              <w:kinsoku/>
              <w:wordWrap/>
              <w:overflowPunct/>
              <w:topLinePunct w:val="0"/>
              <w:bidi w:val="0"/>
              <w:snapToGrid/>
              <w:spacing w:line="276" w:lineRule="auto"/>
              <w:ind w:firstLine="0" w:firstLineChars="0"/>
              <w:jc w:val="center"/>
              <w:rPr>
                <w:rFonts w:hint="default" w:ascii="Times New Roman" w:hAnsi="Times New Roman" w:cs="Times New Roman"/>
                <w:color w:val="auto"/>
                <w:sz w:val="21"/>
                <w:szCs w:val="21"/>
                <w:highlight w:val="none"/>
              </w:rPr>
            </w:pPr>
          </w:p>
        </w:tc>
        <w:tc>
          <w:tcPr>
            <w:tcW w:w="1957" w:type="dxa"/>
            <w:vAlign w:val="center"/>
          </w:tcPr>
          <w:p>
            <w:pPr>
              <w:keepNext w:val="0"/>
              <w:keepLines w:val="0"/>
              <w:pageBreakBefore w:val="0"/>
              <w:widowControl w:val="0"/>
              <w:kinsoku/>
              <w:wordWrap/>
              <w:overflowPunct/>
              <w:topLinePunct w:val="0"/>
              <w:bidi w:val="0"/>
              <w:snapToGrid/>
              <w:spacing w:line="276"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主要业绩</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适用于无损检测</w:t>
            </w:r>
            <w:r>
              <w:rPr>
                <w:rFonts w:hint="eastAsia" w:cs="Times New Roman"/>
                <w:color w:val="auto"/>
                <w:sz w:val="21"/>
                <w:szCs w:val="21"/>
                <w:highlight w:val="none"/>
                <w:lang w:val="en-US" w:eastAsia="zh-CN"/>
              </w:rPr>
              <w:t>WS标</w:t>
            </w:r>
            <w:r>
              <w:rPr>
                <w:rFonts w:hint="default" w:ascii="Times New Roman" w:hAnsi="Times New Roman" w:cs="Times New Roman"/>
                <w:color w:val="auto"/>
                <w:sz w:val="21"/>
                <w:szCs w:val="21"/>
                <w:highlight w:val="none"/>
                <w:lang w:eastAsia="zh-CN"/>
              </w:rPr>
              <w:t>）</w:t>
            </w:r>
          </w:p>
        </w:tc>
        <w:tc>
          <w:tcPr>
            <w:tcW w:w="935" w:type="dxa"/>
            <w:vAlign w:val="center"/>
          </w:tcPr>
          <w:p>
            <w:pPr>
              <w:keepNext w:val="0"/>
              <w:keepLines w:val="0"/>
              <w:pageBreakBefore w:val="0"/>
              <w:widowControl w:val="0"/>
              <w:kinsoku/>
              <w:wordWrap/>
              <w:overflowPunct/>
              <w:topLinePunct w:val="0"/>
              <w:bidi w:val="0"/>
              <w:adjustRightInd/>
              <w:snapToGrid/>
              <w:spacing w:line="276" w:lineRule="auto"/>
              <w:ind w:firstLine="0" w:firstLineChars="0"/>
              <w:jc w:val="center"/>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20</w:t>
            </w:r>
            <w:r>
              <w:rPr>
                <w:rFonts w:hint="default" w:ascii="Times New Roman" w:hAnsi="Times New Roman" w:cs="Times New Roman"/>
                <w:color w:val="auto"/>
                <w:sz w:val="21"/>
                <w:szCs w:val="21"/>
                <w:highlight w:val="none"/>
              </w:rPr>
              <w:t>分</w:t>
            </w:r>
          </w:p>
        </w:tc>
        <w:tc>
          <w:tcPr>
            <w:tcW w:w="4060"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cs="Times New Roman"/>
                <w:sz w:val="21"/>
                <w:szCs w:val="21"/>
                <w:highlight w:val="none"/>
              </w:rPr>
            </w:pP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满足</w:t>
            </w:r>
            <w:bookmarkStart w:id="17" w:name="_GoBack"/>
            <w:r>
              <w:rPr>
                <w:rFonts w:hint="default" w:ascii="Times New Roman" w:hAnsi="Times New Roman" w:cs="Times New Roman"/>
                <w:color w:val="auto"/>
                <w:sz w:val="21"/>
                <w:szCs w:val="21"/>
                <w:highlight w:val="none"/>
              </w:rPr>
              <w:t>资格审</w:t>
            </w:r>
            <w:bookmarkEnd w:id="17"/>
            <w:r>
              <w:rPr>
                <w:rFonts w:hint="default" w:ascii="Times New Roman" w:hAnsi="Times New Roman" w:cs="Times New Roman"/>
                <w:color w:val="auto"/>
                <w:sz w:val="21"/>
                <w:szCs w:val="21"/>
                <w:highlight w:val="none"/>
              </w:rPr>
              <w:t>查条件（业绩最低要求）的，得12分；在此基础上近</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年内投标人：</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sz w:val="21"/>
                <w:szCs w:val="21"/>
                <w:highlight w:val="none"/>
              </w:rPr>
              <w:t>承揽高速公路桩基无损检测合同累计金额每增加</w:t>
            </w:r>
            <w:r>
              <w:rPr>
                <w:rFonts w:hint="default" w:ascii="Times New Roman" w:hAnsi="Times New Roman" w:cs="Times New Roman"/>
                <w:sz w:val="21"/>
                <w:szCs w:val="21"/>
                <w:highlight w:val="none"/>
                <w:lang w:eastAsia="zh-CN"/>
              </w:rPr>
              <w:t>1</w:t>
            </w:r>
            <w:r>
              <w:rPr>
                <w:rFonts w:hint="default" w:ascii="Times New Roman" w:hAnsi="Times New Roman" w:cs="Times New Roman"/>
                <w:sz w:val="21"/>
                <w:szCs w:val="21"/>
                <w:highlight w:val="none"/>
              </w:rPr>
              <w:t>00万元，加1分，最高加8分。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764" w:type="dxa"/>
            <w:vMerge w:val="continue"/>
            <w:vAlign w:val="center"/>
          </w:tcPr>
          <w:p>
            <w:pPr>
              <w:keepNext w:val="0"/>
              <w:keepLines w:val="0"/>
              <w:pageBreakBefore w:val="0"/>
              <w:widowControl w:val="0"/>
              <w:kinsoku/>
              <w:wordWrap/>
              <w:overflowPunct/>
              <w:topLinePunct w:val="0"/>
              <w:bidi w:val="0"/>
              <w:adjustRightInd/>
              <w:snapToGrid/>
              <w:spacing w:line="276" w:lineRule="auto"/>
              <w:ind w:firstLine="0" w:firstLineChars="0"/>
              <w:jc w:val="center"/>
              <w:rPr>
                <w:rFonts w:hint="default" w:ascii="Times New Roman" w:hAnsi="Times New Roman" w:cs="Times New Roman"/>
                <w:color w:val="auto"/>
                <w:sz w:val="18"/>
                <w:szCs w:val="18"/>
                <w:highlight w:val="none"/>
              </w:rPr>
            </w:pPr>
          </w:p>
        </w:tc>
        <w:tc>
          <w:tcPr>
            <w:tcW w:w="806" w:type="dxa"/>
            <w:vMerge w:val="continue"/>
            <w:vAlign w:val="center"/>
          </w:tcPr>
          <w:p>
            <w:pPr>
              <w:keepNext w:val="0"/>
              <w:keepLines w:val="0"/>
              <w:pageBreakBefore w:val="0"/>
              <w:widowControl w:val="0"/>
              <w:kinsoku/>
              <w:wordWrap/>
              <w:overflowPunct/>
              <w:topLinePunct w:val="0"/>
              <w:bidi w:val="0"/>
              <w:adjustRightInd/>
              <w:snapToGrid/>
              <w:spacing w:line="276" w:lineRule="auto"/>
              <w:ind w:firstLine="0" w:firstLineChars="0"/>
              <w:jc w:val="center"/>
              <w:rPr>
                <w:rFonts w:hint="default" w:ascii="Times New Roman" w:hAnsi="Times New Roman" w:cs="Times New Roman"/>
                <w:color w:val="auto"/>
                <w:sz w:val="18"/>
                <w:szCs w:val="18"/>
                <w:highlight w:val="none"/>
              </w:rPr>
            </w:pPr>
          </w:p>
        </w:tc>
        <w:tc>
          <w:tcPr>
            <w:tcW w:w="1957" w:type="dxa"/>
            <w:vAlign w:val="center"/>
          </w:tcPr>
          <w:p>
            <w:pPr>
              <w:keepNext w:val="0"/>
              <w:keepLines w:val="0"/>
              <w:pageBreakBefore w:val="0"/>
              <w:widowControl w:val="0"/>
              <w:kinsoku/>
              <w:wordWrap/>
              <w:overflowPunct/>
              <w:topLinePunct w:val="0"/>
              <w:bidi w:val="0"/>
              <w:snapToGrid/>
              <w:spacing w:line="276" w:lineRule="auto"/>
              <w:ind w:firstLine="0" w:firstLineChars="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履约信誉</w:t>
            </w:r>
          </w:p>
        </w:tc>
        <w:tc>
          <w:tcPr>
            <w:tcW w:w="935" w:type="dxa"/>
            <w:vAlign w:val="center"/>
          </w:tcPr>
          <w:p>
            <w:pPr>
              <w:keepNext w:val="0"/>
              <w:keepLines w:val="0"/>
              <w:pageBreakBefore w:val="0"/>
              <w:widowControl w:val="0"/>
              <w:kinsoku/>
              <w:wordWrap/>
              <w:overflowPunct/>
              <w:topLinePunct w:val="0"/>
              <w:bidi w:val="0"/>
              <w:adjustRightInd/>
              <w:snapToGrid/>
              <w:spacing w:line="276" w:lineRule="auto"/>
              <w:ind w:firstLine="0" w:firstLineChars="0"/>
              <w:jc w:val="center"/>
              <w:rPr>
                <w:rFonts w:hint="default" w:ascii="Times New Roman" w:hAnsi="Times New Roman" w:cs="Times New Roman"/>
                <w:color w:val="auto"/>
                <w:sz w:val="21"/>
                <w:szCs w:val="21"/>
                <w:highlight w:val="none"/>
                <w:u w:val="single"/>
              </w:rPr>
            </w:pPr>
            <w:r>
              <w:rPr>
                <w:rFonts w:hint="default" w:ascii="Times New Roman" w:hAnsi="Times New Roman" w:cs="Times New Roman"/>
                <w:color w:val="auto"/>
                <w:sz w:val="21"/>
                <w:szCs w:val="21"/>
                <w:highlight w:val="none"/>
                <w:u w:val="single"/>
              </w:rPr>
              <w:t>5</w:t>
            </w:r>
            <w:r>
              <w:rPr>
                <w:rFonts w:hint="default" w:ascii="Times New Roman" w:hAnsi="Times New Roman" w:cs="Times New Roman"/>
                <w:color w:val="auto"/>
                <w:sz w:val="21"/>
                <w:szCs w:val="21"/>
                <w:highlight w:val="none"/>
              </w:rPr>
              <w:t>分</w:t>
            </w:r>
          </w:p>
        </w:tc>
        <w:tc>
          <w:tcPr>
            <w:tcW w:w="4060"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若没出现下述情形得满分（</w:t>
            </w:r>
            <w:r>
              <w:rPr>
                <w:rFonts w:hint="default" w:ascii="Times New Roman" w:hAnsi="Times New Roman" w:cs="Times New Roman"/>
                <w:color w:val="auto"/>
                <w:sz w:val="21"/>
                <w:szCs w:val="21"/>
                <w:highlight w:val="none"/>
                <w:u w:val="single"/>
              </w:rPr>
              <w:t xml:space="preserve"> 5 </w:t>
            </w:r>
            <w:r>
              <w:rPr>
                <w:rFonts w:hint="default" w:ascii="Times New Roman" w:hAnsi="Times New Roman" w:cs="Times New Roman"/>
                <w:color w:val="auto"/>
                <w:sz w:val="21"/>
                <w:szCs w:val="21"/>
                <w:highlight w:val="none"/>
              </w:rPr>
              <w:t>分）；</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自</w:t>
            </w:r>
            <w:r>
              <w:rPr>
                <w:rFonts w:hint="default" w:ascii="Times New Roman" w:hAnsi="Times New Roman" w:cs="Times New Roman"/>
                <w:color w:val="auto"/>
                <w:sz w:val="21"/>
                <w:szCs w:val="21"/>
                <w:highlight w:val="none"/>
                <w:u w:val="single"/>
              </w:rPr>
              <w:t>20</w:t>
            </w:r>
            <w:r>
              <w:rPr>
                <w:rFonts w:hint="eastAsia" w:cs="Times New Roman"/>
                <w:color w:val="auto"/>
                <w:sz w:val="21"/>
                <w:szCs w:val="21"/>
                <w:highlight w:val="none"/>
                <w:u w:val="single"/>
                <w:lang w:val="en-US" w:eastAsia="zh-CN"/>
              </w:rPr>
              <w:t>22</w:t>
            </w:r>
            <w:r>
              <w:rPr>
                <w:rFonts w:hint="default" w:ascii="Times New Roman" w:hAnsi="Times New Roman" w:cs="Times New Roman"/>
                <w:color w:val="auto"/>
                <w:sz w:val="21"/>
                <w:szCs w:val="21"/>
                <w:highlight w:val="none"/>
              </w:rPr>
              <w:t>年</w:t>
            </w:r>
            <w:r>
              <w:rPr>
                <w:rFonts w:hint="default" w:ascii="Times New Roman" w:hAnsi="Times New Roman" w:cs="Times New Roman"/>
                <w:color w:val="auto"/>
                <w:sz w:val="21"/>
                <w:szCs w:val="21"/>
                <w:highlight w:val="none"/>
                <w:u w:val="single"/>
                <w:lang w:val="en-US" w:eastAsia="zh-CN"/>
              </w:rPr>
              <w:t>1</w:t>
            </w:r>
            <w:r>
              <w:rPr>
                <w:rFonts w:hint="default" w:ascii="Times New Roman" w:hAnsi="Times New Roman" w:cs="Times New Roman"/>
                <w:color w:val="auto"/>
                <w:sz w:val="21"/>
                <w:szCs w:val="21"/>
                <w:highlight w:val="none"/>
              </w:rPr>
              <w:t>月</w:t>
            </w:r>
            <w:r>
              <w:rPr>
                <w:rFonts w:hint="default" w:ascii="Times New Roman" w:hAnsi="Times New Roman" w:cs="Times New Roman"/>
                <w:color w:val="auto"/>
                <w:sz w:val="21"/>
                <w:szCs w:val="21"/>
                <w:highlight w:val="none"/>
                <w:u w:val="single"/>
              </w:rPr>
              <w:t>1</w:t>
            </w:r>
            <w:r>
              <w:rPr>
                <w:rFonts w:hint="default" w:ascii="Times New Roman" w:hAnsi="Times New Roman" w:cs="Times New Roman"/>
                <w:color w:val="auto"/>
                <w:sz w:val="21"/>
                <w:szCs w:val="21"/>
                <w:highlight w:val="none"/>
              </w:rPr>
              <w:t>日至投标文件递交截止日（投标文件递交截止日前1年内），因公路工程履约或招标投标问题等原因被：</w:t>
            </w:r>
          </w:p>
          <w:p>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（1）交通运输部通报批评的，扣5分/次；</w:t>
            </w:r>
          </w:p>
          <w:p>
            <w:pPr>
              <w:keepNext w:val="0"/>
              <w:keepLines w:val="0"/>
              <w:pageBreakBefore w:val="0"/>
              <w:widowControl w:val="0"/>
              <w:kinsoku/>
              <w:wordWrap/>
              <w:overflowPunct/>
              <w:topLinePunct w:val="0"/>
              <w:bidi w:val="0"/>
              <w:adjustRightInd/>
              <w:snapToGrid/>
              <w:spacing w:line="360" w:lineRule="auto"/>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（2）广东省交通运输厅通报批评的，扣4分/次；</w:t>
            </w:r>
          </w:p>
          <w:p>
            <w:pPr>
              <w:keepNext w:val="0"/>
              <w:keepLines w:val="0"/>
              <w:pageBreakBefore w:val="0"/>
              <w:widowControl w:val="0"/>
              <w:kinsoku/>
              <w:wordWrap/>
              <w:overflowPunct/>
              <w:topLinePunct w:val="0"/>
              <w:bidi w:val="0"/>
              <w:adjustRightInd/>
              <w:snapToGrid/>
              <w:spacing w:line="240" w:lineRule="auto"/>
              <w:ind w:firstLine="0" w:firstLineChars="0"/>
              <w:jc w:val="both"/>
              <w:rPr>
                <w:rFonts w:hint="default" w:ascii="Times New Roman" w:hAnsi="Times New Roman" w:cs="Times New Roman"/>
                <w:color w:val="auto"/>
                <w:sz w:val="18"/>
                <w:szCs w:val="18"/>
                <w:highlight w:val="none"/>
              </w:rPr>
            </w:pPr>
            <w:r>
              <w:rPr>
                <w:rFonts w:hint="default" w:ascii="Times New Roman" w:hAnsi="Times New Roman" w:cs="Times New Roman"/>
                <w:color w:val="auto"/>
                <w:sz w:val="18"/>
                <w:szCs w:val="18"/>
                <w:highlight w:val="none"/>
              </w:rPr>
              <w:t>注：同一事项同时被多个部门通报批评只按最高的扣分计算1次，如果扣完本项分值，可以从总分中扣。</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textAlignment w:val="auto"/>
              <w:rPr>
                <w:rFonts w:hint="default" w:ascii="Times New Roman" w:hAnsi="Times New Roman" w:cs="Times New Roman"/>
                <w:color w:val="auto"/>
                <w:sz w:val="21"/>
                <w:szCs w:val="21"/>
                <w:highlight w:val="none"/>
              </w:rPr>
            </w:pPr>
          </w:p>
        </w:tc>
      </w:tr>
    </w:tbl>
    <w:p>
      <w:pPr>
        <w:jc w:val="right"/>
        <w:rPr>
          <w:rFonts w:hint="eastAsia"/>
          <w:b/>
          <w:color w:val="auto"/>
          <w:highlight w:val="none"/>
        </w:rPr>
      </w:pPr>
    </w:p>
    <w:p>
      <w:pPr>
        <w:pStyle w:val="2"/>
        <w:ind w:left="480"/>
        <w:rPr>
          <w:rFonts w:hint="eastAsia"/>
          <w:color w:val="auto"/>
          <w:highlight w:val="none"/>
        </w:rPr>
      </w:pPr>
    </w:p>
    <w:p>
      <w:pPr>
        <w:pStyle w:val="2"/>
        <w:ind w:left="480"/>
        <w:rPr>
          <w:rFonts w:hint="eastAsia"/>
          <w:color w:val="auto"/>
          <w:highlight w:val="none"/>
        </w:rPr>
      </w:pPr>
    </w:p>
    <w:p>
      <w:pPr>
        <w:pStyle w:val="2"/>
        <w:ind w:left="480"/>
        <w:rPr>
          <w:rFonts w:hint="eastAsia"/>
          <w:color w:val="auto"/>
          <w:highlight w:val="none"/>
        </w:rPr>
      </w:pPr>
    </w:p>
    <w:p>
      <w:pPr>
        <w:pStyle w:val="2"/>
        <w:ind w:left="48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7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522" w:type="dxa"/>
            <w:gridSpan w:val="2"/>
            <w:vAlign w:val="center"/>
          </w:tcPr>
          <w:p>
            <w:pPr>
              <w:spacing w:line="276" w:lineRule="auto"/>
              <w:ind w:left="0" w:leftChars="0" w:firstLine="0" w:firstLineChars="0"/>
              <w:rPr>
                <w:rFonts w:hint="eastAsia" w:ascii="宋体" w:hAnsi="宋体"/>
                <w:color w:val="auto"/>
                <w:szCs w:val="21"/>
                <w:highlight w:val="none"/>
              </w:rPr>
            </w:pPr>
            <w:r>
              <w:rPr>
                <w:rFonts w:ascii="宋体" w:hAnsi="宋体"/>
                <w:b/>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89" w:type="dxa"/>
            <w:vAlign w:val="center"/>
          </w:tcPr>
          <w:p>
            <w:pPr>
              <w:spacing w:line="276" w:lineRule="auto"/>
              <w:ind w:left="0" w:leftChars="0" w:firstLine="0" w:firstLineChars="0"/>
              <w:jc w:val="center"/>
              <w:rPr>
                <w:rFonts w:hint="eastAsia" w:ascii="宋体" w:hAnsi="宋体"/>
                <w:color w:val="auto"/>
                <w:szCs w:val="21"/>
                <w:highlight w:val="none"/>
              </w:rPr>
            </w:pPr>
            <w:r>
              <w:rPr>
                <w:rFonts w:hint="eastAsia" w:ascii="宋体" w:hAnsi="宋体"/>
                <w:b/>
                <w:color w:val="auto"/>
                <w:szCs w:val="21"/>
                <w:highlight w:val="none"/>
              </w:rPr>
              <w:t>条款号</w:t>
            </w:r>
          </w:p>
        </w:tc>
        <w:tc>
          <w:tcPr>
            <w:tcW w:w="7633" w:type="dxa"/>
            <w:vAlign w:val="center"/>
          </w:tcPr>
          <w:p>
            <w:pPr>
              <w:spacing w:line="276" w:lineRule="auto"/>
              <w:ind w:left="0" w:leftChars="0" w:firstLine="0" w:firstLineChars="0"/>
              <w:jc w:val="center"/>
              <w:rPr>
                <w:rFonts w:hint="eastAsia" w:ascii="宋体" w:hAnsi="宋体"/>
                <w:color w:val="auto"/>
                <w:szCs w:val="21"/>
                <w:highlight w:val="none"/>
              </w:rPr>
            </w:pPr>
            <w:r>
              <w:rPr>
                <w:rFonts w:hint="eastAsia" w:ascii="宋体" w:hAnsi="宋体"/>
                <w:b/>
                <w:color w:val="auto"/>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4" w:hRule="atLeast"/>
        </w:trPr>
        <w:tc>
          <w:tcPr>
            <w:tcW w:w="889" w:type="dxa"/>
            <w:vAlign w:val="center"/>
          </w:tcPr>
          <w:p>
            <w:pPr>
              <w:spacing w:line="276" w:lineRule="auto"/>
              <w:ind w:left="0" w:leftChars="0"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7633" w:type="dxa"/>
            <w:vAlign w:val="center"/>
          </w:tcPr>
          <w:p>
            <w:pPr>
              <w:spacing w:line="380" w:lineRule="exact"/>
              <w:rPr>
                <w:highlight w:val="none"/>
              </w:rPr>
            </w:pPr>
            <w:r>
              <w:rPr>
                <w:highlight w:val="none"/>
              </w:rPr>
              <w:t>将评标办法范本原文第1条</w:t>
            </w:r>
            <w:r>
              <w:rPr>
                <w:rFonts w:hint="eastAsia"/>
                <w:highlight w:val="none"/>
              </w:rPr>
              <w:t>“评标方法”改为“评标方法、组织及工作程序”，</w:t>
            </w:r>
            <w:r>
              <w:rPr>
                <w:highlight w:val="none"/>
              </w:rPr>
              <w:t>并且原文内容修改如下：</w:t>
            </w:r>
          </w:p>
          <w:p>
            <w:pPr>
              <w:spacing w:line="380" w:lineRule="exact"/>
              <w:rPr>
                <w:highlight w:val="none"/>
              </w:rPr>
            </w:pPr>
            <w:r>
              <w:rPr>
                <w:highlight w:val="none"/>
              </w:rPr>
              <w:t>1.1评标方法</w:t>
            </w:r>
          </w:p>
          <w:p>
            <w:pPr>
              <w:spacing w:line="380" w:lineRule="exact"/>
              <w:rPr>
                <w:highlight w:val="none"/>
              </w:rPr>
            </w:pPr>
            <w:r>
              <w:rPr>
                <w:highlight w:val="none"/>
              </w:rPr>
              <w:t>本次评标采用综合评估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w:t>
            </w:r>
          </w:p>
          <w:p>
            <w:pPr>
              <w:spacing w:line="380" w:lineRule="exact"/>
              <w:rPr>
                <w:highlight w:val="none"/>
              </w:rPr>
            </w:pPr>
            <w:r>
              <w:rPr>
                <w:highlight w:val="none"/>
              </w:rPr>
              <w:t>1.2评标组织</w:t>
            </w:r>
          </w:p>
          <w:p>
            <w:pPr>
              <w:spacing w:line="380" w:lineRule="exact"/>
              <w:rPr>
                <w:highlight w:val="none"/>
              </w:rPr>
            </w:pPr>
            <w:r>
              <w:rPr>
                <w:highlight w:val="none"/>
              </w:rPr>
              <w:t>1.2.1协助工作组</w:t>
            </w:r>
          </w:p>
          <w:p>
            <w:pPr>
              <w:spacing w:line="380" w:lineRule="exact"/>
              <w:rPr>
                <w:highlight w:val="none"/>
              </w:rPr>
            </w:pPr>
            <w:r>
              <w:rPr>
                <w:highlight w:val="none"/>
              </w:rPr>
              <w:t>招标人可在评标工作开始前成立协助工作组，选派熟悉招标工作、政治素质高的人员组成，协助评标委员会工作。协助工作组人员的具体数量由招标人视评标工作量确定。</w:t>
            </w:r>
          </w:p>
          <w:p>
            <w:pPr>
              <w:spacing w:line="380" w:lineRule="exact"/>
              <w:rPr>
                <w:highlight w:val="none"/>
              </w:rPr>
            </w:pPr>
            <w:r>
              <w:rPr>
                <w:highlight w:val="none"/>
              </w:rPr>
              <w:t>招标人可以协助评标委员会开展下列工作并提供相关信息：</w:t>
            </w:r>
          </w:p>
          <w:p>
            <w:pPr>
              <w:spacing w:line="380" w:lineRule="exact"/>
              <w:rPr>
                <w:highlight w:val="none"/>
              </w:rPr>
            </w:pPr>
            <w:r>
              <w:rPr>
                <w:highlight w:val="none"/>
              </w:rPr>
              <w:t>（1）根据招标文件，编制评标使用的相应表格；</w:t>
            </w:r>
          </w:p>
          <w:p>
            <w:pPr>
              <w:spacing w:line="380" w:lineRule="exact"/>
              <w:rPr>
                <w:highlight w:val="none"/>
              </w:rPr>
            </w:pPr>
            <w:r>
              <w:rPr>
                <w:highlight w:val="none"/>
              </w:rPr>
              <w:t>（2）对投标报价进行算术性校核（如采用固化工程量清单，本步骤省略）；</w:t>
            </w:r>
          </w:p>
          <w:p>
            <w:pPr>
              <w:spacing w:line="380" w:lineRule="exact"/>
              <w:rPr>
                <w:highlight w:val="none"/>
              </w:rPr>
            </w:pPr>
            <w:r>
              <w:rPr>
                <w:highlight w:val="none"/>
              </w:rPr>
              <w:t>（3）以评标标准和方法为依据，列出投标文件相对于招标文件的所有偏差，并进行归类汇总；</w:t>
            </w:r>
          </w:p>
          <w:p>
            <w:pPr>
              <w:spacing w:line="380" w:lineRule="exact"/>
              <w:rPr>
                <w:highlight w:val="none"/>
              </w:rPr>
            </w:pPr>
            <w:r>
              <w:rPr>
                <w:highlight w:val="none"/>
              </w:rPr>
              <w:t>（4）对投标人的资质、业绩、</w:t>
            </w:r>
            <w:r>
              <w:rPr>
                <w:rFonts w:hint="eastAsia"/>
                <w:highlight w:val="none"/>
                <w:lang w:val="en-US" w:eastAsia="zh-CN"/>
              </w:rPr>
              <w:t>主要人员、</w:t>
            </w:r>
            <w:r>
              <w:rPr>
                <w:highlight w:val="none"/>
              </w:rPr>
              <w:t>信用等级进行核实。</w:t>
            </w:r>
          </w:p>
          <w:p>
            <w:pPr>
              <w:spacing w:line="380" w:lineRule="exact"/>
              <w:rPr>
                <w:highlight w:val="none"/>
              </w:rPr>
            </w:pPr>
            <w:r>
              <w:rPr>
                <w:highlight w:val="none"/>
              </w:rPr>
              <w:t>招标人不得对投标文件作出任何评价，不得故意遗漏或者片面摘录，不得在评标委员会对所有偏差定性之前透露存有偏差的投标人名称。</w:t>
            </w:r>
          </w:p>
          <w:p>
            <w:pPr>
              <w:spacing w:line="380" w:lineRule="exact"/>
              <w:rPr>
                <w:highlight w:val="none"/>
              </w:rPr>
            </w:pPr>
            <w:r>
              <w:rPr>
                <w:highlight w:val="none"/>
              </w:rPr>
              <w:t>1.2.2评标委员会</w:t>
            </w:r>
          </w:p>
          <w:p>
            <w:pPr>
              <w:spacing w:line="380" w:lineRule="exact"/>
              <w:rPr>
                <w:highlight w:val="none"/>
              </w:rPr>
            </w:pPr>
            <w:r>
              <w:rPr>
                <w:highlight w:val="none"/>
              </w:rPr>
              <w:t>评标委员会的组建按投标人须知第6.1.1项执行。评标委员会的主要工作内容包括：</w:t>
            </w:r>
          </w:p>
          <w:p>
            <w:pPr>
              <w:spacing w:line="380" w:lineRule="exact"/>
              <w:rPr>
                <w:highlight w:val="none"/>
              </w:rPr>
            </w:pPr>
            <w:r>
              <w:rPr>
                <w:highlight w:val="none"/>
              </w:rPr>
              <w:t>（1）评标委员会开始评标工作之前，首先听取招标人、协助工作组关于工程情况和辅助工作的说明，并认真研读招标文件，获取评标所需的重要信息和数据；</w:t>
            </w:r>
          </w:p>
          <w:p>
            <w:pPr>
              <w:spacing w:line="380" w:lineRule="exact"/>
              <w:rPr>
                <w:highlight w:val="none"/>
              </w:rPr>
            </w:pPr>
            <w:r>
              <w:rPr>
                <w:highlight w:val="none"/>
              </w:rPr>
              <w:t>（2）对协助工作组提供的评标工作用表和评标内容进行核查。</w:t>
            </w:r>
          </w:p>
          <w:p>
            <w:pPr>
              <w:spacing w:line="380" w:lineRule="exact"/>
              <w:rPr>
                <w:rFonts w:ascii="Times New Roman" w:hAnsi="Times New Roman"/>
                <w:szCs w:val="22"/>
                <w:highlight w:val="none"/>
              </w:rPr>
            </w:pPr>
            <w:r>
              <w:rPr>
                <w:rFonts w:ascii="Times New Roman" w:hAnsi="Times New Roman"/>
                <w:szCs w:val="22"/>
                <w:highlight w:val="none"/>
              </w:rPr>
              <w:t>（3）</w:t>
            </w:r>
            <w:r>
              <w:rPr>
                <w:rFonts w:hint="eastAsia" w:ascii="Times New Roman" w:hAnsi="Times New Roman"/>
                <w:szCs w:val="22"/>
                <w:highlight w:val="none"/>
              </w:rPr>
              <w:t>按照以下 1.3款程序进行各项评审工作</w:t>
            </w:r>
            <w:r>
              <w:rPr>
                <w:rFonts w:ascii="Times New Roman" w:hAnsi="Times New Roman"/>
                <w:szCs w:val="22"/>
                <w:highlight w:val="none"/>
              </w:rPr>
              <w:t>。</w:t>
            </w:r>
          </w:p>
          <w:p>
            <w:pPr>
              <w:spacing w:line="380" w:lineRule="exact"/>
              <w:rPr>
                <w:rFonts w:hint="eastAsia" w:ascii="Times New Roman" w:hAnsi="Times New Roman"/>
                <w:szCs w:val="22"/>
                <w:highlight w:val="none"/>
              </w:rPr>
            </w:pPr>
            <w:r>
              <w:rPr>
                <w:rFonts w:hint="eastAsia" w:ascii="Times New Roman" w:hAnsi="Times New Roman"/>
                <w:szCs w:val="22"/>
                <w:highlight w:val="none"/>
              </w:rPr>
              <w:t xml:space="preserve">1.3 评审工作程序 </w:t>
            </w:r>
          </w:p>
          <w:p>
            <w:pPr>
              <w:spacing w:line="380" w:lineRule="exact"/>
              <w:rPr>
                <w:rFonts w:hint="eastAsia" w:ascii="Times New Roman" w:hAnsi="Times New Roman"/>
                <w:szCs w:val="22"/>
                <w:highlight w:val="none"/>
              </w:rPr>
            </w:pPr>
            <w:r>
              <w:rPr>
                <w:rFonts w:hint="eastAsia" w:ascii="Times New Roman" w:hAnsi="Times New Roman"/>
                <w:szCs w:val="22"/>
                <w:highlight w:val="none"/>
              </w:rPr>
              <w:t>评标委员会将按以下程序开展评标工作：</w:t>
            </w:r>
          </w:p>
          <w:p>
            <w:pPr>
              <w:spacing w:line="380" w:lineRule="exact"/>
              <w:rPr>
                <w:rFonts w:hint="eastAsia" w:ascii="Times New Roman" w:hAnsi="Times New Roman"/>
                <w:szCs w:val="22"/>
                <w:highlight w:val="none"/>
              </w:rPr>
            </w:pPr>
            <w:r>
              <w:rPr>
                <w:rFonts w:hint="eastAsia" w:ascii="Times New Roman" w:hAnsi="Times New Roman"/>
                <w:szCs w:val="22"/>
                <w:highlight w:val="none"/>
              </w:rPr>
              <w:t>（一）第一个信封（商务及技术文件）的评审：</w:t>
            </w:r>
          </w:p>
          <w:p>
            <w:pPr>
              <w:spacing w:line="380" w:lineRule="exact"/>
              <w:rPr>
                <w:rFonts w:hint="eastAsia" w:ascii="Times New Roman" w:hAnsi="Times New Roman"/>
                <w:szCs w:val="22"/>
                <w:highlight w:val="none"/>
              </w:rPr>
            </w:pPr>
            <w:r>
              <w:rPr>
                <w:rFonts w:hint="eastAsia" w:ascii="Times New Roman" w:hAnsi="Times New Roman"/>
                <w:szCs w:val="22"/>
                <w:highlight w:val="none"/>
              </w:rPr>
              <w:t>1、初步评审，包括对投标文件进行形式评审与响应性评审、资格评审；</w:t>
            </w:r>
          </w:p>
          <w:p>
            <w:pPr>
              <w:spacing w:line="380" w:lineRule="exact"/>
              <w:rPr>
                <w:rFonts w:hint="eastAsia" w:ascii="Times New Roman" w:hAnsi="Times New Roman"/>
                <w:szCs w:val="22"/>
                <w:highlight w:val="none"/>
              </w:rPr>
            </w:pPr>
            <w:r>
              <w:rPr>
                <w:rFonts w:hint="eastAsia" w:ascii="Times New Roman" w:hAnsi="Times New Roman"/>
                <w:szCs w:val="22"/>
                <w:highlight w:val="none"/>
              </w:rPr>
              <w:t>2、详细评审：评标委员会首先对通过初步评审的投标文件第一个信封（商务及技术文件）进行详细评审，对投标人的</w:t>
            </w:r>
            <w:r>
              <w:rPr>
                <w:rFonts w:hint="eastAsia" w:ascii="Times New Roman" w:hAnsi="Times New Roman"/>
                <w:szCs w:val="22"/>
                <w:highlight w:val="none"/>
                <w:lang w:val="en-US" w:eastAsia="zh-CN"/>
              </w:rPr>
              <w:t>技术建议书</w:t>
            </w:r>
            <w:r>
              <w:rPr>
                <w:rFonts w:hint="eastAsia" w:ascii="Times New Roman" w:hAnsi="Times New Roman"/>
                <w:szCs w:val="22"/>
                <w:highlight w:val="none"/>
              </w:rPr>
              <w:t>、其他部分等因素分别评审打分；</w:t>
            </w:r>
          </w:p>
          <w:p>
            <w:pPr>
              <w:spacing w:line="380" w:lineRule="exact"/>
              <w:rPr>
                <w:rFonts w:hint="eastAsia" w:ascii="Times New Roman" w:hAnsi="Times New Roman"/>
                <w:szCs w:val="22"/>
                <w:highlight w:val="none"/>
              </w:rPr>
            </w:pPr>
            <w:r>
              <w:rPr>
                <w:rFonts w:hint="eastAsia" w:ascii="Times New Roman" w:hAnsi="Times New Roman"/>
                <w:szCs w:val="22"/>
                <w:highlight w:val="none"/>
              </w:rPr>
              <w:t>3、澄清（如果需要）。</w:t>
            </w:r>
          </w:p>
          <w:p>
            <w:pPr>
              <w:spacing w:line="380" w:lineRule="exact"/>
              <w:ind w:left="0" w:leftChars="0" w:firstLine="480" w:firstLineChars="200"/>
              <w:rPr>
                <w:rFonts w:hint="eastAsia" w:ascii="Times New Roman" w:hAnsi="Times New Roman"/>
                <w:szCs w:val="22"/>
                <w:highlight w:val="none"/>
              </w:rPr>
            </w:pPr>
            <w:r>
              <w:rPr>
                <w:rFonts w:hint="eastAsia" w:ascii="Times New Roman" w:hAnsi="Times New Roman"/>
                <w:szCs w:val="22"/>
                <w:highlight w:val="none"/>
              </w:rPr>
              <w:t>（二）第二个信封（报价文件）的评审：</w:t>
            </w:r>
          </w:p>
          <w:p>
            <w:pPr>
              <w:spacing w:line="380" w:lineRule="exact"/>
              <w:rPr>
                <w:rFonts w:hint="eastAsia" w:ascii="Times New Roman" w:hAnsi="Times New Roman"/>
                <w:szCs w:val="22"/>
                <w:highlight w:val="none"/>
              </w:rPr>
            </w:pPr>
            <w:r>
              <w:rPr>
                <w:rFonts w:hint="eastAsia" w:ascii="Times New Roman" w:hAnsi="Times New Roman"/>
                <w:szCs w:val="22"/>
                <w:highlight w:val="none"/>
              </w:rPr>
              <w:t>1、初步评审：只有投标文件第一个信封通过初步评审的投标人才能继续参加第二信封报价文件的评审。对第一个信封不通过初步评审的投标人的第二信封直接退回，不再开启内层信封。评标委员会对投标人的</w:t>
            </w:r>
            <w:r>
              <w:rPr>
                <w:rFonts w:hint="eastAsia" w:ascii="Times New Roman" w:hAnsi="Times New Roman"/>
                <w:szCs w:val="22"/>
                <w:highlight w:val="none"/>
                <w:lang w:val="en-US" w:eastAsia="zh-CN"/>
              </w:rPr>
              <w:t>技术建议书、</w:t>
            </w:r>
            <w:r>
              <w:rPr>
                <w:rFonts w:hint="eastAsia" w:ascii="Times New Roman" w:hAnsi="Times New Roman"/>
                <w:szCs w:val="22"/>
                <w:highlight w:val="none"/>
              </w:rPr>
              <w:t>其他部分等因素分别评审打分后，在相关人员在场的情况下，进行公开开标，拆启投标人的第二个信封（报价</w:t>
            </w:r>
            <w:r>
              <w:rPr>
                <w:rFonts w:hint="eastAsia" w:ascii="Times New Roman" w:hAnsi="Times New Roman"/>
                <w:szCs w:val="22"/>
                <w:highlight w:val="none"/>
                <w:lang w:val="en-US" w:eastAsia="zh-CN"/>
              </w:rPr>
              <w:t>文件</w:t>
            </w:r>
            <w:r>
              <w:rPr>
                <w:rFonts w:hint="eastAsia" w:ascii="Times New Roman" w:hAnsi="Times New Roman"/>
                <w:szCs w:val="22"/>
                <w:highlight w:val="none"/>
              </w:rPr>
              <w:t>），对其进行初步评审；</w:t>
            </w:r>
          </w:p>
          <w:p>
            <w:pPr>
              <w:spacing w:line="380" w:lineRule="exact"/>
              <w:rPr>
                <w:rFonts w:hint="eastAsia" w:ascii="Times New Roman" w:hAnsi="Times New Roman"/>
                <w:szCs w:val="22"/>
                <w:highlight w:val="none"/>
              </w:rPr>
            </w:pPr>
            <w:r>
              <w:rPr>
                <w:rFonts w:hint="eastAsia" w:ascii="Times New Roman" w:hAnsi="Times New Roman"/>
                <w:szCs w:val="22"/>
                <w:highlight w:val="none"/>
              </w:rPr>
              <w:t>2、计算评标基准价及评标价得分；</w:t>
            </w:r>
          </w:p>
          <w:p>
            <w:pPr>
              <w:spacing w:line="380" w:lineRule="exact"/>
              <w:rPr>
                <w:rFonts w:hint="eastAsia" w:ascii="Times New Roman" w:hAnsi="Times New Roman"/>
                <w:szCs w:val="22"/>
                <w:highlight w:val="none"/>
              </w:rPr>
            </w:pPr>
            <w:r>
              <w:rPr>
                <w:rFonts w:hint="eastAsia" w:ascii="Times New Roman" w:hAnsi="Times New Roman"/>
                <w:szCs w:val="22"/>
                <w:highlight w:val="none"/>
              </w:rPr>
              <w:t>3、澄清（如果需要）。</w:t>
            </w:r>
          </w:p>
          <w:p>
            <w:pPr>
              <w:spacing w:line="380" w:lineRule="exact"/>
              <w:ind w:left="0" w:leftChars="0" w:firstLine="480" w:firstLineChars="200"/>
              <w:rPr>
                <w:rFonts w:hint="eastAsia" w:ascii="Times New Roman" w:hAnsi="Times New Roman"/>
                <w:szCs w:val="22"/>
                <w:highlight w:val="none"/>
              </w:rPr>
            </w:pPr>
            <w:r>
              <w:rPr>
                <w:rFonts w:hint="eastAsia" w:ascii="Times New Roman" w:hAnsi="Times New Roman"/>
                <w:szCs w:val="22"/>
                <w:highlight w:val="none"/>
              </w:rPr>
              <w:t>（三）综合评分，提出评标意见。</w:t>
            </w:r>
          </w:p>
          <w:p>
            <w:pPr>
              <w:spacing w:line="380" w:lineRule="exact"/>
              <w:rPr>
                <w:rFonts w:hint="eastAsia" w:ascii="Times New Roman" w:hAnsi="Times New Roman"/>
                <w:szCs w:val="22"/>
                <w:highlight w:val="none"/>
              </w:rPr>
            </w:pPr>
            <w:r>
              <w:rPr>
                <w:rFonts w:hint="eastAsia" w:ascii="Times New Roman" w:hAnsi="Times New Roman"/>
                <w:szCs w:val="22"/>
                <w:highlight w:val="none"/>
              </w:rPr>
              <w:t>（四）根据《中华人民共和国招标投标法实施条例》第三十九条、第四十条、第四十一条的有关规定，对在评标过程中发现的投标人与投标人之间、投标人与招标人之间存在的串通投标的情形进行评审和认定。</w:t>
            </w:r>
          </w:p>
          <w:p>
            <w:pPr>
              <w:spacing w:line="380" w:lineRule="exact"/>
              <w:rPr>
                <w:rFonts w:hint="eastAsia"/>
                <w:highlight w:val="none"/>
              </w:rPr>
            </w:pPr>
            <w:r>
              <w:rPr>
                <w:rFonts w:hint="eastAsia" w:ascii="Times New Roman" w:hAnsi="Times New Roman"/>
                <w:szCs w:val="22"/>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89" w:type="dxa"/>
            <w:vAlign w:val="center"/>
          </w:tcPr>
          <w:p>
            <w:pPr>
              <w:spacing w:line="276" w:lineRule="auto"/>
              <w:ind w:left="0" w:leftChars="0"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3.2.3</w:t>
            </w:r>
          </w:p>
        </w:tc>
        <w:tc>
          <w:tcPr>
            <w:tcW w:w="7633" w:type="dxa"/>
            <w:vAlign w:val="center"/>
          </w:tcPr>
          <w:p>
            <w:pPr>
              <w:spacing w:line="380" w:lineRule="exact"/>
              <w:rPr>
                <w:color w:val="auto"/>
                <w:szCs w:val="21"/>
                <w:highlight w:val="none"/>
              </w:rPr>
            </w:pPr>
            <w:r>
              <w:rPr>
                <w:color w:val="auto"/>
                <w:szCs w:val="21"/>
                <w:highlight w:val="none"/>
              </w:rPr>
              <w:t>将评标办法范本原文第3.2.3款细化如下：</w:t>
            </w:r>
          </w:p>
          <w:p>
            <w:pPr>
              <w:spacing w:line="380" w:lineRule="exact"/>
              <w:rPr>
                <w:color w:val="auto"/>
                <w:szCs w:val="21"/>
                <w:highlight w:val="none"/>
              </w:rPr>
            </w:pPr>
            <w:r>
              <w:rPr>
                <w:color w:val="auto"/>
                <w:szCs w:val="21"/>
                <w:highlight w:val="none"/>
              </w:rPr>
              <w:t>投标人的商务和技术得分=A+B+D。</w:t>
            </w:r>
          </w:p>
          <w:p>
            <w:pPr>
              <w:spacing w:line="380" w:lineRule="exact"/>
              <w:rPr>
                <w:color w:val="auto"/>
                <w:szCs w:val="21"/>
                <w:highlight w:val="none"/>
              </w:rPr>
            </w:pPr>
            <w:r>
              <w:rPr>
                <w:color w:val="auto"/>
                <w:szCs w:val="21"/>
                <w:highlight w:val="none"/>
              </w:rPr>
              <w:t>各评分因素（评标价</w:t>
            </w:r>
            <w:r>
              <w:rPr>
                <w:rFonts w:hint="eastAsia"/>
                <w:color w:val="auto"/>
                <w:szCs w:val="21"/>
                <w:highlight w:val="none"/>
              </w:rPr>
              <w:t>、履约信誉</w:t>
            </w:r>
            <w:r>
              <w:rPr>
                <w:color w:val="auto"/>
                <w:szCs w:val="21"/>
                <w:highlight w:val="none"/>
              </w:rPr>
              <w:t>评分项除外）及其各评审因素细分项的得分一般不得低于其权重分值的60%，评分低于上述权重分值百分比的，评标委员会成员应当在评标报告中作出说明。</w:t>
            </w:r>
          </w:p>
          <w:p>
            <w:pPr>
              <w:spacing w:line="380" w:lineRule="exact"/>
              <w:rPr>
                <w:color w:val="auto"/>
                <w:szCs w:val="21"/>
                <w:highlight w:val="none"/>
              </w:rPr>
            </w:pPr>
            <w:r>
              <w:rPr>
                <w:rFonts w:hint="eastAsia"/>
                <w:color w:val="auto"/>
                <w:szCs w:val="21"/>
                <w:highlight w:val="none"/>
              </w:rPr>
              <w:t>计算投标人的技术得分（1）当评标委员会成员为 5 人时，得分为评标委员会各成员对各评审因素的评分合计后的算术平均值，四舍五入保留小数点后三位；（2）当评标委员会成员为 7 人时，以评标委员会各成员对该投标人的技术建议书对各评审因素细分项中取消一个最高、一个最低分后计算算术平均值的和为投标人的最终技术得分，平均值计算四舍五入保留小数点后三位。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 w:hRule="atLeast"/>
        </w:trPr>
        <w:tc>
          <w:tcPr>
            <w:tcW w:w="889" w:type="dxa"/>
            <w:vAlign w:val="center"/>
          </w:tcPr>
          <w:p>
            <w:pPr>
              <w:spacing w:line="276" w:lineRule="auto"/>
              <w:ind w:left="0" w:leftChars="0"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3.9</w:t>
            </w:r>
          </w:p>
        </w:tc>
        <w:tc>
          <w:tcPr>
            <w:tcW w:w="7633" w:type="dxa"/>
            <w:vAlign w:val="center"/>
          </w:tcPr>
          <w:p>
            <w:pPr>
              <w:spacing w:line="380" w:lineRule="exact"/>
              <w:rPr>
                <w:rFonts w:hint="eastAsia"/>
                <w:color w:val="auto"/>
                <w:szCs w:val="21"/>
                <w:highlight w:val="none"/>
                <w:lang w:val="zh-CN"/>
              </w:rPr>
            </w:pPr>
            <w:r>
              <w:rPr>
                <w:rFonts w:hint="eastAsia"/>
                <w:color w:val="auto"/>
                <w:szCs w:val="21"/>
                <w:highlight w:val="none"/>
                <w:lang w:val="zh-CN"/>
              </w:rPr>
              <w:t>评标办法范本原文增加</w:t>
            </w:r>
            <w:r>
              <w:rPr>
                <w:rFonts w:hint="eastAsia"/>
                <w:color w:val="auto"/>
                <w:szCs w:val="21"/>
                <w:highlight w:val="none"/>
                <w:lang w:val="en-US" w:eastAsia="zh-CN"/>
              </w:rPr>
              <w:t>3.9.3-</w:t>
            </w:r>
            <w:r>
              <w:rPr>
                <w:rFonts w:hint="eastAsia"/>
                <w:color w:val="auto"/>
                <w:szCs w:val="21"/>
                <w:highlight w:val="none"/>
                <w:lang w:val="zh-CN"/>
              </w:rPr>
              <w:t>3.9.</w:t>
            </w:r>
            <w:r>
              <w:rPr>
                <w:rFonts w:hint="eastAsia"/>
                <w:color w:val="auto"/>
                <w:szCs w:val="21"/>
                <w:highlight w:val="none"/>
                <w:lang w:val="en-US" w:eastAsia="zh-CN"/>
              </w:rPr>
              <w:t>9</w:t>
            </w:r>
            <w:r>
              <w:rPr>
                <w:rFonts w:hint="eastAsia"/>
                <w:color w:val="auto"/>
                <w:szCs w:val="21"/>
                <w:highlight w:val="none"/>
                <w:lang w:val="zh-CN"/>
              </w:rPr>
              <w:t>款：</w:t>
            </w:r>
          </w:p>
          <w:p>
            <w:pPr>
              <w:spacing w:line="380" w:lineRule="exact"/>
              <w:rPr>
                <w:rFonts w:hint="eastAsia"/>
                <w:color w:val="auto"/>
                <w:szCs w:val="21"/>
                <w:highlight w:val="none"/>
                <w:lang w:val="zh-CN"/>
              </w:rPr>
            </w:pPr>
            <w:r>
              <w:rPr>
                <w:rFonts w:hint="eastAsia"/>
                <w:color w:val="auto"/>
                <w:szCs w:val="21"/>
                <w:highlight w:val="none"/>
                <w:lang w:val="zh-CN"/>
              </w:rPr>
              <w:t>3.9.</w:t>
            </w:r>
            <w:r>
              <w:rPr>
                <w:rFonts w:hint="eastAsia"/>
                <w:color w:val="auto"/>
                <w:szCs w:val="21"/>
                <w:highlight w:val="none"/>
                <w:lang w:val="en-US" w:eastAsia="zh-CN"/>
              </w:rPr>
              <w:t>3</w:t>
            </w:r>
            <w:r>
              <w:rPr>
                <w:rFonts w:hint="eastAsia"/>
                <w:color w:val="auto"/>
                <w:szCs w:val="21"/>
                <w:highlight w:val="none"/>
                <w:lang w:val="zh-CN"/>
              </w:rPr>
              <w:t>按各合同段最高投标限价高低顺序依次选定中标候选人，如果投标人在任一标段被推荐为第一中标候选人，该投标人自动失去在本次招标中其他标段的中标候选人资格；如果出现同一投标人在两个合同段都排名第一，将确定该投标人为最高投标限价较高的合同段的第一中标候选人，同时失去在其他合同段的中标候选人资格，其他合同段的综合排名名次高者自动上升为中标候选人，如此类推。</w:t>
            </w:r>
          </w:p>
          <w:p>
            <w:pPr>
              <w:bidi w:val="0"/>
              <w:rPr>
                <w:highlight w:val="none"/>
              </w:rPr>
            </w:pPr>
            <w:r>
              <w:rPr>
                <w:highlight w:val="none"/>
              </w:rPr>
              <w:t>3.9.</w:t>
            </w:r>
            <w:r>
              <w:rPr>
                <w:rFonts w:hint="eastAsia"/>
                <w:highlight w:val="none"/>
                <w:lang w:val="en-US" w:eastAsia="zh-CN"/>
              </w:rPr>
              <w:t>4</w:t>
            </w:r>
            <w:r>
              <w:rPr>
                <w:highlight w:val="none"/>
              </w:rPr>
              <w:t>通过第一信封商务文件和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r>
              <w:rPr>
                <w:rFonts w:hint="eastAsia"/>
                <w:highlight w:val="none"/>
              </w:rPr>
              <w:t>。</w:t>
            </w:r>
          </w:p>
          <w:p>
            <w:pPr>
              <w:bidi w:val="0"/>
              <w:rPr>
                <w:highlight w:val="none"/>
              </w:rPr>
            </w:pPr>
            <w:r>
              <w:rPr>
                <w:highlight w:val="none"/>
              </w:rPr>
              <w:t>3.9.</w:t>
            </w:r>
            <w:r>
              <w:rPr>
                <w:rFonts w:hint="eastAsia"/>
                <w:highlight w:val="none"/>
                <w:lang w:val="en-US" w:eastAsia="zh-CN"/>
              </w:rPr>
              <w:t>5</w:t>
            </w:r>
            <w:r>
              <w:rPr>
                <w:highlight w:val="none"/>
              </w:rPr>
              <w:t>通过第一信封商务文件和技术文件评审的投标人在3个</w:t>
            </w:r>
            <w:r>
              <w:rPr>
                <w:rFonts w:hint="eastAsia"/>
                <w:highlight w:val="none"/>
              </w:rPr>
              <w:t>及</w:t>
            </w:r>
            <w:r>
              <w:rPr>
                <w:highlight w:val="none"/>
              </w:rPr>
              <w:t>以上的，招标人应当按照招标文件规定的程序进行第二信封报价文件开标；在对报价文件进行评审后，有效投标不足3个的，评标委员会可以否决全部投标</w:t>
            </w:r>
            <w:r>
              <w:rPr>
                <w:rFonts w:hint="eastAsia"/>
                <w:highlight w:val="none"/>
              </w:rPr>
              <w:t>。</w:t>
            </w:r>
            <w:r>
              <w:rPr>
                <w:highlight w:val="none"/>
              </w:rPr>
              <w:t>未否决全部投标的，评标委员会应当在评标报告中阐明理由并推荐中标候选人。</w:t>
            </w:r>
          </w:p>
          <w:p>
            <w:pPr>
              <w:bidi w:val="0"/>
              <w:rPr>
                <w:highlight w:val="none"/>
              </w:rPr>
            </w:pPr>
            <w:r>
              <w:rPr>
                <w:highlight w:val="none"/>
              </w:rPr>
              <w:t>3.9.</w:t>
            </w:r>
            <w:r>
              <w:rPr>
                <w:rFonts w:hint="eastAsia"/>
                <w:highlight w:val="none"/>
                <w:lang w:val="en-US" w:eastAsia="zh-CN"/>
              </w:rPr>
              <w:t>6</w:t>
            </w:r>
            <w:r>
              <w:rPr>
                <w:highlight w:val="none"/>
              </w:rPr>
              <w:t>如果发生无法确定推荐中标候选人的其它意外情况，评标委员会可建议招标人重新招标。</w:t>
            </w:r>
          </w:p>
          <w:p>
            <w:pPr>
              <w:pStyle w:val="2"/>
              <w:ind w:left="0" w:leftChars="0" w:firstLine="480" w:firstLineChars="200"/>
              <w:rPr>
                <w:rFonts w:hint="eastAsia" w:ascii="Times New Roman" w:hAnsi="Times New Roman" w:eastAsia="宋体"/>
                <w:sz w:val="24"/>
                <w:szCs w:val="22"/>
                <w:highlight w:val="none"/>
                <w:lang w:val="zh-CN" w:eastAsia="zh-CN" w:bidi="ar-SA"/>
              </w:rPr>
            </w:pPr>
            <w:r>
              <w:rPr>
                <w:rFonts w:hint="eastAsia" w:ascii="Times New Roman" w:hAnsi="Times New Roman" w:eastAsia="宋体"/>
                <w:sz w:val="24"/>
                <w:szCs w:val="22"/>
                <w:highlight w:val="none"/>
                <w:lang w:val="zh-CN" w:eastAsia="zh-CN" w:bidi="ar-SA"/>
              </w:rPr>
              <w:t>3.9.7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但第一中标候选人的投标保证金不予退还。</w:t>
            </w:r>
          </w:p>
          <w:p>
            <w:pPr>
              <w:pStyle w:val="2"/>
              <w:ind w:left="0" w:leftChars="0" w:firstLine="480" w:firstLineChars="200"/>
              <w:rPr>
                <w:rFonts w:hint="eastAsia" w:ascii="Times New Roman" w:hAnsi="Times New Roman" w:eastAsia="宋体"/>
                <w:sz w:val="24"/>
                <w:szCs w:val="22"/>
                <w:highlight w:val="none"/>
                <w:lang w:val="zh-CN" w:eastAsia="zh-CN" w:bidi="ar-SA"/>
              </w:rPr>
            </w:pPr>
            <w:r>
              <w:rPr>
                <w:rFonts w:hint="eastAsia" w:ascii="Times New Roman" w:hAnsi="Times New Roman" w:eastAsia="宋体"/>
                <w:sz w:val="24"/>
                <w:szCs w:val="22"/>
                <w:highlight w:val="none"/>
                <w:lang w:val="zh-CN" w:eastAsia="zh-CN" w:bidi="ar-SA"/>
              </w:rPr>
              <w:t>3.9.8 如果推荐的中标候选人因公示被投诉并查证属实存在造假行为的，按否决其投标处理，且没收其投标保证金。</w:t>
            </w:r>
          </w:p>
          <w:p>
            <w:pPr>
              <w:pStyle w:val="2"/>
              <w:ind w:left="0" w:leftChars="0" w:firstLine="480" w:firstLineChars="200"/>
              <w:rPr>
                <w:rFonts w:hint="eastAsia" w:ascii="Times New Roman" w:hAnsi="Times New Roman" w:eastAsia="宋体"/>
                <w:sz w:val="24"/>
                <w:szCs w:val="22"/>
                <w:highlight w:val="none"/>
                <w:lang w:val="zh-CN" w:eastAsia="zh-CN" w:bidi="ar-SA"/>
              </w:rPr>
            </w:pPr>
            <w:r>
              <w:rPr>
                <w:rFonts w:hint="eastAsia" w:ascii="Times New Roman" w:hAnsi="Times New Roman" w:eastAsia="宋体"/>
                <w:sz w:val="24"/>
                <w:szCs w:val="22"/>
                <w:highlight w:val="none"/>
                <w:lang w:val="zh-CN" w:eastAsia="zh-CN" w:bidi="ar-SA"/>
              </w:rPr>
              <w:t>如果开标后至中标通知书发出前，中标候选人发生失信行为导致信用等级被广东省交通运输厅直接降为D级，或被广东省交通运输厅（包括转发交通运输部）通报批评而取消投标资格，则取消其中标资格，按否决其投标处理；发生以上情况时，招标人按推荐中标候选人排名顺序依次确定中标人，或重新组织招标</w:t>
            </w:r>
            <w:r>
              <w:rPr>
                <w:rFonts w:hint="eastAsia" w:ascii="Times New Roman" w:hAnsi="Times New Roman"/>
                <w:sz w:val="24"/>
                <w:szCs w:val="22"/>
                <w:highlight w:val="none"/>
                <w:lang w:val="zh-CN" w:eastAsia="zh-CN" w:bidi="ar-SA"/>
              </w:rPr>
              <w:t>。</w:t>
            </w:r>
          </w:p>
          <w:p>
            <w:pPr>
              <w:spacing w:line="380" w:lineRule="exact"/>
              <w:ind w:left="0" w:leftChars="0" w:firstLine="480" w:firstLineChars="200"/>
              <w:rPr>
                <w:rFonts w:hint="eastAsia"/>
                <w:color w:val="auto"/>
                <w:szCs w:val="21"/>
                <w:highlight w:val="none"/>
                <w:lang w:val="zh-CN"/>
              </w:rPr>
            </w:pPr>
            <w:r>
              <w:rPr>
                <w:rFonts w:hint="eastAsia"/>
                <w:color w:val="auto"/>
                <w:szCs w:val="21"/>
                <w:highlight w:val="none"/>
                <w:lang w:val="zh-CN"/>
              </w:rPr>
              <w:t>3.9.</w:t>
            </w:r>
            <w:r>
              <w:rPr>
                <w:rFonts w:hint="eastAsia"/>
                <w:color w:val="auto"/>
                <w:szCs w:val="21"/>
                <w:highlight w:val="none"/>
                <w:lang w:val="en-US" w:eastAsia="zh-CN"/>
              </w:rPr>
              <w:t>9</w:t>
            </w:r>
            <w:r>
              <w:rPr>
                <w:rFonts w:hint="eastAsia"/>
                <w:color w:val="auto"/>
                <w:szCs w:val="21"/>
                <w:highlight w:val="none"/>
                <w:lang w:val="zh-CN"/>
              </w:rPr>
              <w:t xml:space="preserve"> 本招标文件规定的否决投标条款包含在以下条款：</w:t>
            </w:r>
          </w:p>
          <w:p>
            <w:pPr>
              <w:spacing w:line="380" w:lineRule="exact"/>
              <w:rPr>
                <w:rFonts w:hint="eastAsia"/>
                <w:color w:val="auto"/>
                <w:szCs w:val="21"/>
                <w:highlight w:val="none"/>
                <w:lang w:val="zh-CN"/>
              </w:rPr>
            </w:pPr>
            <w:r>
              <w:rPr>
                <w:rFonts w:hint="eastAsia"/>
                <w:color w:val="auto"/>
                <w:szCs w:val="21"/>
                <w:highlight w:val="none"/>
                <w:lang w:val="zh-CN"/>
              </w:rPr>
              <w:t>（1）招标公告第3点 投标人资格要求；</w:t>
            </w:r>
          </w:p>
          <w:p>
            <w:pPr>
              <w:spacing w:line="380" w:lineRule="exact"/>
              <w:rPr>
                <w:rFonts w:hint="eastAsia"/>
                <w:color w:val="auto"/>
                <w:szCs w:val="21"/>
                <w:highlight w:val="none"/>
                <w:lang w:val="zh-CN"/>
              </w:rPr>
            </w:pPr>
            <w:r>
              <w:rPr>
                <w:rFonts w:hint="eastAsia"/>
                <w:color w:val="auto"/>
                <w:szCs w:val="21"/>
                <w:highlight w:val="none"/>
                <w:lang w:val="zh-CN"/>
              </w:rPr>
              <w:t>（2）投标人须知1.4.3款、1.4.4款、1.12款、3.2款、3.3款、3.4款、3.5款、3.6款、10.3款、10.</w:t>
            </w:r>
            <w:r>
              <w:rPr>
                <w:rFonts w:hint="eastAsia"/>
                <w:color w:val="auto"/>
                <w:szCs w:val="21"/>
                <w:highlight w:val="none"/>
                <w:lang w:val="en-US" w:eastAsia="zh-CN"/>
              </w:rPr>
              <w:t>5</w:t>
            </w:r>
            <w:r>
              <w:rPr>
                <w:rFonts w:hint="eastAsia"/>
                <w:color w:val="auto"/>
                <w:szCs w:val="21"/>
                <w:highlight w:val="none"/>
                <w:lang w:val="zh-CN"/>
              </w:rPr>
              <w:t>款、10.</w:t>
            </w:r>
            <w:r>
              <w:rPr>
                <w:rFonts w:hint="eastAsia"/>
                <w:color w:val="auto"/>
                <w:szCs w:val="21"/>
                <w:highlight w:val="none"/>
                <w:lang w:val="en-US" w:eastAsia="zh-CN"/>
              </w:rPr>
              <w:t>6</w:t>
            </w:r>
            <w:r>
              <w:rPr>
                <w:rFonts w:hint="eastAsia"/>
                <w:color w:val="auto"/>
                <w:szCs w:val="21"/>
                <w:highlight w:val="none"/>
                <w:lang w:val="zh-CN"/>
              </w:rPr>
              <w:t>款；</w:t>
            </w:r>
          </w:p>
          <w:p>
            <w:pPr>
              <w:spacing w:line="380" w:lineRule="exact"/>
              <w:rPr>
                <w:rFonts w:hint="eastAsia" w:cs="隶书"/>
                <w:color w:val="auto"/>
                <w:kern w:val="0"/>
                <w:highlight w:val="none"/>
              </w:rPr>
            </w:pPr>
            <w:r>
              <w:rPr>
                <w:rFonts w:hint="eastAsia"/>
                <w:color w:val="auto"/>
                <w:szCs w:val="21"/>
                <w:highlight w:val="none"/>
                <w:lang w:val="zh-CN"/>
              </w:rPr>
              <w:t>（3）本评标办法否决条款。</w:t>
            </w:r>
          </w:p>
        </w:tc>
      </w:tr>
    </w:tbl>
    <w:p>
      <w:pPr>
        <w:pStyle w:val="3"/>
        <w:bidi w:val="0"/>
        <w:rPr>
          <w:rFonts w:hint="eastAsia" w:ascii="黑体" w:eastAsia="黑体"/>
          <w:b/>
          <w:bCs w:val="0"/>
          <w:color w:val="auto"/>
          <w:sz w:val="28"/>
          <w:szCs w:val="28"/>
          <w:highlight w:val="none"/>
        </w:rPr>
      </w:pPr>
      <w:r>
        <w:rPr>
          <w:rFonts w:hint="eastAsia" w:ascii="黑体" w:eastAsia="黑体"/>
          <w:color w:val="auto"/>
          <w:sz w:val="28"/>
          <w:szCs w:val="28"/>
          <w:highlight w:val="none"/>
        </w:rPr>
        <w:br w:type="page"/>
      </w:r>
      <w:r>
        <w:rPr>
          <w:rFonts w:hint="eastAsia" w:ascii="黑体" w:eastAsia="黑体"/>
          <w:color w:val="auto"/>
          <w:sz w:val="28"/>
          <w:szCs w:val="28"/>
          <w:highlight w:val="none"/>
        </w:rPr>
        <w:t>1.评标方法</w:t>
      </w:r>
    </w:p>
    <w:p>
      <w:pPr>
        <w:bidi w:val="0"/>
        <w:rPr>
          <w:rFonts w:hint="eastAsia"/>
          <w:highlight w:val="none"/>
        </w:rPr>
      </w:pPr>
      <w:r>
        <w:rPr>
          <w:highlight w:val="none"/>
        </w:rPr>
        <w:t>本次评标采用</w:t>
      </w:r>
      <w:r>
        <w:rPr>
          <w:rFonts w:hint="eastAsia"/>
          <w:highlight w:val="none"/>
        </w:rPr>
        <w:t>综合评估法</w:t>
      </w:r>
      <w:r>
        <w:rPr>
          <w:highlight w:val="none"/>
        </w:rPr>
        <w:t>。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r>
        <w:rPr>
          <w:rFonts w:hint="eastAsia"/>
          <w:highlight w:val="none"/>
        </w:rPr>
        <w:t>评标委员会</w:t>
      </w:r>
      <w:r>
        <w:rPr>
          <w:highlight w:val="none"/>
        </w:rPr>
        <w:t>应按照评标办法前附表</w:t>
      </w:r>
      <w:r>
        <w:rPr>
          <w:rFonts w:hint="eastAsia"/>
          <w:highlight w:val="none"/>
        </w:rPr>
        <w:t>规定</w:t>
      </w:r>
      <w:r>
        <w:rPr>
          <w:highlight w:val="none"/>
        </w:rPr>
        <w:t>的优先次序</w:t>
      </w:r>
      <w:r>
        <w:rPr>
          <w:rFonts w:hint="eastAsia"/>
          <w:highlight w:val="none"/>
        </w:rPr>
        <w:t>推荐中标候选人或</w:t>
      </w:r>
      <w:r>
        <w:rPr>
          <w:highlight w:val="none"/>
        </w:rPr>
        <w:t>确定中标人</w:t>
      </w:r>
      <w:r>
        <w:rPr>
          <w:rFonts w:hint="eastAsia"/>
          <w:highlight w:val="none"/>
        </w:rPr>
        <w:t>。</w:t>
      </w:r>
      <w:bookmarkStart w:id="2" w:name="_Toc509992984"/>
    </w:p>
    <w:p>
      <w:pPr>
        <w:pStyle w:val="3"/>
        <w:numPr>
          <w:ilvl w:val="0"/>
          <w:numId w:val="0"/>
        </w:numPr>
        <w:bidi w:val="0"/>
        <w:rPr>
          <w:rFonts w:hint="eastAsia"/>
          <w:highlight w:val="none"/>
        </w:rPr>
      </w:pPr>
      <w:r>
        <w:rPr>
          <w:rFonts w:hint="eastAsia"/>
          <w:highlight w:val="none"/>
          <w:lang w:val="en-US" w:eastAsia="zh-CN"/>
        </w:rPr>
        <w:t>2.</w:t>
      </w:r>
      <w:r>
        <w:rPr>
          <w:rFonts w:hint="eastAsia"/>
          <w:highlight w:val="none"/>
        </w:rPr>
        <w:t>评审标准</w:t>
      </w:r>
      <w:bookmarkEnd w:id="2"/>
      <w:bookmarkStart w:id="3" w:name="_Toc509992985"/>
    </w:p>
    <w:p>
      <w:pPr>
        <w:bidi w:val="0"/>
        <w:rPr>
          <w:rFonts w:hint="eastAsia"/>
          <w:b/>
          <w:bCs/>
          <w:highlight w:val="none"/>
        </w:rPr>
      </w:pPr>
      <w:r>
        <w:rPr>
          <w:rFonts w:hint="eastAsia"/>
          <w:b/>
          <w:bCs/>
          <w:highlight w:val="none"/>
        </w:rPr>
        <w:t>2.1 初步评审标准</w:t>
      </w:r>
      <w:bookmarkEnd w:id="3"/>
    </w:p>
    <w:p>
      <w:pPr>
        <w:bidi w:val="0"/>
        <w:rPr>
          <w:rFonts w:hint="eastAsia"/>
          <w:highlight w:val="none"/>
        </w:rPr>
      </w:pPr>
      <w:r>
        <w:rPr>
          <w:highlight w:val="none"/>
        </w:rPr>
        <w:t>2.1.1 形式评审标准：见评标办法前附表。</w:t>
      </w:r>
    </w:p>
    <w:p>
      <w:pPr>
        <w:bidi w:val="0"/>
        <w:rPr>
          <w:highlight w:val="none"/>
        </w:rPr>
      </w:pPr>
      <w:r>
        <w:rPr>
          <w:highlight w:val="none"/>
        </w:rPr>
        <w:t>2.1.2 资格评审标准：见评标办法前附表（适用于未进行资格预审的）。</w:t>
      </w:r>
    </w:p>
    <w:p>
      <w:pPr>
        <w:bidi w:val="0"/>
        <w:rPr>
          <w:highlight w:val="none"/>
        </w:rPr>
      </w:pPr>
      <w:r>
        <w:rPr>
          <w:highlight w:val="none"/>
        </w:rPr>
        <w:t>2.1.2 资格评审标准：见资格预审文件第三章</w:t>
      </w:r>
      <w:r>
        <w:rPr>
          <w:rFonts w:hint="eastAsia"/>
          <w:highlight w:val="none"/>
          <w:lang w:eastAsia="zh-CN"/>
        </w:rPr>
        <w:t>“</w:t>
      </w:r>
      <w:r>
        <w:rPr>
          <w:highlight w:val="none"/>
        </w:rPr>
        <w:t>资格审查办法</w:t>
      </w:r>
      <w:r>
        <w:rPr>
          <w:rFonts w:hint="eastAsia"/>
          <w:highlight w:val="none"/>
          <w:lang w:eastAsia="zh-CN"/>
        </w:rPr>
        <w:t>”</w:t>
      </w:r>
      <w:r>
        <w:rPr>
          <w:highlight w:val="none"/>
        </w:rPr>
        <w:t>详细审查标准（适用于已进行资格预审的）。</w:t>
      </w:r>
    </w:p>
    <w:p>
      <w:pPr>
        <w:bidi w:val="0"/>
        <w:rPr>
          <w:rFonts w:hint="eastAsia"/>
          <w:highlight w:val="none"/>
        </w:rPr>
      </w:pPr>
      <w:r>
        <w:rPr>
          <w:highlight w:val="none"/>
        </w:rPr>
        <w:t>2.1.3 响应性评审标准：见评标办法前附表。</w:t>
      </w:r>
    </w:p>
    <w:p>
      <w:pPr>
        <w:bidi w:val="0"/>
        <w:rPr>
          <w:b/>
          <w:bCs/>
          <w:highlight w:val="none"/>
        </w:rPr>
      </w:pPr>
      <w:bookmarkStart w:id="4" w:name="_Toc503235810"/>
      <w:bookmarkStart w:id="5" w:name="_Toc234832944"/>
      <w:r>
        <w:rPr>
          <w:b/>
          <w:bCs/>
          <w:highlight w:val="none"/>
        </w:rPr>
        <w:t>2.2 分值构成与评分标准</w:t>
      </w:r>
      <w:bookmarkEnd w:id="4"/>
    </w:p>
    <w:p>
      <w:pPr>
        <w:bidi w:val="0"/>
        <w:rPr>
          <w:highlight w:val="none"/>
        </w:rPr>
      </w:pPr>
      <w:r>
        <w:rPr>
          <w:highlight w:val="none"/>
        </w:rPr>
        <w:t>2.2.1 分值构成</w:t>
      </w:r>
    </w:p>
    <w:p>
      <w:pPr>
        <w:bidi w:val="0"/>
        <w:rPr>
          <w:highlight w:val="none"/>
        </w:rPr>
      </w:pPr>
      <w:r>
        <w:rPr>
          <w:highlight w:val="none"/>
        </w:rPr>
        <w:t>（1）技术建议书：见评标办法前附表；</w:t>
      </w:r>
    </w:p>
    <w:p>
      <w:pPr>
        <w:bidi w:val="0"/>
        <w:rPr>
          <w:highlight w:val="none"/>
        </w:rPr>
      </w:pPr>
      <w:r>
        <w:rPr>
          <w:highlight w:val="none"/>
        </w:rPr>
        <w:t>（2）</w:t>
      </w:r>
      <w:r>
        <w:rPr>
          <w:rFonts w:hint="eastAsia"/>
          <w:highlight w:val="none"/>
        </w:rPr>
        <w:t>主要人员</w:t>
      </w:r>
      <w:r>
        <w:rPr>
          <w:highlight w:val="none"/>
        </w:rPr>
        <w:t>：见评标办法前附表；</w:t>
      </w:r>
    </w:p>
    <w:p>
      <w:pPr>
        <w:bidi w:val="0"/>
        <w:rPr>
          <w:highlight w:val="none"/>
        </w:rPr>
      </w:pPr>
      <w:r>
        <w:rPr>
          <w:highlight w:val="none"/>
        </w:rPr>
        <w:t>（3）</w:t>
      </w:r>
      <w:r>
        <w:rPr>
          <w:rFonts w:hint="eastAsia"/>
          <w:highlight w:val="none"/>
        </w:rPr>
        <w:t>评标价</w:t>
      </w:r>
      <w:r>
        <w:rPr>
          <w:highlight w:val="none"/>
        </w:rPr>
        <w:t>：见评标办法前附表；</w:t>
      </w:r>
    </w:p>
    <w:p>
      <w:pPr>
        <w:bidi w:val="0"/>
        <w:rPr>
          <w:highlight w:val="none"/>
        </w:rPr>
      </w:pPr>
      <w:r>
        <w:rPr>
          <w:highlight w:val="none"/>
        </w:rPr>
        <w:t>（4）其他评分因素：见评标办法前附表。</w:t>
      </w:r>
    </w:p>
    <w:p>
      <w:pPr>
        <w:bidi w:val="0"/>
        <w:rPr>
          <w:highlight w:val="none"/>
        </w:rPr>
      </w:pPr>
      <w:r>
        <w:rPr>
          <w:highlight w:val="none"/>
        </w:rPr>
        <w:t>2.2.2 评标基准价计算</w:t>
      </w:r>
    </w:p>
    <w:p>
      <w:pPr>
        <w:bidi w:val="0"/>
        <w:rPr>
          <w:highlight w:val="none"/>
        </w:rPr>
      </w:pPr>
      <w:r>
        <w:rPr>
          <w:highlight w:val="none"/>
        </w:rPr>
        <w:t>评标基准价计算方法：见评标办法前附表。</w:t>
      </w:r>
    </w:p>
    <w:p>
      <w:pPr>
        <w:bidi w:val="0"/>
        <w:rPr>
          <w:highlight w:val="none"/>
        </w:rPr>
      </w:pPr>
      <w:r>
        <w:rPr>
          <w:highlight w:val="none"/>
        </w:rPr>
        <w:t xml:space="preserve">2.2.3 </w:t>
      </w:r>
      <w:r>
        <w:rPr>
          <w:rFonts w:hint="eastAsia"/>
          <w:highlight w:val="none"/>
        </w:rPr>
        <w:t>评标价</w:t>
      </w:r>
      <w:r>
        <w:rPr>
          <w:highlight w:val="none"/>
        </w:rPr>
        <w:t>的偏差率计算</w:t>
      </w:r>
    </w:p>
    <w:p>
      <w:pPr>
        <w:bidi w:val="0"/>
        <w:rPr>
          <w:highlight w:val="none"/>
        </w:rPr>
      </w:pPr>
      <w:r>
        <w:rPr>
          <w:rFonts w:hint="eastAsia"/>
          <w:highlight w:val="none"/>
        </w:rPr>
        <w:t>评标价</w:t>
      </w:r>
      <w:r>
        <w:rPr>
          <w:highlight w:val="none"/>
        </w:rPr>
        <w:t>的偏差率计算公式：见评标办法前附表。</w:t>
      </w:r>
    </w:p>
    <w:p>
      <w:pPr>
        <w:bidi w:val="0"/>
        <w:rPr>
          <w:highlight w:val="none"/>
        </w:rPr>
      </w:pPr>
      <w:r>
        <w:rPr>
          <w:highlight w:val="none"/>
        </w:rPr>
        <w:t>2.2.4 评分标准</w:t>
      </w:r>
    </w:p>
    <w:p>
      <w:pPr>
        <w:bidi w:val="0"/>
        <w:rPr>
          <w:highlight w:val="none"/>
        </w:rPr>
      </w:pPr>
      <w:r>
        <w:rPr>
          <w:highlight w:val="none"/>
        </w:rPr>
        <w:t>（1）技术建议书评分标准：见评标办法前附表；</w:t>
      </w:r>
    </w:p>
    <w:p>
      <w:pPr>
        <w:bidi w:val="0"/>
        <w:rPr>
          <w:highlight w:val="none"/>
        </w:rPr>
      </w:pPr>
      <w:r>
        <w:rPr>
          <w:highlight w:val="none"/>
        </w:rPr>
        <w:t>（2）</w:t>
      </w:r>
      <w:r>
        <w:rPr>
          <w:rFonts w:hint="eastAsia"/>
          <w:highlight w:val="none"/>
        </w:rPr>
        <w:t>主要人员</w:t>
      </w:r>
      <w:r>
        <w:rPr>
          <w:highlight w:val="none"/>
        </w:rPr>
        <w:t>评分标准：见评标办法前附表；</w:t>
      </w:r>
    </w:p>
    <w:p>
      <w:pPr>
        <w:bidi w:val="0"/>
        <w:rPr>
          <w:highlight w:val="none"/>
        </w:rPr>
      </w:pPr>
      <w:r>
        <w:rPr>
          <w:highlight w:val="none"/>
        </w:rPr>
        <w:t>（3）</w:t>
      </w:r>
      <w:r>
        <w:rPr>
          <w:rFonts w:hint="eastAsia"/>
          <w:highlight w:val="none"/>
        </w:rPr>
        <w:t>评标价</w:t>
      </w:r>
      <w:r>
        <w:rPr>
          <w:highlight w:val="none"/>
        </w:rPr>
        <w:t>评分标准：见评标办法前附表；</w:t>
      </w:r>
    </w:p>
    <w:p>
      <w:pPr>
        <w:bidi w:val="0"/>
        <w:rPr>
          <w:highlight w:val="none"/>
        </w:rPr>
      </w:pPr>
      <w:r>
        <w:rPr>
          <w:highlight w:val="none"/>
        </w:rPr>
        <w:t>（4）其他因素评分标准：见评标办法前附表。</w:t>
      </w:r>
    </w:p>
    <w:p>
      <w:pPr>
        <w:pStyle w:val="3"/>
        <w:bidi w:val="0"/>
        <w:rPr>
          <w:highlight w:val="none"/>
        </w:rPr>
      </w:pPr>
      <w:bookmarkStart w:id="6" w:name="_Toc503235811"/>
      <w:r>
        <w:rPr>
          <w:highlight w:val="none"/>
        </w:rPr>
        <w:t>3.评标程序</w:t>
      </w:r>
      <w:bookmarkEnd w:id="6"/>
    </w:p>
    <w:p>
      <w:pPr>
        <w:bidi w:val="0"/>
        <w:rPr>
          <w:highlight w:val="none"/>
        </w:rPr>
      </w:pPr>
      <w:bookmarkStart w:id="7" w:name="_Toc503235812"/>
      <w:r>
        <w:rPr>
          <w:b/>
          <w:bCs/>
          <w:highlight w:val="none"/>
        </w:rPr>
        <w:t>3.1</w:t>
      </w:r>
      <w:r>
        <w:rPr>
          <w:rFonts w:hint="eastAsia"/>
          <w:b/>
          <w:bCs/>
          <w:highlight w:val="none"/>
        </w:rPr>
        <w:t xml:space="preserve"> 第一个信封</w:t>
      </w:r>
      <w:r>
        <w:rPr>
          <w:b/>
          <w:bCs/>
          <w:highlight w:val="none"/>
        </w:rPr>
        <w:t>初步评审</w:t>
      </w:r>
      <w:bookmarkEnd w:id="7"/>
    </w:p>
    <w:p>
      <w:pPr>
        <w:bidi w:val="0"/>
        <w:rPr>
          <w:highlight w:val="none"/>
        </w:rPr>
      </w:pPr>
      <w:r>
        <w:rPr>
          <w:highlight w:val="none"/>
        </w:rPr>
        <w:t>3.1.1 评标委员会可以要求投标人提交第二章</w:t>
      </w:r>
      <w:r>
        <w:rPr>
          <w:rFonts w:hint="eastAsia" w:ascii="宋体" w:hAnsi="宋体" w:eastAsia="宋体" w:cs="宋体"/>
          <w:highlight w:val="none"/>
        </w:rPr>
        <w:t>“投标人须知”</w:t>
      </w:r>
      <w:r>
        <w:rPr>
          <w:highlight w:val="none"/>
        </w:rPr>
        <w:t>第3.5.1项至第3.5.</w:t>
      </w:r>
      <w:r>
        <w:rPr>
          <w:rFonts w:hint="eastAsia"/>
          <w:highlight w:val="none"/>
        </w:rPr>
        <w:t>5</w:t>
      </w:r>
      <w:r>
        <w:rPr>
          <w:highlight w:val="none"/>
        </w:rPr>
        <w:t>项规定的有关证明和证件的原件，以便核验。评标委员会依据本章第2.1款规定的标准对投标文件</w:t>
      </w:r>
      <w:r>
        <w:rPr>
          <w:rFonts w:hint="eastAsia"/>
          <w:highlight w:val="none"/>
        </w:rPr>
        <w:t>第一个信封（商务及技术文件）</w:t>
      </w:r>
      <w:r>
        <w:rPr>
          <w:highlight w:val="none"/>
        </w:rPr>
        <w:t>进行初步评审。有一项不符合评审标准的，</w:t>
      </w:r>
      <w:r>
        <w:rPr>
          <w:rFonts w:hint="eastAsia"/>
          <w:highlight w:val="none"/>
        </w:rPr>
        <w:t>评标委员会应否决其投标</w:t>
      </w:r>
      <w:r>
        <w:rPr>
          <w:highlight w:val="none"/>
        </w:rPr>
        <w:t>。</w:t>
      </w:r>
    </w:p>
    <w:p>
      <w:pPr>
        <w:bidi w:val="0"/>
        <w:rPr>
          <w:b/>
          <w:bCs/>
          <w:highlight w:val="none"/>
        </w:rPr>
      </w:pPr>
      <w:bookmarkStart w:id="8" w:name="_Toc503235813"/>
      <w:r>
        <w:rPr>
          <w:b/>
          <w:bCs/>
          <w:highlight w:val="none"/>
        </w:rPr>
        <w:t>3.</w:t>
      </w:r>
      <w:r>
        <w:rPr>
          <w:rFonts w:hint="eastAsia"/>
          <w:b/>
          <w:bCs/>
          <w:highlight w:val="none"/>
        </w:rPr>
        <w:t>2 第一个信封</w:t>
      </w:r>
      <w:r>
        <w:rPr>
          <w:b/>
          <w:bCs/>
          <w:highlight w:val="none"/>
        </w:rPr>
        <w:t>详细评审</w:t>
      </w:r>
      <w:bookmarkEnd w:id="8"/>
    </w:p>
    <w:p>
      <w:pPr>
        <w:bidi w:val="0"/>
        <w:rPr>
          <w:highlight w:val="none"/>
        </w:rPr>
      </w:pPr>
      <w:r>
        <w:rPr>
          <w:highlight w:val="none"/>
        </w:rPr>
        <w:t>3.</w:t>
      </w:r>
      <w:r>
        <w:rPr>
          <w:rFonts w:hint="eastAsia"/>
          <w:highlight w:val="none"/>
        </w:rPr>
        <w:t>2</w:t>
      </w:r>
      <w:r>
        <w:rPr>
          <w:highlight w:val="none"/>
        </w:rPr>
        <w:t>.1 评标委员会按本章第2.2款规定的量化因素和分值进行打分，并计算出</w:t>
      </w:r>
      <w:r>
        <w:rPr>
          <w:rFonts w:hint="eastAsia"/>
          <w:highlight w:val="none"/>
        </w:rPr>
        <w:t>各投标人的商务和技术</w:t>
      </w:r>
      <w:r>
        <w:rPr>
          <w:highlight w:val="none"/>
        </w:rPr>
        <w:t>得分。</w:t>
      </w:r>
    </w:p>
    <w:p>
      <w:pPr>
        <w:bidi w:val="0"/>
        <w:rPr>
          <w:highlight w:val="none"/>
        </w:rPr>
      </w:pPr>
      <w:r>
        <w:rPr>
          <w:highlight w:val="none"/>
        </w:rPr>
        <w:t>（1）按本章第2.2.4项（1）目规定的评审因素和分值对技术建议书部分计算出得分A；</w:t>
      </w:r>
    </w:p>
    <w:p>
      <w:pPr>
        <w:bidi w:val="0"/>
        <w:rPr>
          <w:highlight w:val="none"/>
        </w:rPr>
      </w:pPr>
      <w:r>
        <w:rPr>
          <w:highlight w:val="none"/>
        </w:rPr>
        <w:t>（2）按本章第2.2.4项（2）目规定的评审因素和分值对</w:t>
      </w:r>
      <w:r>
        <w:rPr>
          <w:rFonts w:hint="eastAsia"/>
          <w:highlight w:val="none"/>
        </w:rPr>
        <w:t>主要人员和设备部分</w:t>
      </w:r>
      <w:r>
        <w:rPr>
          <w:highlight w:val="none"/>
        </w:rPr>
        <w:t>计算出得分B；</w:t>
      </w:r>
    </w:p>
    <w:p>
      <w:pPr>
        <w:bidi w:val="0"/>
        <w:rPr>
          <w:highlight w:val="none"/>
        </w:rPr>
      </w:pPr>
      <w:r>
        <w:rPr>
          <w:highlight w:val="none"/>
        </w:rPr>
        <w:t>（3）按本章第2.2.4项（4）目规定的评审因素和分值对其他部分计算出得分D。</w:t>
      </w:r>
    </w:p>
    <w:p>
      <w:pPr>
        <w:bidi w:val="0"/>
        <w:rPr>
          <w:highlight w:val="none"/>
        </w:rPr>
      </w:pPr>
      <w:r>
        <w:rPr>
          <w:highlight w:val="none"/>
        </w:rPr>
        <w:t>3.</w:t>
      </w:r>
      <w:r>
        <w:rPr>
          <w:rFonts w:hint="eastAsia"/>
          <w:highlight w:val="none"/>
        </w:rPr>
        <w:t>2</w:t>
      </w:r>
      <w:r>
        <w:rPr>
          <w:highlight w:val="none"/>
        </w:rPr>
        <w:t xml:space="preserve">.2 </w:t>
      </w:r>
      <w:r>
        <w:rPr>
          <w:rFonts w:hint="eastAsia"/>
          <w:highlight w:val="none"/>
        </w:rPr>
        <w:t>投标人的商务和技术得分</w:t>
      </w:r>
      <w:r>
        <w:rPr>
          <w:highlight w:val="none"/>
        </w:rPr>
        <w:t>分值计算保留小数点后两位，小数点后第三位“四舍五入”。</w:t>
      </w:r>
    </w:p>
    <w:p>
      <w:pPr>
        <w:bidi w:val="0"/>
        <w:rPr>
          <w:highlight w:val="none"/>
        </w:rPr>
      </w:pPr>
      <w:r>
        <w:rPr>
          <w:highlight w:val="none"/>
        </w:rPr>
        <w:t>3.</w:t>
      </w:r>
      <w:r>
        <w:rPr>
          <w:rFonts w:hint="eastAsia"/>
          <w:highlight w:val="none"/>
        </w:rPr>
        <w:t>2</w:t>
      </w:r>
      <w:r>
        <w:rPr>
          <w:highlight w:val="none"/>
        </w:rPr>
        <w:t>.3投标人的商务和技术得分=A+B+D。</w:t>
      </w:r>
    </w:p>
    <w:p>
      <w:pPr>
        <w:bidi w:val="0"/>
        <w:rPr>
          <w:highlight w:val="none"/>
        </w:rPr>
      </w:pPr>
      <w:r>
        <w:rPr>
          <w:rFonts w:hint="eastAsia"/>
          <w:highlight w:val="none"/>
        </w:rPr>
        <w:t xml:space="preserve">各评分因素（评标价、履约信誉评分项除外）及其各评审因素细分项的得分一般不得低于其权重分值的60%，评分低于上述权重分值百分比的，评标委员会成员应当在评标报告中作出说明。 </w:t>
      </w:r>
    </w:p>
    <w:p>
      <w:pPr>
        <w:bidi w:val="0"/>
        <w:rPr>
          <w:b/>
          <w:bCs/>
          <w:highlight w:val="none"/>
        </w:rPr>
      </w:pPr>
      <w:bookmarkStart w:id="9" w:name="_Toc503235814"/>
      <w:r>
        <w:rPr>
          <w:b/>
          <w:bCs/>
          <w:highlight w:val="none"/>
        </w:rPr>
        <w:t>3.</w:t>
      </w:r>
      <w:r>
        <w:rPr>
          <w:rFonts w:hint="eastAsia"/>
          <w:b/>
          <w:bCs/>
          <w:highlight w:val="none"/>
        </w:rPr>
        <w:t>3 第二个信封开标</w:t>
      </w:r>
      <w:bookmarkEnd w:id="9"/>
    </w:p>
    <w:p>
      <w:pPr>
        <w:bidi w:val="0"/>
        <w:rPr>
          <w:highlight w:val="none"/>
        </w:rPr>
      </w:pPr>
      <w:r>
        <w:rPr>
          <w:highlight w:val="none"/>
        </w:rPr>
        <w:t>第一</w:t>
      </w:r>
      <w:r>
        <w:rPr>
          <w:rFonts w:hint="eastAsia"/>
          <w:highlight w:val="none"/>
        </w:rPr>
        <w:t>个</w:t>
      </w:r>
      <w:r>
        <w:rPr>
          <w:highlight w:val="none"/>
        </w:rPr>
        <w:t>信封（商务及技术文件）评审结束后，招标人将按照</w:t>
      </w:r>
      <w:r>
        <w:rPr>
          <w:rFonts w:hint="eastAsia"/>
          <w:highlight w:val="none"/>
        </w:rPr>
        <w:t>第二章</w:t>
      </w:r>
      <w:r>
        <w:rPr>
          <w:highlight w:val="none"/>
        </w:rPr>
        <w:t>“</w:t>
      </w:r>
      <w:r>
        <w:rPr>
          <w:rFonts w:hint="eastAsia"/>
          <w:highlight w:val="none"/>
        </w:rPr>
        <w:t>投标</w:t>
      </w:r>
      <w:r>
        <w:rPr>
          <w:highlight w:val="none"/>
        </w:rPr>
        <w:t>人须知”</w:t>
      </w:r>
      <w:r>
        <w:rPr>
          <w:rFonts w:hint="eastAsia"/>
          <w:highlight w:val="none"/>
        </w:rPr>
        <w:t>第5.1款</w:t>
      </w:r>
      <w:r>
        <w:rPr>
          <w:highlight w:val="none"/>
        </w:rPr>
        <w:t>规定的时间和地点</w:t>
      </w:r>
      <w:r>
        <w:rPr>
          <w:rFonts w:hint="eastAsia"/>
          <w:highlight w:val="none"/>
        </w:rPr>
        <w:t>对</w:t>
      </w:r>
      <w:r>
        <w:rPr>
          <w:highlight w:val="none"/>
        </w:rPr>
        <w:t>通过投标文件第一</w:t>
      </w:r>
      <w:r>
        <w:rPr>
          <w:rFonts w:hint="eastAsia"/>
          <w:highlight w:val="none"/>
        </w:rPr>
        <w:t>个</w:t>
      </w:r>
      <w:r>
        <w:rPr>
          <w:highlight w:val="none"/>
        </w:rPr>
        <w:t>信封（商务及技术文件）评审的投标</w:t>
      </w:r>
      <w:r>
        <w:rPr>
          <w:rFonts w:hint="eastAsia"/>
          <w:highlight w:val="none"/>
        </w:rPr>
        <w:t>文件</w:t>
      </w:r>
      <w:r>
        <w:rPr>
          <w:highlight w:val="none"/>
        </w:rPr>
        <w:t>第二</w:t>
      </w:r>
      <w:r>
        <w:rPr>
          <w:rFonts w:hint="eastAsia"/>
          <w:highlight w:val="none"/>
        </w:rPr>
        <w:t>个</w:t>
      </w:r>
      <w:r>
        <w:rPr>
          <w:highlight w:val="none"/>
        </w:rPr>
        <w:t>信封（报价</w:t>
      </w:r>
      <w:r>
        <w:rPr>
          <w:rFonts w:hint="eastAsia"/>
          <w:highlight w:val="none"/>
        </w:rPr>
        <w:t>文件</w:t>
      </w:r>
      <w:r>
        <w:rPr>
          <w:highlight w:val="none"/>
        </w:rPr>
        <w:t>）进行开标。</w:t>
      </w:r>
    </w:p>
    <w:p>
      <w:pPr>
        <w:bidi w:val="0"/>
        <w:rPr>
          <w:b/>
          <w:bCs/>
          <w:highlight w:val="none"/>
        </w:rPr>
      </w:pPr>
      <w:bookmarkStart w:id="10" w:name="_Toc503235815"/>
      <w:r>
        <w:rPr>
          <w:b/>
          <w:bCs/>
          <w:highlight w:val="none"/>
        </w:rPr>
        <w:t>3.</w:t>
      </w:r>
      <w:r>
        <w:rPr>
          <w:rFonts w:hint="eastAsia"/>
          <w:b/>
          <w:bCs/>
          <w:highlight w:val="none"/>
        </w:rPr>
        <w:t>4 第二个信封</w:t>
      </w:r>
      <w:r>
        <w:rPr>
          <w:b/>
          <w:bCs/>
          <w:highlight w:val="none"/>
        </w:rPr>
        <w:t>初步评审</w:t>
      </w:r>
      <w:bookmarkEnd w:id="10"/>
    </w:p>
    <w:p>
      <w:pPr>
        <w:bidi w:val="0"/>
        <w:rPr>
          <w:highlight w:val="none"/>
        </w:rPr>
      </w:pPr>
      <w:r>
        <w:rPr>
          <w:highlight w:val="none"/>
        </w:rPr>
        <w:t>3.</w:t>
      </w:r>
      <w:r>
        <w:rPr>
          <w:rFonts w:hint="eastAsia"/>
          <w:highlight w:val="none"/>
        </w:rPr>
        <w:t>4</w:t>
      </w:r>
      <w:r>
        <w:rPr>
          <w:highlight w:val="none"/>
        </w:rPr>
        <w:t>.1 评标委员会依据本章第2.1.1项、第2.1.3项规定的评审标准对投标文件</w:t>
      </w:r>
      <w:r>
        <w:rPr>
          <w:rFonts w:hint="eastAsia"/>
          <w:highlight w:val="none"/>
        </w:rPr>
        <w:t>第二个信封（报价文件）</w:t>
      </w:r>
      <w:r>
        <w:rPr>
          <w:highlight w:val="none"/>
        </w:rPr>
        <w:t>进行初步评审。有一项不符合评审标准的，</w:t>
      </w:r>
      <w:r>
        <w:rPr>
          <w:rFonts w:hint="eastAsia"/>
          <w:highlight w:val="none"/>
        </w:rPr>
        <w:t>评标委员会应否决其投标</w:t>
      </w:r>
      <w:r>
        <w:rPr>
          <w:highlight w:val="none"/>
        </w:rPr>
        <w:t>。</w:t>
      </w:r>
    </w:p>
    <w:p>
      <w:pPr>
        <w:bidi w:val="0"/>
        <w:rPr>
          <w:highlight w:val="none"/>
        </w:rPr>
      </w:pPr>
      <w:r>
        <w:rPr>
          <w:highlight w:val="none"/>
        </w:rPr>
        <w:t>3.</w:t>
      </w:r>
      <w:r>
        <w:rPr>
          <w:rFonts w:hint="eastAsia"/>
          <w:highlight w:val="none"/>
        </w:rPr>
        <w:t>4</w:t>
      </w:r>
      <w:r>
        <w:rPr>
          <w:highlight w:val="none"/>
        </w:rPr>
        <w:t>.</w:t>
      </w:r>
      <w:r>
        <w:rPr>
          <w:rFonts w:hint="eastAsia"/>
          <w:highlight w:val="none"/>
        </w:rPr>
        <w:t>2</w:t>
      </w:r>
      <w:r>
        <w:rPr>
          <w:highlight w:val="none"/>
        </w:rPr>
        <w:t xml:space="preserve"> 投标报价有算术错误的，评标委员会按以下原则对投标报价进行修正，修正的价格经投标人书面确认后具有约束力。投标人不接受修正价格的，</w:t>
      </w:r>
      <w:r>
        <w:rPr>
          <w:rFonts w:hint="eastAsia"/>
          <w:highlight w:val="none"/>
        </w:rPr>
        <w:t>评标委员会应否决其投标。</w:t>
      </w:r>
    </w:p>
    <w:p>
      <w:pPr>
        <w:bidi w:val="0"/>
        <w:rPr>
          <w:highlight w:val="none"/>
        </w:rPr>
      </w:pPr>
      <w:r>
        <w:rPr>
          <w:highlight w:val="none"/>
        </w:rPr>
        <w:t>（1）投标文件中的大写金额与小写金额不一致的，以大写金额为准；</w:t>
      </w:r>
    </w:p>
    <w:p>
      <w:pPr>
        <w:bidi w:val="0"/>
        <w:rPr>
          <w:highlight w:val="none"/>
        </w:rPr>
      </w:pPr>
      <w:r>
        <w:rPr>
          <w:highlight w:val="none"/>
        </w:rPr>
        <w:t>（2）总价金额与依据单价计算出的结果不一致的，以单价金额为准修正总价，但单价金额小数点有明显错误的除外</w:t>
      </w:r>
      <w:r>
        <w:rPr>
          <w:rFonts w:hint="eastAsia"/>
          <w:highlight w:val="none"/>
        </w:rPr>
        <w:t>；</w:t>
      </w:r>
    </w:p>
    <w:p>
      <w:pPr>
        <w:bidi w:val="0"/>
        <w:rPr>
          <w:highlight w:val="none"/>
        </w:rPr>
      </w:pPr>
      <w:r>
        <w:rPr>
          <w:rFonts w:hint="eastAsia"/>
          <w:highlight w:val="none"/>
        </w:rPr>
        <w:t>（3）当单价与数量相乘不等于合价时，以单价计算为准，如果单价有明显的小数点位置差错，应以标出的合价为准，同时对单价予以修正；</w:t>
      </w:r>
    </w:p>
    <w:p>
      <w:pPr>
        <w:bidi w:val="0"/>
        <w:rPr>
          <w:highlight w:val="none"/>
        </w:rPr>
      </w:pPr>
      <w:r>
        <w:rPr>
          <w:rFonts w:hint="eastAsia"/>
          <w:highlight w:val="none"/>
        </w:rPr>
        <w:t>（4）当各子目的合价累计不等于总价时，应以各子目合价累计数为准，修正总价。</w:t>
      </w:r>
    </w:p>
    <w:p>
      <w:pPr>
        <w:bidi w:val="0"/>
        <w:rPr>
          <w:highlight w:val="none"/>
        </w:rPr>
      </w:pPr>
      <w:r>
        <w:rPr>
          <w:rFonts w:hint="eastAsia"/>
          <w:highlight w:val="none"/>
        </w:rPr>
        <w:t>3.4.</w:t>
      </w:r>
      <w:r>
        <w:rPr>
          <w:highlight w:val="none"/>
        </w:rPr>
        <w:t>3</w:t>
      </w:r>
      <w:r>
        <w:rPr>
          <w:rFonts w:hint="eastAsia"/>
          <w:highlight w:val="none"/>
        </w:rPr>
        <w:t xml:space="preserve"> 修正后的最终投标报价若超过最高投标限价（如有），评标委员会应否决其投标。</w:t>
      </w:r>
    </w:p>
    <w:p>
      <w:pPr>
        <w:bidi w:val="0"/>
        <w:rPr>
          <w:highlight w:val="none"/>
        </w:rPr>
      </w:pPr>
      <w:r>
        <w:rPr>
          <w:rFonts w:hint="eastAsia"/>
          <w:highlight w:val="none"/>
        </w:rPr>
        <w:t>3.4.</w:t>
      </w:r>
      <w:r>
        <w:rPr>
          <w:highlight w:val="none"/>
        </w:rPr>
        <w:t>4</w:t>
      </w:r>
      <w:r>
        <w:rPr>
          <w:rFonts w:hint="eastAsia"/>
          <w:highlight w:val="none"/>
        </w:rPr>
        <w:t xml:space="preserve"> 修正后的最终投标报价仅作为签订合同的一个依据，不参与评标价得分的计算。</w:t>
      </w:r>
    </w:p>
    <w:p>
      <w:pPr>
        <w:bidi w:val="0"/>
        <w:rPr>
          <w:b/>
          <w:bCs/>
          <w:highlight w:val="none"/>
        </w:rPr>
      </w:pPr>
      <w:bookmarkStart w:id="11" w:name="_Toc503235816"/>
      <w:r>
        <w:rPr>
          <w:b/>
          <w:bCs/>
          <w:highlight w:val="none"/>
        </w:rPr>
        <w:t>3.</w:t>
      </w:r>
      <w:r>
        <w:rPr>
          <w:rFonts w:hint="eastAsia"/>
          <w:b/>
          <w:bCs/>
          <w:highlight w:val="none"/>
        </w:rPr>
        <w:t>5 第二个信封</w:t>
      </w:r>
      <w:r>
        <w:rPr>
          <w:b/>
          <w:bCs/>
          <w:highlight w:val="none"/>
        </w:rPr>
        <w:t>详细评审</w:t>
      </w:r>
      <w:bookmarkEnd w:id="11"/>
    </w:p>
    <w:p>
      <w:pPr>
        <w:bidi w:val="0"/>
        <w:rPr>
          <w:highlight w:val="none"/>
        </w:rPr>
      </w:pPr>
      <w:r>
        <w:rPr>
          <w:highlight w:val="none"/>
        </w:rPr>
        <w:t>3.</w:t>
      </w:r>
      <w:r>
        <w:rPr>
          <w:rFonts w:hint="eastAsia"/>
          <w:highlight w:val="none"/>
        </w:rPr>
        <w:t>5</w:t>
      </w:r>
      <w:r>
        <w:rPr>
          <w:highlight w:val="none"/>
        </w:rPr>
        <w:t>.1 评标委员会按本章第2.2.4项（3）目规定的评审因素和分值对</w:t>
      </w:r>
      <w:r>
        <w:rPr>
          <w:rFonts w:hint="eastAsia"/>
          <w:highlight w:val="none"/>
        </w:rPr>
        <w:t>评标价</w:t>
      </w:r>
      <w:r>
        <w:rPr>
          <w:highlight w:val="none"/>
        </w:rPr>
        <w:t>计算出得分C</w:t>
      </w:r>
      <w:r>
        <w:rPr>
          <w:rFonts w:hint="eastAsia"/>
          <w:highlight w:val="none"/>
        </w:rPr>
        <w:t>。</w:t>
      </w:r>
    </w:p>
    <w:p>
      <w:pPr>
        <w:bidi w:val="0"/>
        <w:rPr>
          <w:highlight w:val="none"/>
        </w:rPr>
      </w:pPr>
      <w:r>
        <w:rPr>
          <w:rFonts w:hint="eastAsia"/>
          <w:highlight w:val="none"/>
        </w:rPr>
        <w:t xml:space="preserve">3.5.2 </w:t>
      </w:r>
      <w:r>
        <w:rPr>
          <w:highlight w:val="none"/>
        </w:rPr>
        <w:t>投标人综合得分=</w:t>
      </w:r>
      <w:r>
        <w:rPr>
          <w:rFonts w:hint="eastAsia"/>
          <w:highlight w:val="none"/>
        </w:rPr>
        <w:t>投标人的商务和技术得分</w:t>
      </w:r>
      <w:r>
        <w:rPr>
          <w:highlight w:val="none"/>
        </w:rPr>
        <w:t>+C。</w:t>
      </w:r>
    </w:p>
    <w:p>
      <w:pPr>
        <w:bidi w:val="0"/>
        <w:rPr>
          <w:highlight w:val="none"/>
        </w:rPr>
      </w:pPr>
      <w:r>
        <w:rPr>
          <w:highlight w:val="none"/>
        </w:rPr>
        <w:t>3.</w:t>
      </w:r>
      <w:r>
        <w:rPr>
          <w:rFonts w:hint="eastAsia"/>
          <w:highlight w:val="none"/>
        </w:rPr>
        <w:t>5</w:t>
      </w:r>
      <w:r>
        <w:rPr>
          <w:highlight w:val="none"/>
        </w:rPr>
        <w:t>.</w:t>
      </w:r>
      <w:r>
        <w:rPr>
          <w:rFonts w:hint="eastAsia"/>
          <w:highlight w:val="none"/>
        </w:rPr>
        <w:t>3</w:t>
      </w:r>
      <w:r>
        <w:rPr>
          <w:highlight w:val="none"/>
        </w:rPr>
        <w:t xml:space="preserve">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bidi w:val="0"/>
        <w:rPr>
          <w:b/>
          <w:bCs/>
          <w:highlight w:val="none"/>
        </w:rPr>
      </w:pPr>
      <w:bookmarkStart w:id="12" w:name="_Toc503235817"/>
      <w:r>
        <w:rPr>
          <w:b/>
          <w:bCs/>
          <w:highlight w:val="none"/>
        </w:rPr>
        <w:t>3.</w:t>
      </w:r>
      <w:r>
        <w:rPr>
          <w:rFonts w:hint="eastAsia"/>
          <w:b/>
          <w:bCs/>
          <w:highlight w:val="none"/>
        </w:rPr>
        <w:t>6 投标文件相关信息的核查</w:t>
      </w:r>
      <w:bookmarkEnd w:id="12"/>
    </w:p>
    <w:p>
      <w:pPr>
        <w:bidi w:val="0"/>
        <w:rPr>
          <w:highlight w:val="none"/>
        </w:rPr>
      </w:pPr>
      <w:r>
        <w:rPr>
          <w:rFonts w:hint="eastAsia"/>
          <w:highlight w:val="none"/>
        </w:rPr>
        <w:t xml:space="preserve">3.6.1 </w:t>
      </w:r>
      <w:r>
        <w:rPr>
          <w:highlight w:val="none"/>
        </w:rPr>
        <w:t>评标委员会应对在评标过程中发现的投标人与投标人之间、投标人与招标人之间存在的串通投标的情形进行评审和认定。</w:t>
      </w:r>
      <w:r>
        <w:rPr>
          <w:rFonts w:hint="eastAsia"/>
          <w:highlight w:val="none"/>
        </w:rPr>
        <w:t>投标人存在</w:t>
      </w:r>
      <w:r>
        <w:rPr>
          <w:highlight w:val="none"/>
        </w:rPr>
        <w:t>串通投标</w:t>
      </w:r>
      <w:r>
        <w:rPr>
          <w:rFonts w:hint="eastAsia"/>
          <w:highlight w:val="none"/>
        </w:rPr>
        <w:t>、</w:t>
      </w:r>
      <w:r>
        <w:rPr>
          <w:highlight w:val="none"/>
        </w:rPr>
        <w:t>弄虚作假</w:t>
      </w:r>
      <w:r>
        <w:rPr>
          <w:rFonts w:hint="eastAsia"/>
          <w:highlight w:val="none"/>
        </w:rPr>
        <w:t>、行贿等</w:t>
      </w:r>
      <w:r>
        <w:rPr>
          <w:highlight w:val="none"/>
        </w:rPr>
        <w:t>违法行为的</w:t>
      </w:r>
      <w:r>
        <w:rPr>
          <w:rFonts w:hint="eastAsia"/>
          <w:highlight w:val="none"/>
        </w:rPr>
        <w:t>，评标委员会应否决其投标。</w:t>
      </w:r>
    </w:p>
    <w:p>
      <w:pPr>
        <w:bidi w:val="0"/>
        <w:rPr>
          <w:highlight w:val="none"/>
        </w:rPr>
      </w:pPr>
      <w:r>
        <w:rPr>
          <w:rFonts w:hint="eastAsia"/>
          <w:highlight w:val="none"/>
        </w:rPr>
        <w:t>（1）</w:t>
      </w:r>
      <w:r>
        <w:rPr>
          <w:highlight w:val="none"/>
        </w:rPr>
        <w:t>有下列情形之一的，属于投标人相互串通投标：</w:t>
      </w:r>
    </w:p>
    <w:p>
      <w:pPr>
        <w:bidi w:val="0"/>
        <w:rPr>
          <w:highlight w:val="none"/>
        </w:rPr>
      </w:pPr>
      <w:r>
        <w:rPr>
          <w:highlight w:val="none"/>
        </w:rPr>
        <w:t>a.投标人之间协商投标报价等投标文件的实质性内容；</w:t>
      </w:r>
    </w:p>
    <w:p>
      <w:pPr>
        <w:bidi w:val="0"/>
        <w:rPr>
          <w:highlight w:val="none"/>
        </w:rPr>
      </w:pPr>
      <w:r>
        <w:rPr>
          <w:highlight w:val="none"/>
        </w:rPr>
        <w:t>b.投标人之间约定中标人；</w:t>
      </w:r>
    </w:p>
    <w:p>
      <w:pPr>
        <w:bidi w:val="0"/>
        <w:rPr>
          <w:highlight w:val="none"/>
        </w:rPr>
      </w:pPr>
      <w:r>
        <w:rPr>
          <w:highlight w:val="none"/>
        </w:rPr>
        <w:t>c.投标人之间约定部分投标人放弃投标或中标；</w:t>
      </w:r>
    </w:p>
    <w:p>
      <w:pPr>
        <w:bidi w:val="0"/>
        <w:rPr>
          <w:highlight w:val="none"/>
        </w:rPr>
      </w:pPr>
      <w:r>
        <w:rPr>
          <w:highlight w:val="none"/>
        </w:rPr>
        <w:t>d.属于同一集团、协会、商会等组织成员的投标人按照该组织要求协同投标；</w:t>
      </w:r>
    </w:p>
    <w:p>
      <w:pPr>
        <w:bidi w:val="0"/>
        <w:rPr>
          <w:highlight w:val="none"/>
        </w:rPr>
      </w:pPr>
      <w:r>
        <w:rPr>
          <w:highlight w:val="none"/>
        </w:rPr>
        <w:t>e.投标人之间为谋取中标或排斥特定投标人而采取的其他联合行动。</w:t>
      </w:r>
    </w:p>
    <w:p>
      <w:pPr>
        <w:bidi w:val="0"/>
        <w:rPr>
          <w:highlight w:val="none"/>
        </w:rPr>
      </w:pPr>
      <w:r>
        <w:rPr>
          <w:rFonts w:hint="eastAsia"/>
          <w:highlight w:val="none"/>
        </w:rPr>
        <w:t>（2）</w:t>
      </w:r>
      <w:r>
        <w:rPr>
          <w:highlight w:val="none"/>
        </w:rPr>
        <w:t>有下列情形之一的，视为投标人相互串通投标：</w:t>
      </w:r>
    </w:p>
    <w:p>
      <w:pPr>
        <w:bidi w:val="0"/>
        <w:rPr>
          <w:highlight w:val="none"/>
        </w:rPr>
      </w:pPr>
      <w:r>
        <w:rPr>
          <w:highlight w:val="none"/>
        </w:rPr>
        <w:t>a.不同投标人的投标文件由同一单位或个人编制；</w:t>
      </w:r>
    </w:p>
    <w:p>
      <w:pPr>
        <w:bidi w:val="0"/>
        <w:rPr>
          <w:highlight w:val="none"/>
        </w:rPr>
      </w:pPr>
      <w:r>
        <w:rPr>
          <w:highlight w:val="none"/>
        </w:rPr>
        <w:t>b.不同投标人委托同一单位或个人办理投标事宜；</w:t>
      </w:r>
    </w:p>
    <w:p>
      <w:pPr>
        <w:bidi w:val="0"/>
        <w:rPr>
          <w:highlight w:val="none"/>
        </w:rPr>
      </w:pPr>
      <w:r>
        <w:rPr>
          <w:highlight w:val="none"/>
        </w:rPr>
        <w:t>c.不同投标人的投标文件载明的项目管理成员为同一人；</w:t>
      </w:r>
    </w:p>
    <w:p>
      <w:pPr>
        <w:bidi w:val="0"/>
        <w:rPr>
          <w:highlight w:val="none"/>
        </w:rPr>
      </w:pPr>
      <w:r>
        <w:rPr>
          <w:highlight w:val="none"/>
        </w:rPr>
        <w:t>d.不同投标人的投标文件异常一致或投标报价呈规律性差异；</w:t>
      </w:r>
    </w:p>
    <w:p>
      <w:pPr>
        <w:bidi w:val="0"/>
        <w:rPr>
          <w:highlight w:val="none"/>
        </w:rPr>
      </w:pPr>
      <w:r>
        <w:rPr>
          <w:highlight w:val="none"/>
        </w:rPr>
        <w:t>e.不同投标人的投标文件相互混装；</w:t>
      </w:r>
    </w:p>
    <w:p>
      <w:pPr>
        <w:bidi w:val="0"/>
        <w:rPr>
          <w:highlight w:val="none"/>
        </w:rPr>
      </w:pPr>
      <w:r>
        <w:rPr>
          <w:highlight w:val="none"/>
        </w:rPr>
        <w:t>f.不同投标人的投标保证金从同一单位或个人的账户转出。</w:t>
      </w:r>
    </w:p>
    <w:p>
      <w:pPr>
        <w:bidi w:val="0"/>
        <w:rPr>
          <w:highlight w:val="none"/>
        </w:rPr>
      </w:pPr>
      <w:r>
        <w:rPr>
          <w:rFonts w:hint="eastAsia"/>
          <w:highlight w:val="none"/>
        </w:rPr>
        <w:t>（3）</w:t>
      </w:r>
      <w:r>
        <w:rPr>
          <w:highlight w:val="none"/>
        </w:rPr>
        <w:t>有下列情形之一的，属于招标人与投标人串通投标：</w:t>
      </w:r>
    </w:p>
    <w:p>
      <w:pPr>
        <w:bidi w:val="0"/>
        <w:rPr>
          <w:highlight w:val="none"/>
        </w:rPr>
      </w:pPr>
      <w:r>
        <w:rPr>
          <w:highlight w:val="none"/>
        </w:rPr>
        <w:t>a.招标人在开标前开启投标文件并将有关信息泄露给其他投标人;</w:t>
      </w:r>
    </w:p>
    <w:p>
      <w:pPr>
        <w:bidi w:val="0"/>
        <w:rPr>
          <w:highlight w:val="none"/>
        </w:rPr>
      </w:pPr>
      <w:r>
        <w:rPr>
          <w:highlight w:val="none"/>
        </w:rPr>
        <w:t>b.招标人直接或间接向投标人泄露标底、评标委员会成员等信息；</w:t>
      </w:r>
    </w:p>
    <w:p>
      <w:pPr>
        <w:bidi w:val="0"/>
        <w:rPr>
          <w:highlight w:val="none"/>
        </w:rPr>
      </w:pPr>
      <w:r>
        <w:rPr>
          <w:highlight w:val="none"/>
        </w:rPr>
        <w:t>c.招标人明示或暗示投标人压低或抬高投标报价；</w:t>
      </w:r>
    </w:p>
    <w:p>
      <w:pPr>
        <w:bidi w:val="0"/>
        <w:rPr>
          <w:highlight w:val="none"/>
        </w:rPr>
      </w:pPr>
      <w:r>
        <w:rPr>
          <w:highlight w:val="none"/>
        </w:rPr>
        <w:t>d.招标人授意投标人撤换、修改投标文件；</w:t>
      </w:r>
    </w:p>
    <w:p>
      <w:pPr>
        <w:bidi w:val="0"/>
        <w:rPr>
          <w:highlight w:val="none"/>
        </w:rPr>
      </w:pPr>
      <w:r>
        <w:rPr>
          <w:highlight w:val="none"/>
        </w:rPr>
        <w:t>e.招标人明示或暗示投标人为特定投标人中标提供方便；</w:t>
      </w:r>
    </w:p>
    <w:p>
      <w:pPr>
        <w:bidi w:val="0"/>
        <w:rPr>
          <w:highlight w:val="none"/>
        </w:rPr>
      </w:pPr>
      <w:r>
        <w:rPr>
          <w:highlight w:val="none"/>
        </w:rPr>
        <w:t>f.招标人与投标人为谋求特定投标人中标而采取的其他串通行为。</w:t>
      </w:r>
    </w:p>
    <w:p>
      <w:pPr>
        <w:bidi w:val="0"/>
        <w:rPr>
          <w:highlight w:val="none"/>
        </w:rPr>
      </w:pPr>
      <w:r>
        <w:rPr>
          <w:rFonts w:hint="eastAsia"/>
          <w:highlight w:val="none"/>
        </w:rPr>
        <w:t>（4）</w:t>
      </w:r>
      <w:r>
        <w:rPr>
          <w:highlight w:val="none"/>
        </w:rPr>
        <w:t>投标人有下列情形之一的，属于弄虚作假的行为：</w:t>
      </w:r>
    </w:p>
    <w:p>
      <w:pPr>
        <w:bidi w:val="0"/>
        <w:rPr>
          <w:highlight w:val="none"/>
        </w:rPr>
      </w:pPr>
      <w:r>
        <w:rPr>
          <w:highlight w:val="none"/>
        </w:rPr>
        <w:t>a.使用通过受让或租借等方式获取的资格、资质证书投标</w:t>
      </w:r>
      <w:r>
        <w:rPr>
          <w:rFonts w:hint="eastAsia"/>
          <w:highlight w:val="none"/>
        </w:rPr>
        <w:t>；</w:t>
      </w:r>
    </w:p>
    <w:p>
      <w:pPr>
        <w:bidi w:val="0"/>
        <w:rPr>
          <w:highlight w:val="none"/>
        </w:rPr>
      </w:pPr>
      <w:r>
        <w:rPr>
          <w:highlight w:val="none"/>
        </w:rPr>
        <w:t>b.使用伪造、变造的许可证件；</w:t>
      </w:r>
    </w:p>
    <w:p>
      <w:pPr>
        <w:bidi w:val="0"/>
        <w:rPr>
          <w:highlight w:val="none"/>
        </w:rPr>
      </w:pPr>
      <w:r>
        <w:rPr>
          <w:highlight w:val="none"/>
        </w:rPr>
        <w:t>c.提供虚假的业绩；</w:t>
      </w:r>
    </w:p>
    <w:p>
      <w:pPr>
        <w:bidi w:val="0"/>
        <w:rPr>
          <w:highlight w:val="none"/>
        </w:rPr>
      </w:pPr>
      <w:r>
        <w:rPr>
          <w:highlight w:val="none"/>
        </w:rPr>
        <w:t>d.提供虚假的项目负责人或主要技术人员简历、劳动关系证明；</w:t>
      </w:r>
    </w:p>
    <w:p>
      <w:pPr>
        <w:bidi w:val="0"/>
        <w:rPr>
          <w:highlight w:val="none"/>
        </w:rPr>
      </w:pPr>
      <w:r>
        <w:rPr>
          <w:highlight w:val="none"/>
        </w:rPr>
        <w:t>e.提供虚假的信用状况；</w:t>
      </w:r>
    </w:p>
    <w:p>
      <w:pPr>
        <w:bidi w:val="0"/>
        <w:rPr>
          <w:rFonts w:hint="eastAsia"/>
          <w:highlight w:val="none"/>
        </w:rPr>
      </w:pPr>
      <w:r>
        <w:rPr>
          <w:highlight w:val="none"/>
        </w:rPr>
        <w:t>f.其他弄虚作假的行为。</w:t>
      </w:r>
    </w:p>
    <w:p>
      <w:pPr>
        <w:bidi w:val="0"/>
        <w:rPr>
          <w:highlight w:val="none"/>
        </w:rPr>
      </w:pPr>
      <w:r>
        <w:rPr>
          <w:highlight w:val="none"/>
        </w:rPr>
        <w:t>3.6.</w:t>
      </w:r>
      <w:r>
        <w:rPr>
          <w:rFonts w:hint="eastAsia"/>
          <w:highlight w:val="none"/>
        </w:rPr>
        <w:t>2</w:t>
      </w:r>
      <w:r>
        <w:rPr>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投标人的违法行为由行政监督部门依法处理。</w:t>
      </w:r>
    </w:p>
    <w:p>
      <w:pPr>
        <w:bidi w:val="0"/>
        <w:rPr>
          <w:b/>
          <w:bCs/>
          <w:highlight w:val="none"/>
        </w:rPr>
      </w:pPr>
      <w:bookmarkStart w:id="13" w:name="_Toc503235818"/>
      <w:r>
        <w:rPr>
          <w:b/>
          <w:bCs/>
          <w:highlight w:val="none"/>
        </w:rPr>
        <w:t>3.</w:t>
      </w:r>
      <w:r>
        <w:rPr>
          <w:rFonts w:hint="eastAsia"/>
          <w:b/>
          <w:bCs/>
          <w:highlight w:val="none"/>
        </w:rPr>
        <w:t>7</w:t>
      </w:r>
      <w:r>
        <w:rPr>
          <w:b/>
          <w:bCs/>
          <w:highlight w:val="none"/>
        </w:rPr>
        <w:t xml:space="preserve"> 投标文件的澄清和</w:t>
      </w:r>
      <w:r>
        <w:rPr>
          <w:rFonts w:hint="eastAsia"/>
          <w:b/>
          <w:bCs/>
          <w:highlight w:val="none"/>
        </w:rPr>
        <w:t>说明</w:t>
      </w:r>
      <w:bookmarkEnd w:id="13"/>
    </w:p>
    <w:p>
      <w:pPr>
        <w:bidi w:val="0"/>
        <w:rPr>
          <w:highlight w:val="none"/>
        </w:rPr>
      </w:pPr>
      <w:r>
        <w:rPr>
          <w:highlight w:val="none"/>
        </w:rPr>
        <w:t>3.</w:t>
      </w:r>
      <w:r>
        <w:rPr>
          <w:rFonts w:hint="eastAsia"/>
          <w:highlight w:val="none"/>
        </w:rPr>
        <w:t>7</w:t>
      </w:r>
      <w:r>
        <w:rPr>
          <w:highlight w:val="none"/>
        </w:rPr>
        <w:t>.1</w:t>
      </w:r>
      <w:r>
        <w:rPr>
          <w:rFonts w:hint="eastAsia"/>
          <w:highlight w:val="none"/>
        </w:rPr>
        <w:t xml:space="preserve"> </w:t>
      </w:r>
      <w:r>
        <w:rPr>
          <w:highlight w:val="none"/>
        </w:rPr>
        <w:t>在评标过程中，评标委员会可以书面形式要求投标人对投标文件中</w:t>
      </w:r>
      <w:r>
        <w:rPr>
          <w:rFonts w:hint="eastAsia"/>
          <w:highlight w:val="none"/>
        </w:rPr>
        <w:t>含义</w:t>
      </w:r>
      <w:r>
        <w:rPr>
          <w:highlight w:val="none"/>
        </w:rPr>
        <w:t>不明确的内容</w:t>
      </w:r>
      <w:r>
        <w:rPr>
          <w:rFonts w:hint="eastAsia"/>
          <w:highlight w:val="none"/>
        </w:rPr>
        <w:t>、明显文字或计算错误</w:t>
      </w:r>
      <w:r>
        <w:rPr>
          <w:highlight w:val="none"/>
        </w:rPr>
        <w:t>进行书面澄清或说明。评标委员会不接受投标人主动提出的澄清、说明。</w:t>
      </w:r>
      <w:r>
        <w:rPr>
          <w:rFonts w:hint="eastAsia"/>
          <w:highlight w:val="none"/>
        </w:rPr>
        <w:t>投标人不按评标委员会要求澄清或说明的，评标委员会应否决其投标。</w:t>
      </w:r>
    </w:p>
    <w:p>
      <w:pPr>
        <w:bidi w:val="0"/>
        <w:rPr>
          <w:highlight w:val="none"/>
        </w:rPr>
      </w:pPr>
      <w:r>
        <w:rPr>
          <w:highlight w:val="none"/>
        </w:rPr>
        <w:t>3.</w:t>
      </w:r>
      <w:r>
        <w:rPr>
          <w:rFonts w:hint="eastAsia"/>
          <w:highlight w:val="none"/>
        </w:rPr>
        <w:t>7</w:t>
      </w:r>
      <w:r>
        <w:rPr>
          <w:highlight w:val="none"/>
        </w:rPr>
        <w:t>.2</w:t>
      </w:r>
      <w:r>
        <w:rPr>
          <w:rFonts w:hint="eastAsia"/>
          <w:highlight w:val="none"/>
        </w:rPr>
        <w:t xml:space="preserve"> </w:t>
      </w:r>
      <w:r>
        <w:rPr>
          <w:highlight w:val="none"/>
        </w:rPr>
        <w:t>澄清</w:t>
      </w:r>
      <w:r>
        <w:rPr>
          <w:rFonts w:hint="eastAsia"/>
          <w:highlight w:val="none"/>
        </w:rPr>
        <w:t>和</w:t>
      </w:r>
      <w:r>
        <w:rPr>
          <w:highlight w:val="none"/>
        </w:rPr>
        <w:t>说明不得</w:t>
      </w:r>
      <w:r>
        <w:rPr>
          <w:rFonts w:hint="eastAsia"/>
          <w:highlight w:val="none"/>
        </w:rPr>
        <w:t>超出投标文件的范围或</w:t>
      </w:r>
      <w:r>
        <w:rPr>
          <w:highlight w:val="none"/>
        </w:rPr>
        <w:t>改变投标文件的实质性内容（算术性错误的修正除外）。投标人的书面澄清、说明属于投标文件的组成部分。</w:t>
      </w:r>
    </w:p>
    <w:p>
      <w:pPr>
        <w:bidi w:val="0"/>
        <w:rPr>
          <w:highlight w:val="none"/>
        </w:rPr>
      </w:pPr>
      <w:r>
        <w:rPr>
          <w:highlight w:val="none"/>
        </w:rPr>
        <w:t>3.</w:t>
      </w:r>
      <w:r>
        <w:rPr>
          <w:rFonts w:hint="eastAsia"/>
          <w:highlight w:val="none"/>
        </w:rPr>
        <w:t>7</w:t>
      </w:r>
      <w:r>
        <w:rPr>
          <w:highlight w:val="none"/>
        </w:rPr>
        <w:t>.3</w:t>
      </w:r>
      <w:r>
        <w:rPr>
          <w:rFonts w:hint="eastAsia"/>
          <w:highlight w:val="none"/>
        </w:rPr>
        <w:t xml:space="preserve"> </w:t>
      </w:r>
      <w:r>
        <w:rPr>
          <w:highlight w:val="none"/>
        </w:rPr>
        <w:t>评标委员会</w:t>
      </w:r>
      <w:r>
        <w:rPr>
          <w:rFonts w:hint="eastAsia"/>
          <w:highlight w:val="none"/>
        </w:rPr>
        <w:t>不得暗示或诱导投标人作出澄清、说明，</w:t>
      </w:r>
      <w:r>
        <w:rPr>
          <w:highlight w:val="none"/>
        </w:rPr>
        <w:t>对投标人提交的澄清、说明有疑问的，可以要求投标人进一步澄清</w:t>
      </w:r>
      <w:r>
        <w:rPr>
          <w:rFonts w:hint="eastAsia"/>
          <w:highlight w:val="none"/>
        </w:rPr>
        <w:t>或</w:t>
      </w:r>
      <w:r>
        <w:rPr>
          <w:highlight w:val="none"/>
        </w:rPr>
        <w:t>说明，直至满足评标委员会的要求。</w:t>
      </w:r>
    </w:p>
    <w:p>
      <w:pPr>
        <w:bidi w:val="0"/>
        <w:rPr>
          <w:highlight w:val="none"/>
        </w:rPr>
      </w:pPr>
      <w:r>
        <w:rPr>
          <w:rFonts w:hint="eastAsia"/>
          <w:highlight w:val="none"/>
        </w:rPr>
        <w:t>3.7.4 凡超出招标文件规定的或给发包人带来未曾要求的利益的变化、偏差或其他因素在评标时不予考虑。</w:t>
      </w:r>
    </w:p>
    <w:p>
      <w:pPr>
        <w:bidi w:val="0"/>
        <w:rPr>
          <w:b/>
          <w:bCs/>
          <w:highlight w:val="none"/>
        </w:rPr>
      </w:pPr>
      <w:bookmarkStart w:id="14" w:name="_Toc501257170"/>
      <w:bookmarkStart w:id="15" w:name="_Toc503235819"/>
      <w:r>
        <w:rPr>
          <w:rFonts w:hint="eastAsia"/>
          <w:b/>
          <w:bCs/>
          <w:highlight w:val="none"/>
        </w:rPr>
        <w:t>3.8 不得否决投标的情形</w:t>
      </w:r>
      <w:bookmarkEnd w:id="14"/>
      <w:bookmarkEnd w:id="15"/>
    </w:p>
    <w:p>
      <w:pPr>
        <w:bidi w:val="0"/>
        <w:rPr>
          <w:highlight w:val="none"/>
        </w:rPr>
      </w:pPr>
      <w:r>
        <w:rPr>
          <w:rFonts w:hint="eastAsia"/>
          <w:highlight w:val="none"/>
        </w:rPr>
        <w:t>投标文件存在第二章“投标人须知”第1.12.3项所列情形的，均视为细微偏差，评标委员会不得否决投标人的投标，</w:t>
      </w:r>
      <w:r>
        <w:rPr>
          <w:highlight w:val="none"/>
        </w:rPr>
        <w:t>应按照</w:t>
      </w:r>
      <w:r>
        <w:rPr>
          <w:rFonts w:hint="eastAsia"/>
          <w:highlight w:val="none"/>
        </w:rPr>
        <w:t>第二章“投标人须知”第1.12.4项规定的原则处理。</w:t>
      </w:r>
    </w:p>
    <w:p>
      <w:pPr>
        <w:bidi w:val="0"/>
        <w:rPr>
          <w:b/>
          <w:bCs/>
          <w:highlight w:val="none"/>
        </w:rPr>
      </w:pPr>
      <w:bookmarkStart w:id="16" w:name="_Toc503235820"/>
      <w:r>
        <w:rPr>
          <w:b/>
          <w:bCs/>
          <w:highlight w:val="none"/>
        </w:rPr>
        <w:t>3.</w:t>
      </w:r>
      <w:r>
        <w:rPr>
          <w:rFonts w:hint="eastAsia"/>
          <w:b/>
          <w:bCs/>
          <w:highlight w:val="none"/>
        </w:rPr>
        <w:t>9</w:t>
      </w:r>
      <w:r>
        <w:rPr>
          <w:b/>
          <w:bCs/>
          <w:highlight w:val="none"/>
        </w:rPr>
        <w:t xml:space="preserve"> 评标结果</w:t>
      </w:r>
      <w:bookmarkEnd w:id="16"/>
    </w:p>
    <w:p>
      <w:pPr>
        <w:bidi w:val="0"/>
        <w:rPr>
          <w:highlight w:val="none"/>
        </w:rPr>
      </w:pPr>
      <w:r>
        <w:rPr>
          <w:highlight w:val="none"/>
        </w:rPr>
        <w:t>3.</w:t>
      </w:r>
      <w:r>
        <w:rPr>
          <w:rFonts w:hint="eastAsia"/>
          <w:highlight w:val="none"/>
        </w:rPr>
        <w:t>9</w:t>
      </w:r>
      <w:r>
        <w:rPr>
          <w:highlight w:val="none"/>
        </w:rPr>
        <w:t>.1</w:t>
      </w:r>
      <w:r>
        <w:rPr>
          <w:rFonts w:hint="eastAsia"/>
          <w:highlight w:val="none"/>
        </w:rPr>
        <w:t xml:space="preserve"> </w:t>
      </w:r>
      <w:r>
        <w:rPr>
          <w:highlight w:val="none"/>
        </w:rPr>
        <w:t>除第二章</w:t>
      </w:r>
      <w:r>
        <w:rPr>
          <w:rFonts w:hint="eastAsia"/>
          <w:highlight w:val="none"/>
        </w:rPr>
        <w:t>“</w:t>
      </w:r>
      <w:r>
        <w:rPr>
          <w:highlight w:val="none"/>
        </w:rPr>
        <w:t>投标人须知</w:t>
      </w:r>
      <w:r>
        <w:rPr>
          <w:rFonts w:hint="eastAsia"/>
          <w:highlight w:val="none"/>
        </w:rPr>
        <w:t>”</w:t>
      </w:r>
      <w:r>
        <w:rPr>
          <w:highlight w:val="none"/>
        </w:rPr>
        <w:t>前附表授权直接确定中标人外，评标委员会按照得分由高到低的顺序推荐中标候选人</w:t>
      </w:r>
      <w:r>
        <w:rPr>
          <w:rFonts w:hint="eastAsia"/>
          <w:highlight w:val="none"/>
        </w:rPr>
        <w:t>，</w:t>
      </w:r>
      <w:r>
        <w:rPr>
          <w:highlight w:val="none"/>
        </w:rPr>
        <w:t>并标明排序。</w:t>
      </w:r>
    </w:p>
    <w:p>
      <w:pPr>
        <w:bidi w:val="0"/>
        <w:rPr>
          <w:highlight w:val="none"/>
        </w:rPr>
      </w:pPr>
      <w:r>
        <w:rPr>
          <w:highlight w:val="none"/>
        </w:rPr>
        <w:t>3.</w:t>
      </w:r>
      <w:r>
        <w:rPr>
          <w:rFonts w:hint="eastAsia"/>
          <w:highlight w:val="none"/>
        </w:rPr>
        <w:t>9</w:t>
      </w:r>
      <w:r>
        <w:rPr>
          <w:highlight w:val="none"/>
        </w:rPr>
        <w:t>.2 评标委员会完成评标后，应向招标人提交书面评标报告。</w:t>
      </w:r>
      <w:bookmarkEnd w:id="5"/>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方正黑体_GBK">
    <w:altName w:val="黑体"/>
    <w:panose1 w:val="00000000000000000000"/>
    <w:charset w:val="86"/>
    <w:family w:val="script"/>
    <w:pitch w:val="default"/>
    <w:sig w:usb0="00000000" w:usb1="00000000" w:usb2="00000010" w:usb3="00000000" w:csb0="00040000" w:csb1="00000000"/>
  </w:font>
  <w:font w:name="创艺简老宋">
    <w:altName w:val="黑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Garamond">
    <w:panose1 w:val="02020404030301010803"/>
    <w:charset w:val="00"/>
    <w:family w:val="roman"/>
    <w:pitch w:val="default"/>
    <w:sig w:usb0="00000287" w:usb1="00000000" w:usb2="00000000" w:usb3="00000000" w:csb0="0000009F" w:csb1="DFD70000"/>
  </w:font>
  <w:font w:name="Plotter">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Comic Sans MS">
    <w:panose1 w:val="030F0702030302020204"/>
    <w:charset w:val="00"/>
    <w:family w:val="script"/>
    <w:pitch w:val="default"/>
    <w:sig w:usb0="00000287" w:usb1="00000013" w:usb2="00000000" w:usb3="00000000" w:csb0="2000009F" w:csb1="00000000"/>
  </w:font>
  <w:font w:name="方正书宋_GBK">
    <w:altName w:val="宋体"/>
    <w:panose1 w:val="00000000000000000000"/>
    <w:charset w:val="86"/>
    <w:family w:val="auto"/>
    <w:pitch w:val="default"/>
    <w:sig w:usb0="00000000" w:usb1="00000000" w:usb2="00000010" w:usb3="00000000" w:csb0="00040000" w:csb1="00000000"/>
  </w:font>
  <w:font w:name="长城新魏碑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C99257"/>
    <w:multiLevelType w:val="singleLevel"/>
    <w:tmpl w:val="C1C99257"/>
    <w:lvl w:ilvl="0" w:tentative="0">
      <w:start w:val="2"/>
      <w:numFmt w:val="decimal"/>
      <w:suff w:val="nothing"/>
      <w:lvlText w:val="（%1）"/>
      <w:lvlJc w:val="left"/>
    </w:lvl>
  </w:abstractNum>
  <w:abstractNum w:abstractNumId="1">
    <w:nsid w:val="5D638B3D"/>
    <w:multiLevelType w:val="singleLevel"/>
    <w:tmpl w:val="5D638B3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10F8A"/>
    <w:rsid w:val="17410F8A"/>
    <w:rsid w:val="44FE48DA"/>
    <w:rsid w:val="503D7995"/>
    <w:rsid w:val="61756D5F"/>
    <w:rsid w:val="6DCF6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40" w:lineRule="exact"/>
      <w:ind w:firstLine="480" w:firstLineChars="200"/>
      <w:jc w:val="both"/>
      <w:textAlignment w:val="baseline"/>
    </w:pPr>
    <w:rPr>
      <w:rFonts w:ascii="Times New Roman" w:hAnsi="Times New Roman" w:eastAsia="宋体"/>
      <w:sz w:val="24"/>
      <w:szCs w:val="22"/>
      <w:lang w:val="en-US" w:eastAsia="zh-CN" w:bidi="ar-SA"/>
    </w:rPr>
  </w:style>
  <w:style w:type="paragraph" w:styleId="3">
    <w:name w:val="heading 1"/>
    <w:basedOn w:val="1"/>
    <w:next w:val="1"/>
    <w:qFormat/>
    <w:uiPriority w:val="0"/>
    <w:pPr>
      <w:keepNext/>
      <w:keepLines/>
      <w:spacing w:before="120" w:beforeLines="0" w:after="120" w:line="440" w:lineRule="exact"/>
      <w:ind w:firstLine="0" w:firstLineChars="0"/>
      <w:jc w:val="both"/>
      <w:outlineLvl w:val="0"/>
    </w:pPr>
    <w:rPr>
      <w:rFonts w:ascii="黑体" w:hAnsi="黑体" w:eastAsia="黑体"/>
      <w:bCs/>
      <w:kern w:val="44"/>
      <w:sz w:val="28"/>
      <w:szCs w:val="44"/>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afterLines="0"/>
      <w:ind w:left="420" w:leftChars="200"/>
    </w:pPr>
    <w:rPr>
      <w:rFonts w:ascii="Times New Roman" w:hAnsi="Times New Roman"/>
      <w:sz w:val="20"/>
      <w:szCs w:val="24"/>
    </w:rPr>
  </w:style>
  <w:style w:type="paragraph" w:styleId="4">
    <w:name w:val="Body Text Indent 2"/>
    <w:basedOn w:val="1"/>
    <w:uiPriority w:val="0"/>
    <w:pPr>
      <w:spacing w:line="500" w:lineRule="exact"/>
      <w:ind w:firstLine="540" w:firstLineChars="200"/>
    </w:pPr>
    <w:rPr>
      <w:rFonts w:ascii="宋体" w:hAnsi="宋体"/>
      <w:sz w:val="27"/>
      <w:szCs w:val="27"/>
    </w:rPr>
  </w:style>
  <w:style w:type="paragraph" w:styleId="5">
    <w:name w:val="footer"/>
    <w:basedOn w:val="1"/>
    <w:uiPriority w:val="0"/>
    <w:pPr>
      <w:tabs>
        <w:tab w:val="center" w:pos="4153"/>
        <w:tab w:val="right" w:pos="8306"/>
      </w:tabs>
      <w:snapToGrid w:val="0"/>
      <w:jc w:val="left"/>
    </w:pPr>
    <w:rPr>
      <w:rFonts w:ascii="Times New Roman" w:hAnsi="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2023-03-07T01:53:00Z</dcterms:created>
  <dc:creator>王磊</dc:creator>
  <cp:lastModifiedBy>王磊</cp:lastModifiedBy>
  <cp:lastPrinted>2023-03-07T02:32:22Z</cp:lastPrinted>
  <dcterms:modified xsi:type="dcterms:W3CDTF">2023-03-07T02:45:50Z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