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658EB">
      <w:pPr>
        <w:spacing w:line="720" w:lineRule="auto"/>
        <w:jc w:val="center"/>
        <w:rPr>
          <w:rFonts w:hint="default" w:ascii="宋体" w:hAnsi="宋体" w:eastAsia="宋体" w:cs="宋体"/>
          <w:b/>
          <w:color w:val="auto"/>
          <w:kern w:val="0"/>
          <w:sz w:val="48"/>
          <w:szCs w:val="48"/>
          <w:highlight w:val="none"/>
        </w:rPr>
      </w:pPr>
      <w:bookmarkStart w:id="1" w:name="_GoBack"/>
      <w:bookmarkEnd w:id="1"/>
      <w:bookmarkStart w:id="0" w:name="_Hlk53133821"/>
    </w:p>
    <w:p w14:paraId="3EA19340">
      <w:pPr>
        <w:spacing w:line="720" w:lineRule="auto"/>
        <w:jc w:val="center"/>
        <w:rPr>
          <w:rFonts w:hint="eastAsia" w:ascii="宋体" w:hAnsi="宋体" w:cs="宋体"/>
          <w:b/>
          <w:color w:val="auto"/>
          <w:kern w:val="0"/>
          <w:sz w:val="56"/>
          <w:szCs w:val="56"/>
          <w:highlight w:val="none"/>
          <w:lang w:val="en-US" w:eastAsia="zh-CN"/>
        </w:rPr>
      </w:pPr>
      <w:r>
        <w:rPr>
          <w:rFonts w:hint="eastAsia" w:ascii="宋体" w:hAnsi="宋体" w:cs="宋体"/>
          <w:b/>
          <w:color w:val="auto"/>
          <w:kern w:val="0"/>
          <w:sz w:val="56"/>
          <w:szCs w:val="56"/>
          <w:highlight w:val="none"/>
          <w:lang w:val="en-US" w:eastAsia="zh-CN"/>
        </w:rPr>
        <w:t>广州塔广场数智生活科技体验馆</w:t>
      </w:r>
    </w:p>
    <w:p w14:paraId="6A740859">
      <w:pPr>
        <w:spacing w:line="720" w:lineRule="auto"/>
        <w:jc w:val="center"/>
        <w:rPr>
          <w:rFonts w:hint="eastAsia" w:ascii="宋体" w:hAnsi="宋体" w:cs="宋体"/>
          <w:b/>
          <w:color w:val="auto"/>
          <w:kern w:val="0"/>
          <w:sz w:val="56"/>
          <w:szCs w:val="56"/>
          <w:highlight w:val="none"/>
          <w:lang w:val="en-US" w:eastAsia="zh-CN"/>
        </w:rPr>
      </w:pPr>
      <w:r>
        <w:rPr>
          <w:rFonts w:hint="eastAsia" w:ascii="宋体" w:hAnsi="宋体" w:cs="宋体"/>
          <w:b/>
          <w:color w:val="auto"/>
          <w:kern w:val="0"/>
          <w:sz w:val="56"/>
          <w:szCs w:val="56"/>
          <w:highlight w:val="none"/>
          <w:lang w:val="en-US" w:eastAsia="zh-CN"/>
        </w:rPr>
        <w:t>项目幕墙施工专业承包</w:t>
      </w:r>
    </w:p>
    <w:bookmarkEnd w:id="0"/>
    <w:p w14:paraId="50FBC46D">
      <w:pPr>
        <w:spacing w:line="360" w:lineRule="auto"/>
        <w:jc w:val="center"/>
        <w:rPr>
          <w:rFonts w:ascii="宋体" w:hAnsi="宋体" w:cs="宋体"/>
          <w:color w:val="auto"/>
          <w:sz w:val="36"/>
          <w:szCs w:val="36"/>
          <w:highlight w:val="none"/>
          <w:u w:val="single"/>
        </w:rPr>
      </w:pPr>
    </w:p>
    <w:p w14:paraId="3EAE00DF">
      <w:pPr>
        <w:spacing w:line="360" w:lineRule="auto"/>
        <w:jc w:val="center"/>
        <w:rPr>
          <w:rFonts w:ascii="宋体" w:hAnsi="宋体" w:cs="宋体"/>
          <w:color w:val="auto"/>
          <w:sz w:val="36"/>
          <w:szCs w:val="36"/>
          <w:highlight w:val="none"/>
          <w:u w:val="single"/>
        </w:rPr>
      </w:pPr>
    </w:p>
    <w:p w14:paraId="7F59913F">
      <w:pPr>
        <w:spacing w:line="360" w:lineRule="auto"/>
        <w:jc w:val="center"/>
        <w:rPr>
          <w:rFonts w:ascii="宋体" w:hAnsi="宋体" w:cs="宋体"/>
          <w:color w:val="auto"/>
          <w:sz w:val="36"/>
          <w:szCs w:val="36"/>
          <w:highlight w:val="none"/>
          <w:u w:val="single"/>
        </w:rPr>
      </w:pPr>
    </w:p>
    <w:p w14:paraId="421462A6">
      <w:pPr>
        <w:spacing w:line="360" w:lineRule="auto"/>
        <w:jc w:val="center"/>
        <w:rPr>
          <w:rFonts w:ascii="宋体" w:hAnsi="宋体" w:cs="宋体"/>
          <w:color w:val="auto"/>
          <w:sz w:val="36"/>
          <w:szCs w:val="36"/>
          <w:highlight w:val="none"/>
          <w:u w:val="single"/>
        </w:rPr>
      </w:pPr>
    </w:p>
    <w:p w14:paraId="73FEB0FE">
      <w:pPr>
        <w:spacing w:line="360" w:lineRule="auto"/>
        <w:jc w:val="center"/>
        <w:rPr>
          <w:rFonts w:hint="eastAsia" w:ascii="宋体" w:hAnsi="宋体" w:eastAsia="宋体" w:cs="宋体"/>
          <w:b/>
          <w:bCs/>
          <w:color w:val="auto"/>
          <w:spacing w:val="26"/>
          <w:sz w:val="84"/>
          <w:szCs w:val="84"/>
          <w:highlight w:val="none"/>
        </w:rPr>
      </w:pPr>
      <w:r>
        <w:rPr>
          <w:rFonts w:hint="eastAsia" w:ascii="宋体" w:hAnsi="宋体" w:eastAsia="宋体" w:cs="宋体"/>
          <w:b/>
          <w:bCs/>
          <w:color w:val="auto"/>
          <w:spacing w:val="26"/>
          <w:sz w:val="84"/>
          <w:szCs w:val="84"/>
          <w:highlight w:val="none"/>
        </w:rPr>
        <w:t>招标公告</w:t>
      </w:r>
    </w:p>
    <w:p w14:paraId="44CA39B2">
      <w:pPr>
        <w:spacing w:line="360" w:lineRule="auto"/>
        <w:jc w:val="center"/>
        <w:rPr>
          <w:rFonts w:ascii="宋体" w:hAnsi="宋体" w:cs="宋体"/>
          <w:color w:val="auto"/>
          <w:sz w:val="32"/>
          <w:szCs w:val="32"/>
          <w:highlight w:val="none"/>
        </w:rPr>
      </w:pPr>
    </w:p>
    <w:p w14:paraId="612854F7">
      <w:pPr>
        <w:spacing w:line="360" w:lineRule="auto"/>
        <w:ind w:firstLine="2560" w:firstLineChars="800"/>
        <w:rPr>
          <w:rFonts w:ascii="宋体" w:hAnsi="宋体" w:cs="宋体"/>
          <w:color w:val="auto"/>
          <w:sz w:val="32"/>
          <w:szCs w:val="32"/>
          <w:highlight w:val="none"/>
        </w:rPr>
      </w:pPr>
    </w:p>
    <w:p w14:paraId="575298D2">
      <w:pPr>
        <w:spacing w:line="360" w:lineRule="auto"/>
        <w:ind w:firstLine="2560" w:firstLineChars="800"/>
        <w:rPr>
          <w:rFonts w:ascii="宋体" w:hAnsi="宋体" w:cs="宋体"/>
          <w:color w:val="auto"/>
          <w:sz w:val="32"/>
          <w:szCs w:val="32"/>
          <w:highlight w:val="none"/>
        </w:rPr>
      </w:pPr>
    </w:p>
    <w:p w14:paraId="6D549ABB">
      <w:pPr>
        <w:spacing w:line="360" w:lineRule="auto"/>
        <w:ind w:firstLine="1200" w:firstLineChars="400"/>
        <w:rPr>
          <w:rFonts w:ascii="宋体" w:hAnsi="宋体" w:cs="宋体"/>
          <w:color w:val="auto"/>
          <w:sz w:val="30"/>
          <w:szCs w:val="30"/>
          <w:highlight w:val="none"/>
        </w:rPr>
      </w:pPr>
    </w:p>
    <w:p w14:paraId="2FD8407C">
      <w:pPr>
        <w:spacing w:line="360" w:lineRule="auto"/>
        <w:ind w:firstLine="1200" w:firstLineChars="400"/>
        <w:rPr>
          <w:rFonts w:ascii="宋体" w:hAnsi="宋体" w:cs="宋体"/>
          <w:color w:val="auto"/>
          <w:sz w:val="30"/>
          <w:szCs w:val="30"/>
          <w:highlight w:val="none"/>
        </w:rPr>
      </w:pPr>
    </w:p>
    <w:p w14:paraId="5EA5AB31">
      <w:pPr>
        <w:spacing w:line="360" w:lineRule="auto"/>
        <w:jc w:val="center"/>
        <w:rPr>
          <w:rFonts w:ascii="宋体" w:hAnsi="宋体" w:cs="宋体"/>
          <w:color w:val="auto"/>
          <w:spacing w:val="-2"/>
          <w:sz w:val="30"/>
          <w:szCs w:val="30"/>
          <w:highlight w:val="none"/>
        </w:rPr>
      </w:pPr>
    </w:p>
    <w:p w14:paraId="34839248">
      <w:pPr>
        <w:spacing w:line="360" w:lineRule="auto"/>
        <w:ind w:left="1984" w:leftChars="945"/>
        <w:jc w:val="left"/>
        <w:rPr>
          <w:rFonts w:ascii="宋体" w:hAnsi="宋体" w:cs="宋体"/>
          <w:b/>
          <w:bCs/>
          <w:color w:val="auto"/>
          <w:spacing w:val="-2"/>
          <w:sz w:val="30"/>
          <w:szCs w:val="30"/>
          <w:highlight w:val="none"/>
        </w:rPr>
      </w:pPr>
    </w:p>
    <w:p w14:paraId="4CD9FBB7">
      <w:pPr>
        <w:spacing w:line="360" w:lineRule="auto"/>
        <w:ind w:left="1418" w:leftChars="675"/>
        <w:jc w:val="left"/>
        <w:rPr>
          <w:rFonts w:hint="eastAsia" w:ascii="宋体" w:hAnsi="宋体" w:eastAsia="宋体" w:cs="宋体"/>
          <w:b/>
          <w:bCs/>
          <w:color w:val="auto"/>
          <w:spacing w:val="-2"/>
          <w:sz w:val="32"/>
          <w:szCs w:val="32"/>
          <w:highlight w:val="none"/>
          <w:u w:val="none"/>
          <w:lang w:eastAsia="zh-CN"/>
        </w:rPr>
      </w:pPr>
      <w:r>
        <w:rPr>
          <w:rFonts w:hint="eastAsia" w:ascii="宋体" w:hAnsi="宋体" w:eastAsia="宋体" w:cs="宋体"/>
          <w:b/>
          <w:bCs/>
          <w:color w:val="auto"/>
          <w:spacing w:val="-2"/>
          <w:sz w:val="32"/>
          <w:szCs w:val="32"/>
          <w:highlight w:val="none"/>
          <w:u w:val="none"/>
        </w:rPr>
        <w:t>招标单位：</w:t>
      </w:r>
      <w:r>
        <w:rPr>
          <w:rFonts w:hint="eastAsia" w:ascii="宋体" w:hAnsi="宋体" w:cs="宋体"/>
          <w:b/>
          <w:bCs/>
          <w:color w:val="auto"/>
          <w:spacing w:val="-2"/>
          <w:sz w:val="32"/>
          <w:szCs w:val="32"/>
          <w:highlight w:val="none"/>
          <w:u w:val="none"/>
          <w:lang w:eastAsia="zh-CN"/>
        </w:rPr>
        <w:t>广州新中轴建设有限公司</w:t>
      </w:r>
    </w:p>
    <w:p w14:paraId="04BFDDEF">
      <w:pPr>
        <w:spacing w:line="360" w:lineRule="auto"/>
        <w:ind w:left="1418" w:leftChars="675"/>
        <w:jc w:val="left"/>
        <w:rPr>
          <w:rFonts w:hint="eastAsia" w:ascii="宋体" w:hAnsi="宋体" w:eastAsia="宋体" w:cs="宋体"/>
          <w:b/>
          <w:bCs/>
          <w:color w:val="auto"/>
          <w:spacing w:val="-2"/>
          <w:sz w:val="32"/>
          <w:szCs w:val="32"/>
          <w:highlight w:val="none"/>
          <w:u w:val="none"/>
          <w:lang w:eastAsia="zh-CN"/>
        </w:rPr>
      </w:pPr>
      <w:r>
        <w:rPr>
          <w:rFonts w:hint="eastAsia" w:ascii="宋体" w:hAnsi="宋体" w:eastAsia="宋体" w:cs="宋体"/>
          <w:b/>
          <w:bCs/>
          <w:color w:val="auto"/>
          <w:spacing w:val="-2"/>
          <w:sz w:val="32"/>
          <w:szCs w:val="32"/>
          <w:highlight w:val="none"/>
          <w:u w:val="none"/>
        </w:rPr>
        <w:t>招标代理</w:t>
      </w:r>
      <w:r>
        <w:rPr>
          <w:rFonts w:hint="eastAsia" w:ascii="宋体" w:hAnsi="宋体" w:eastAsia="宋体" w:cs="宋体"/>
          <w:b/>
          <w:bCs/>
          <w:color w:val="auto"/>
          <w:spacing w:val="-2"/>
          <w:sz w:val="32"/>
          <w:szCs w:val="32"/>
          <w:highlight w:val="none"/>
          <w:u w:val="none"/>
          <w:lang w:val="en-US" w:eastAsia="zh-CN"/>
        </w:rPr>
        <w:t>机构</w:t>
      </w:r>
      <w:r>
        <w:rPr>
          <w:rFonts w:hint="eastAsia" w:ascii="宋体" w:hAnsi="宋体" w:eastAsia="宋体" w:cs="宋体"/>
          <w:b/>
          <w:bCs/>
          <w:color w:val="auto"/>
          <w:spacing w:val="-2"/>
          <w:sz w:val="32"/>
          <w:szCs w:val="32"/>
          <w:highlight w:val="none"/>
          <w:u w:val="none"/>
        </w:rPr>
        <w:t>：</w:t>
      </w:r>
      <w:r>
        <w:rPr>
          <w:rFonts w:hint="eastAsia" w:ascii="宋体" w:hAnsi="宋体" w:cs="宋体"/>
          <w:b/>
          <w:bCs/>
          <w:color w:val="auto"/>
          <w:spacing w:val="-2"/>
          <w:sz w:val="32"/>
          <w:szCs w:val="32"/>
          <w:highlight w:val="none"/>
          <w:u w:val="none"/>
          <w:lang w:eastAsia="zh-CN"/>
        </w:rPr>
        <w:t>建成工程咨询股份有限公司</w:t>
      </w:r>
    </w:p>
    <w:p w14:paraId="38035DC2">
      <w:pPr>
        <w:spacing w:line="360" w:lineRule="auto"/>
        <w:ind w:left="1418" w:leftChars="675"/>
        <w:jc w:val="left"/>
        <w:rPr>
          <w:rFonts w:hint="eastAsia" w:ascii="宋体" w:hAnsi="宋体" w:eastAsia="宋体" w:cs="宋体"/>
          <w:b/>
          <w:bCs/>
          <w:color w:val="auto"/>
          <w:spacing w:val="-2"/>
          <w:sz w:val="32"/>
          <w:szCs w:val="32"/>
          <w:highlight w:val="none"/>
          <w:u w:val="none"/>
          <w:lang w:eastAsia="zh-CN"/>
        </w:rPr>
      </w:pPr>
      <w:r>
        <w:rPr>
          <w:rFonts w:hint="eastAsia" w:ascii="宋体" w:hAnsi="宋体" w:eastAsia="宋体" w:cs="宋体"/>
          <w:b/>
          <w:bCs/>
          <w:color w:val="auto"/>
          <w:spacing w:val="-2"/>
          <w:sz w:val="32"/>
          <w:szCs w:val="32"/>
          <w:highlight w:val="none"/>
          <w:u w:val="none"/>
        </w:rPr>
        <w:t>日期：</w:t>
      </w:r>
      <w:r>
        <w:rPr>
          <w:rFonts w:hint="eastAsia" w:ascii="宋体" w:hAnsi="宋体" w:eastAsia="宋体" w:cs="宋体"/>
          <w:b/>
          <w:bCs/>
          <w:color w:val="auto"/>
          <w:spacing w:val="-2"/>
          <w:sz w:val="32"/>
          <w:szCs w:val="32"/>
          <w:highlight w:val="none"/>
          <w:u w:val="none"/>
          <w:lang w:eastAsia="zh-CN"/>
        </w:rPr>
        <w:t>202</w:t>
      </w:r>
      <w:r>
        <w:rPr>
          <w:rFonts w:hint="eastAsia" w:ascii="宋体" w:hAnsi="宋体" w:cs="宋体"/>
          <w:b/>
          <w:bCs/>
          <w:color w:val="auto"/>
          <w:spacing w:val="-2"/>
          <w:sz w:val="32"/>
          <w:szCs w:val="32"/>
          <w:highlight w:val="none"/>
          <w:u w:val="none"/>
          <w:lang w:val="en-US" w:eastAsia="zh-CN"/>
        </w:rPr>
        <w:t>5</w:t>
      </w:r>
      <w:r>
        <w:rPr>
          <w:rFonts w:hint="eastAsia" w:ascii="宋体" w:hAnsi="宋体" w:eastAsia="宋体" w:cs="宋体"/>
          <w:b/>
          <w:bCs/>
          <w:color w:val="auto"/>
          <w:spacing w:val="-2"/>
          <w:sz w:val="32"/>
          <w:szCs w:val="32"/>
          <w:highlight w:val="none"/>
          <w:u w:val="none"/>
          <w:lang w:eastAsia="zh-CN"/>
        </w:rPr>
        <w:t>年</w:t>
      </w:r>
      <w:r>
        <w:rPr>
          <w:rFonts w:hint="eastAsia" w:ascii="宋体" w:hAnsi="宋体" w:cs="宋体"/>
          <w:b/>
          <w:bCs/>
          <w:color w:val="auto"/>
          <w:spacing w:val="-2"/>
          <w:sz w:val="32"/>
          <w:szCs w:val="32"/>
          <w:highlight w:val="none"/>
          <w:u w:val="none"/>
          <w:lang w:val="en-US" w:eastAsia="zh-CN"/>
        </w:rPr>
        <w:t>12</w:t>
      </w:r>
      <w:r>
        <w:rPr>
          <w:rFonts w:hint="eastAsia" w:ascii="宋体" w:hAnsi="宋体" w:eastAsia="宋体" w:cs="宋体"/>
          <w:b/>
          <w:bCs/>
          <w:color w:val="auto"/>
          <w:spacing w:val="-2"/>
          <w:sz w:val="32"/>
          <w:szCs w:val="32"/>
          <w:highlight w:val="none"/>
          <w:u w:val="none"/>
          <w:lang w:eastAsia="zh-CN"/>
        </w:rPr>
        <w:t>月</w:t>
      </w:r>
    </w:p>
    <w:p w14:paraId="540E232B">
      <w:pPr>
        <w:spacing w:line="360" w:lineRule="auto"/>
        <w:ind w:left="1418" w:leftChars="675" w:firstLine="0"/>
        <w:jc w:val="left"/>
        <w:rPr>
          <w:rFonts w:hint="eastAsia" w:ascii="宋体" w:hAnsi="宋体" w:eastAsia="宋体" w:cs="宋体"/>
          <w:b/>
          <w:bCs/>
          <w:color w:val="auto"/>
          <w:spacing w:val="-2"/>
          <w:sz w:val="32"/>
          <w:szCs w:val="32"/>
          <w:highlight w:val="none"/>
          <w:u w:val="none"/>
        </w:rPr>
        <w:sectPr>
          <w:endnotePr>
            <w:numFmt w:val="decimal"/>
          </w:endnotePr>
          <w:pgSz w:w="11906" w:h="16838"/>
          <w:pgMar w:top="1417" w:right="1474" w:bottom="1417" w:left="1474" w:header="851" w:footer="992" w:gutter="0"/>
          <w:pgNumType w:start="1"/>
          <w:cols w:space="0" w:num="1"/>
          <w:rtlGutter w:val="0"/>
          <w:docGrid w:type="lines" w:linePitch="312" w:charSpace="0"/>
        </w:sectPr>
      </w:pPr>
    </w:p>
    <w:p w14:paraId="732D1E93">
      <w:pPr>
        <w:pStyle w:val="13"/>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color w:val="auto"/>
          <w:sz w:val="32"/>
          <w:szCs w:val="32"/>
          <w:highlight w:val="none"/>
          <w:u w:val="none"/>
          <w:lang w:val="en-US" w:eastAsia="zh-CN"/>
        </w:rPr>
      </w:pPr>
      <w:r>
        <w:rPr>
          <w:rFonts w:hint="eastAsia" w:eastAsia="宋体" w:cs="宋体"/>
          <w:b/>
          <w:color w:val="auto"/>
          <w:sz w:val="32"/>
          <w:szCs w:val="32"/>
          <w:highlight w:val="none"/>
          <w:u w:val="none"/>
          <w:lang w:eastAsia="zh-CN"/>
        </w:rPr>
        <w:t>广州塔广场数智生活科技体验馆项目幕墙施工专业承包</w:t>
      </w:r>
    </w:p>
    <w:p w14:paraId="2A1ACC18">
      <w:pPr>
        <w:pStyle w:val="13"/>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eastAsia="宋体" w:cs="宋体"/>
          <w:b/>
          <w:color w:val="auto"/>
          <w:sz w:val="32"/>
          <w:szCs w:val="32"/>
          <w:highlight w:val="none"/>
          <w:u w:val="none"/>
          <w:lang w:eastAsia="zh-CN"/>
        </w:rPr>
      </w:pPr>
      <w:r>
        <w:rPr>
          <w:rFonts w:hint="eastAsia" w:eastAsia="宋体" w:cs="宋体"/>
          <w:b/>
          <w:color w:val="auto"/>
          <w:sz w:val="32"/>
          <w:szCs w:val="32"/>
          <w:highlight w:val="none"/>
          <w:u w:val="none"/>
          <w:lang w:eastAsia="zh-CN"/>
        </w:rPr>
        <w:t>招标公告</w:t>
      </w:r>
    </w:p>
    <w:p w14:paraId="373F5ABC">
      <w:pPr>
        <w:pStyle w:val="14"/>
        <w:keepNext w:val="0"/>
        <w:keepLines w:val="0"/>
        <w:pageBreakBefore w:val="0"/>
        <w:topLinePunct w:val="0"/>
        <w:autoSpaceDE/>
        <w:bidi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p>
    <w:p w14:paraId="078E7533">
      <w:pPr>
        <w:pStyle w:val="14"/>
        <w:keepNext w:val="0"/>
        <w:keepLines w:val="0"/>
        <w:pageBreakBefore w:val="0"/>
        <w:topLinePunct w:val="0"/>
        <w:autoSpaceDE/>
        <w:bidi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u w:val="single"/>
        </w:rPr>
        <w:t>广东省企业投资项目备案证（250</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-44010</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-04-01-</w:t>
      </w:r>
      <w:r>
        <w:rPr>
          <w:rFonts w:hint="eastAsia" w:cs="宋体"/>
          <w:color w:val="auto"/>
          <w:sz w:val="24"/>
          <w:szCs w:val="24"/>
          <w:highlight w:val="none"/>
          <w:u w:val="single"/>
          <w:lang w:val="en-US" w:eastAsia="zh-CN"/>
        </w:rPr>
        <w:t>843661</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批准，并且图纸和技术资料满足施工需要，</w:t>
      </w:r>
      <w:r>
        <w:rPr>
          <w:rFonts w:hint="eastAsia" w:ascii="宋体" w:hAnsi="宋体" w:eastAsia="宋体" w:cs="宋体"/>
          <w:color w:val="auto"/>
          <w:sz w:val="24"/>
          <w:szCs w:val="24"/>
          <w:highlight w:val="none"/>
          <w:u w:val="single"/>
          <w:lang w:eastAsia="zh-CN"/>
        </w:rPr>
        <w:t>广州新中轴建设有限公司</w:t>
      </w:r>
      <w:r>
        <w:rPr>
          <w:rFonts w:hint="eastAsia" w:ascii="宋体" w:hAnsi="宋体" w:eastAsia="宋体" w:cs="宋体"/>
          <w:color w:val="auto"/>
          <w:sz w:val="24"/>
          <w:szCs w:val="24"/>
          <w:highlight w:val="none"/>
          <w:lang w:val="en-US" w:eastAsia="zh-CN"/>
        </w:rPr>
        <w:t>现对</w:t>
      </w:r>
      <w:r>
        <w:rPr>
          <w:rFonts w:hint="eastAsia" w:cs="宋体"/>
          <w:color w:val="auto"/>
          <w:sz w:val="24"/>
          <w:szCs w:val="24"/>
          <w:highlight w:val="none"/>
          <w:u w:val="single"/>
          <w:lang w:eastAsia="zh-CN"/>
        </w:rPr>
        <w:t>广州塔广场数智生活科技体验馆项目幕墙施工专业承包</w:t>
      </w:r>
      <w:r>
        <w:rPr>
          <w:rFonts w:hint="eastAsia" w:ascii="宋体" w:hAnsi="宋体" w:eastAsia="宋体" w:cs="宋体"/>
          <w:color w:val="auto"/>
          <w:sz w:val="24"/>
          <w:szCs w:val="24"/>
          <w:highlight w:val="none"/>
        </w:rPr>
        <w:t>进行公开招标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选定承包人</w:t>
      </w:r>
      <w:r>
        <w:rPr>
          <w:rFonts w:hint="eastAsia" w:ascii="宋体" w:hAnsi="宋体" w:eastAsia="宋体" w:cs="宋体"/>
          <w:color w:val="auto"/>
          <w:sz w:val="24"/>
          <w:szCs w:val="24"/>
          <w:highlight w:val="none"/>
        </w:rPr>
        <w:t>。</w:t>
      </w:r>
    </w:p>
    <w:p w14:paraId="58E996ED">
      <w:pPr>
        <w:keepNext w:val="0"/>
        <w:keepLines w:val="0"/>
        <w:pageBreakBefore w:val="0"/>
        <w:tabs>
          <w:tab w:val="center" w:pos="4415"/>
        </w:tabs>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一、工程名称：</w:t>
      </w:r>
      <w:r>
        <w:rPr>
          <w:rFonts w:hint="eastAsia" w:ascii="宋体" w:hAnsi="宋体" w:cs="宋体"/>
          <w:color w:val="auto"/>
          <w:sz w:val="24"/>
          <w:szCs w:val="24"/>
          <w:highlight w:val="none"/>
          <w:u w:val="single"/>
          <w:lang w:eastAsia="zh-CN"/>
        </w:rPr>
        <w:t>广州塔广场数智生活科技体验馆项目幕墙施工专业承包</w:t>
      </w:r>
    </w:p>
    <w:p w14:paraId="4FBAFDF0">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项目代码：2503-440105-04-01-843661</w:t>
      </w:r>
    </w:p>
    <w:p w14:paraId="2A39CC50">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二、招标单位：</w:t>
      </w:r>
      <w:r>
        <w:rPr>
          <w:rFonts w:hint="eastAsia" w:ascii="宋体" w:hAnsi="宋体" w:eastAsia="宋体" w:cs="宋体"/>
          <w:color w:val="auto"/>
          <w:sz w:val="24"/>
          <w:szCs w:val="24"/>
          <w:highlight w:val="none"/>
          <w:u w:val="single"/>
          <w:lang w:eastAsia="zh-CN"/>
        </w:rPr>
        <w:t>广州新中轴建设有限公司</w:t>
      </w:r>
    </w:p>
    <w:p w14:paraId="5AC63F2D">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严</w:t>
      </w:r>
      <w:r>
        <w:rPr>
          <w:rFonts w:hint="eastAsia" w:ascii="宋体" w:hAnsi="宋体" w:eastAsia="宋体" w:cs="宋体"/>
          <w:color w:val="auto"/>
          <w:sz w:val="24"/>
          <w:szCs w:val="24"/>
          <w:highlight w:val="none"/>
          <w:u w:val="single"/>
          <w:lang w:eastAsia="zh-CN"/>
        </w:rPr>
        <w:t>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lang w:val="en-US" w:eastAsia="zh-CN"/>
        </w:rPr>
        <w:t>020-31154054</w:t>
      </w:r>
    </w:p>
    <w:p w14:paraId="77D40498">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广州市越秀区流花路117号流花展馆15号馆6楼</w:t>
      </w:r>
    </w:p>
    <w:p w14:paraId="14959072">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u w:val="single"/>
          <w:lang w:eastAsia="zh-CN"/>
        </w:rPr>
        <w:t>建成工程咨询股份有限公司</w:t>
      </w:r>
    </w:p>
    <w:p w14:paraId="294EA009">
      <w:pPr>
        <w:keepNext w:val="0"/>
        <w:keepLines w:val="0"/>
        <w:pageBreakBefore w:val="0"/>
        <w:topLinePunct w:val="0"/>
        <w:autoSpaceDE/>
        <w:bidi w:val="0"/>
        <w:spacing w:line="360" w:lineRule="auto"/>
        <w:ind w:left="0" w:leftChars="0" w:right="0" w:righ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刘</w:t>
      </w:r>
      <w:r>
        <w:rPr>
          <w:rFonts w:hint="eastAsia" w:ascii="宋体" w:hAnsi="宋体" w:eastAsia="宋体" w:cs="宋体"/>
          <w:color w:val="auto"/>
          <w:sz w:val="24"/>
          <w:szCs w:val="24"/>
          <w:highlight w:val="none"/>
          <w:u w:val="single"/>
          <w:lang w:val="en-US" w:eastAsia="zh-CN"/>
        </w:rPr>
        <w:t>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lang w:val="en-US" w:eastAsia="zh-CN"/>
        </w:rPr>
        <w:t>020-</w:t>
      </w:r>
      <w:r>
        <w:rPr>
          <w:rFonts w:hint="eastAsia" w:ascii="宋体" w:hAnsi="宋体" w:cs="宋体"/>
          <w:color w:val="auto"/>
          <w:sz w:val="24"/>
          <w:szCs w:val="24"/>
          <w:highlight w:val="none"/>
          <w:u w:val="single"/>
          <w:lang w:val="en-US" w:eastAsia="zh-CN"/>
        </w:rPr>
        <w:t>83630072</w:t>
      </w:r>
    </w:p>
    <w:p w14:paraId="6EBB902D">
      <w:pPr>
        <w:keepNext w:val="0"/>
        <w:keepLines w:val="0"/>
        <w:pageBreakBefore w:val="0"/>
        <w:topLinePunct w:val="0"/>
        <w:autoSpaceDE/>
        <w:bidi w:val="0"/>
        <w:spacing w:line="360" w:lineRule="auto"/>
        <w:ind w:left="0" w:leftChars="0" w:right="0" w:righ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w:t>
      </w:r>
      <w:r>
        <w:rPr>
          <w:rFonts w:hint="eastAsia" w:ascii="宋体" w:hAnsi="宋体" w:cs="宋体"/>
          <w:color w:val="auto"/>
          <w:sz w:val="24"/>
          <w:szCs w:val="24"/>
          <w:highlight w:val="none"/>
          <w:u w:val="single"/>
          <w:lang w:val="en-US" w:eastAsia="zh-CN"/>
        </w:rPr>
        <w:t>越秀区东风中路318号22楼</w:t>
      </w:r>
    </w:p>
    <w:p w14:paraId="2D55E8DC">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lang w:eastAsia="zh-CN"/>
        </w:rPr>
        <w:t>广州市建设工程招标管理办公室</w:t>
      </w:r>
    </w:p>
    <w:p w14:paraId="74EA37CC">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监督电话：</w:t>
      </w:r>
      <w:r>
        <w:rPr>
          <w:rFonts w:hint="eastAsia" w:ascii="宋体" w:hAnsi="宋体" w:eastAsia="宋体" w:cs="宋体"/>
          <w:color w:val="auto"/>
          <w:sz w:val="24"/>
          <w:szCs w:val="24"/>
          <w:highlight w:val="none"/>
          <w:u w:val="single"/>
          <w:lang w:eastAsia="zh-CN"/>
        </w:rPr>
        <w:t>020-28866213</w:t>
      </w:r>
    </w:p>
    <w:p w14:paraId="6F93057F">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广州市天河区天润路333号3楼</w:t>
      </w:r>
    </w:p>
    <w:p w14:paraId="35B18076">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三、建设地点：</w:t>
      </w:r>
      <w:r>
        <w:rPr>
          <w:rFonts w:hint="eastAsia" w:ascii="宋体" w:hAnsi="宋体" w:eastAsia="宋体" w:cs="宋体"/>
          <w:bCs/>
          <w:color w:val="auto"/>
          <w:sz w:val="24"/>
          <w:szCs w:val="24"/>
          <w:highlight w:val="none"/>
          <w:u w:val="single"/>
        </w:rPr>
        <w:t>广州市海珠区赤岗街道广州塔路8号广州塔南广场内</w:t>
      </w:r>
      <w:r>
        <w:rPr>
          <w:rFonts w:hint="eastAsia" w:ascii="宋体" w:hAnsi="宋体" w:cs="宋体"/>
          <w:bCs/>
          <w:color w:val="auto"/>
          <w:sz w:val="24"/>
          <w:szCs w:val="24"/>
          <w:highlight w:val="none"/>
          <w:u w:val="single"/>
          <w:lang w:eastAsia="zh-CN"/>
        </w:rPr>
        <w:t>。</w:t>
      </w:r>
    </w:p>
    <w:p w14:paraId="319AA8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四、项目概况：项目位于广州市广州塔南广场南端，拟建广州塔广场数智生活科技体验馆，占地面积约1000平方米，总建筑面积约5300平方米，其中，新建面积约2180平方米，改建面积约3120平方米，建筑高度13.5米，</w:t>
      </w:r>
      <w:r>
        <w:rPr>
          <w:rFonts w:hint="eastAsia" w:ascii="宋体" w:hAnsi="宋体" w:eastAsia="宋体" w:cs="宋体"/>
          <w:color w:val="auto"/>
          <w:sz w:val="24"/>
          <w:szCs w:val="24"/>
          <w:highlight w:val="none"/>
          <w:lang w:val="en-US" w:eastAsia="zh-CN"/>
        </w:rPr>
        <w:t>结构最大单跨跨度34</w:t>
      </w:r>
      <w:r>
        <w:rPr>
          <w:rFonts w:hint="eastAsia" w:ascii="宋体" w:hAnsi="宋体" w:eastAsia="宋体" w:cs="宋体"/>
          <w:color w:val="auto"/>
          <w:sz w:val="24"/>
          <w:szCs w:val="24"/>
          <w:highlight w:val="none"/>
        </w:rPr>
        <w:t>米，地上2层，地下1层。本次招标的幕墙总面积约4730平方米，其中最大单体建筑工程幕墙面积约4600平方米，建筑幕墙高度为13.5米。</w:t>
      </w:r>
    </w:p>
    <w:p w14:paraId="7FF76A98">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五、标段划分及各标段招标内容、规模和最高投标限价：</w:t>
      </w:r>
    </w:p>
    <w:p w14:paraId="0A32A963">
      <w:pPr>
        <w:keepNext w:val="0"/>
        <w:keepLines w:val="0"/>
        <w:pageBreakBefore w:val="0"/>
        <w:topLinePunct w:val="0"/>
        <w:autoSpaceDE/>
        <w:bidi w:val="0"/>
        <w:spacing w:line="360" w:lineRule="auto"/>
        <w:ind w:left="0" w:leftChars="0" w:right="0" w:rightChars="0" w:firstLine="480" w:firstLineChars="200"/>
        <w:jc w:val="left"/>
        <w:textAlignment w:val="auto"/>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本次招</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划分为</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个标段</w:t>
      </w:r>
      <w:r>
        <w:rPr>
          <w:rFonts w:hint="eastAsia" w:ascii="宋体" w:hAnsi="宋体" w:cs="宋体"/>
          <w:color w:val="auto"/>
          <w:sz w:val="24"/>
          <w:szCs w:val="24"/>
          <w:highlight w:val="none"/>
          <w:u w:val="none"/>
          <w:lang w:eastAsia="zh-CN"/>
        </w:rPr>
        <w:t>。</w:t>
      </w:r>
    </w:p>
    <w:p w14:paraId="29DB76F6">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招标内容：1、依据招标文件、图纸、工程量清单及有关资料，完成广州塔广场数智生活科技体验馆项目幕墙施工专业承包的全部内容，包括但不限于幕墙工程等，具体详见招标文件、施工图纸、工程量清单及有关资料说明。</w:t>
      </w:r>
    </w:p>
    <w:p w14:paraId="0792F4E2">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2、配合本项目的施工总承包单位对幕墙施工专业承包的管理，协助本项目的施工总承包单位办理工程开工、验收、竣工等所需的各项相关手续，并承担与幕墙专业承包施工相关手续的费用。</w:t>
      </w:r>
    </w:p>
    <w:p w14:paraId="6A124BB9">
      <w:pPr>
        <w:keepNext w:val="0"/>
        <w:keepLines w:val="0"/>
        <w:pageBreakBefore w:val="0"/>
        <w:topLinePunct w:val="0"/>
        <w:autoSpaceDE/>
        <w:bidi w:val="0"/>
        <w:spacing w:line="360" w:lineRule="auto"/>
        <w:ind w:left="0" w:leftChars="0" w:right="0" w:righ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最高投标限价</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53737031.60元。</w:t>
      </w:r>
    </w:p>
    <w:p w14:paraId="104F7DFF">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六、资金来源：</w:t>
      </w:r>
      <w:r>
        <w:rPr>
          <w:rFonts w:hint="eastAsia" w:ascii="宋体" w:hAnsi="宋体" w:eastAsia="宋体" w:cs="宋体"/>
          <w:color w:val="auto"/>
          <w:sz w:val="24"/>
          <w:szCs w:val="24"/>
          <w:highlight w:val="none"/>
          <w:u w:val="single"/>
        </w:rPr>
        <w:t>企业自筹资金</w:t>
      </w:r>
      <w:r>
        <w:rPr>
          <w:rFonts w:hint="eastAsia" w:ascii="宋体" w:hAnsi="宋体" w:eastAsia="宋体" w:cs="宋体"/>
          <w:color w:val="auto"/>
          <w:sz w:val="24"/>
          <w:szCs w:val="24"/>
          <w:highlight w:val="none"/>
          <w:u w:val="single"/>
          <w:lang w:eastAsia="zh-CN"/>
        </w:rPr>
        <w:t>。</w:t>
      </w:r>
    </w:p>
    <w:p w14:paraId="6AE35D20">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szCs w:val="24"/>
          <w:highlight w:val="none"/>
        </w:rPr>
        <w:t>公告发布日期、递交投标文件时间与开标时间：</w:t>
      </w:r>
    </w:p>
    <w:p w14:paraId="4C8B411E">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1.公告发布日期（含本日）：</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14D4A97B">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凡有意参加投标者，请登录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交易平台网站下载电子招标文件。</w:t>
      </w:r>
    </w:p>
    <w:p w14:paraId="0FD2E895">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注：发布招标公告的时间为招标公告发出之日起至投标截止时间止。</w:t>
      </w:r>
    </w:p>
    <w:p w14:paraId="1BFDE71E">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2.递交投标文件起始时间：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54D9EA06">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4D820400">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3.开标开始时间：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3F330FE2">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488DCC96">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投标人通过</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网站最新指引</w:t>
      </w:r>
      <w:r>
        <w:rPr>
          <w:rFonts w:hint="eastAsia" w:ascii="宋体" w:hAnsi="宋体" w:eastAsia="宋体" w:cs="宋体"/>
          <w:color w:val="auto"/>
          <w:sz w:val="24"/>
          <w:szCs w:val="24"/>
          <w:highlight w:val="none"/>
        </w:rPr>
        <w:t>。</w:t>
      </w:r>
    </w:p>
    <w:p w14:paraId="06EE7C74">
      <w:pPr>
        <w:keepNext w:val="0"/>
        <w:keepLines w:val="0"/>
        <w:pageBreakBefore w:val="0"/>
        <w:topLinePunct w:val="0"/>
        <w:autoSpaceDE/>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p>
    <w:p w14:paraId="658D28F2">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八、招标文件获取方式：</w:t>
      </w:r>
    </w:p>
    <w:p w14:paraId="687B1FCC">
      <w:pPr>
        <w:keepNext w:val="0"/>
        <w:keepLines w:val="0"/>
        <w:pageBreakBefore w:val="0"/>
        <w:widowControl/>
        <w:shd w:val="clear" w:color="auto" w:fill="FFFFFF"/>
        <w:topLinePunct w:val="0"/>
        <w:autoSpaceDE/>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交易平台网站发布。招标文件</w:t>
      </w:r>
      <w:r>
        <w:rPr>
          <w:rFonts w:hint="eastAsia" w:ascii="宋体" w:hAnsi="宋体" w:eastAsia="宋体" w:cs="宋体"/>
          <w:color w:val="auto"/>
          <w:kern w:val="0"/>
          <w:sz w:val="24"/>
          <w:szCs w:val="24"/>
          <w:highlight w:val="none"/>
        </w:rPr>
        <w:t>一经在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发布，视为发售给投标人，招标文件由投标人自行在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网站下载。</w:t>
      </w:r>
    </w:p>
    <w:p w14:paraId="2EC5F37B">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九、投标人合格条件：</w:t>
      </w:r>
    </w:p>
    <w:p w14:paraId="667DB167">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投标人参加投标的意思表达清楚，投标人代表被授权有效。</w:t>
      </w:r>
    </w:p>
    <w:p w14:paraId="4CBADD9B">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投标人具有独立法人资格，按国家法律经营。</w:t>
      </w:r>
    </w:p>
    <w:p w14:paraId="7D5EF8B8">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投标人持有建设行政主管部门颁发的企业资质证书及安全生产许可证。</w:t>
      </w:r>
    </w:p>
    <w:p w14:paraId="0CD6112D">
      <w:pPr>
        <w:pStyle w:val="30"/>
        <w:ind w:firstLine="480"/>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1"/>
          <w:sz w:val="24"/>
          <w:szCs w:val="24"/>
          <w:highlight w:val="none"/>
        </w:rPr>
        <w:t>投标人应具备以下资质：</w:t>
      </w:r>
    </w:p>
    <w:p w14:paraId="22219B7B">
      <w:pPr>
        <w:pStyle w:val="5"/>
        <w:keepNext w:val="0"/>
        <w:keepLines w:val="0"/>
        <w:pageBreakBefore w:val="0"/>
        <w:tabs>
          <w:tab w:val="left" w:pos="7867"/>
          <w:tab w:val="left" w:pos="9071"/>
          <w:tab w:val="left" w:pos="9313"/>
        </w:tabs>
        <w:kinsoku w:val="0"/>
        <w:overflowPunct w:val="0"/>
        <w:topLinePunct w:val="0"/>
        <w:autoSpaceDE/>
        <w:bidi w:val="0"/>
        <w:spacing w:after="0" w:line="360" w:lineRule="auto"/>
        <w:ind w:left="0" w:leftChars="0" w:right="0" w:rightChars="0" w:firstLine="476"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投标人具有承接本工程所需的</w:t>
      </w:r>
      <w:r>
        <w:rPr>
          <w:rFonts w:hint="eastAsia" w:ascii="宋体" w:hAnsi="宋体" w:eastAsia="宋体" w:cs="宋体"/>
          <w:color w:val="auto"/>
          <w:spacing w:val="-1"/>
          <w:sz w:val="24"/>
          <w:szCs w:val="24"/>
          <w:highlight w:val="none"/>
          <w:u w:val="none"/>
        </w:rPr>
        <w:t>建筑幕墙工程专业</w:t>
      </w:r>
      <w:r>
        <w:rPr>
          <w:rFonts w:hint="eastAsia" w:ascii="宋体" w:hAnsi="宋体" w:eastAsia="宋体" w:cs="宋体"/>
          <w:color w:val="auto"/>
          <w:spacing w:val="-1"/>
          <w:sz w:val="24"/>
          <w:szCs w:val="24"/>
          <w:highlight w:val="none"/>
          <w:lang w:eastAsia="zh-CN"/>
        </w:rPr>
        <w:t>承包二级</w:t>
      </w:r>
      <w:r>
        <w:rPr>
          <w:rFonts w:hint="eastAsia" w:ascii="宋体" w:hAnsi="宋体" w:eastAsia="宋体" w:cs="宋体"/>
          <w:color w:val="auto"/>
          <w:spacing w:val="-1"/>
          <w:sz w:val="24"/>
          <w:szCs w:val="24"/>
          <w:highlight w:val="none"/>
        </w:rPr>
        <w:t>（或以上）资质</w:t>
      </w:r>
      <w:r>
        <w:rPr>
          <w:rFonts w:hint="eastAsia" w:ascii="宋体" w:hAnsi="宋体" w:eastAsia="宋体" w:cs="宋体"/>
          <w:color w:val="auto"/>
          <w:spacing w:val="-1"/>
          <w:sz w:val="24"/>
          <w:szCs w:val="24"/>
          <w:highlight w:val="none"/>
          <w:lang w:eastAsia="zh-CN"/>
        </w:rPr>
        <w:t>，或相应的建筑幕墙工程设计与施工二级</w:t>
      </w:r>
      <w:r>
        <w:rPr>
          <w:rFonts w:hint="eastAsia" w:ascii="宋体" w:hAnsi="宋体" w:eastAsia="宋体" w:cs="宋体"/>
          <w:color w:val="auto"/>
          <w:spacing w:val="-1"/>
          <w:sz w:val="24"/>
          <w:szCs w:val="24"/>
          <w:highlight w:val="none"/>
        </w:rPr>
        <w:t>（或以上）</w:t>
      </w:r>
      <w:r>
        <w:rPr>
          <w:rFonts w:hint="eastAsia" w:ascii="宋体" w:hAnsi="宋体" w:eastAsia="宋体" w:cs="宋体"/>
          <w:color w:val="auto"/>
          <w:spacing w:val="-1"/>
          <w:sz w:val="24"/>
          <w:szCs w:val="24"/>
          <w:highlight w:val="none"/>
          <w:lang w:eastAsia="zh-CN"/>
        </w:rPr>
        <w:t>资质（以资质证书许可范围为准，在有效期内）</w:t>
      </w:r>
      <w:r>
        <w:rPr>
          <w:rFonts w:hint="eastAsia" w:ascii="宋体" w:hAnsi="宋体" w:eastAsia="宋体" w:cs="宋体"/>
          <w:color w:val="auto"/>
          <w:spacing w:val="-1"/>
          <w:sz w:val="24"/>
          <w:szCs w:val="24"/>
          <w:highlight w:val="none"/>
        </w:rPr>
        <w:t>；</w:t>
      </w:r>
    </w:p>
    <w:p w14:paraId="606962AA">
      <w:pPr>
        <w:pStyle w:val="5"/>
        <w:keepNext w:val="0"/>
        <w:keepLines w:val="0"/>
        <w:pageBreakBefore w:val="0"/>
        <w:tabs>
          <w:tab w:val="left" w:pos="7867"/>
          <w:tab w:val="left" w:pos="9071"/>
          <w:tab w:val="left" w:pos="9313"/>
        </w:tabs>
        <w:kinsoku w:val="0"/>
        <w:overflowPunct w:val="0"/>
        <w:topLinePunct w:val="0"/>
        <w:autoSpaceDE/>
        <w:bidi w:val="0"/>
        <w:spacing w:after="0" w:line="360" w:lineRule="auto"/>
        <w:ind w:left="0" w:leftChars="0" w:right="0" w:rightChars="0" w:firstLine="480"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lang w:val="en-US" w:eastAsia="zh-CN"/>
        </w:rPr>
        <w:t>建筑</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lang w:eastAsia="zh-CN"/>
        </w:rPr>
        <w:t>二</w:t>
      </w:r>
      <w:r>
        <w:rPr>
          <w:rFonts w:hint="eastAsia" w:ascii="宋体" w:hAnsi="宋体" w:eastAsia="宋体" w:cs="宋体"/>
          <w:color w:val="auto"/>
          <w:sz w:val="24"/>
          <w:szCs w:val="24"/>
          <w:highlight w:val="none"/>
          <w:lang w:eastAsia="zh-CN"/>
        </w:rPr>
        <w:t>级</w:t>
      </w:r>
      <w:r>
        <w:rPr>
          <w:rFonts w:hint="eastAsia" w:ascii="宋体" w:hAnsi="宋体" w:eastAsia="宋体" w:cs="宋体"/>
          <w:color w:val="auto"/>
          <w:sz w:val="24"/>
          <w:szCs w:val="24"/>
          <w:highlight w:val="none"/>
        </w:rPr>
        <w:t>（或以上）注册建造师</w:t>
      </w:r>
      <w:r>
        <w:rPr>
          <w:rFonts w:hint="eastAsia" w:ascii="宋体" w:hAnsi="宋体" w:eastAsia="宋体" w:cs="宋体"/>
          <w:color w:val="auto"/>
          <w:sz w:val="24"/>
          <w:szCs w:val="24"/>
          <w:highlight w:val="none"/>
          <w:lang w:eastAsia="zh-CN"/>
        </w:rPr>
        <w:t>。</w:t>
      </w:r>
    </w:p>
    <w:p w14:paraId="3516951A">
      <w:pPr>
        <w:keepNext w:val="0"/>
        <w:keepLines w:val="0"/>
        <w:pageBreakBefore w:val="0"/>
        <w:topLinePunct w:val="0"/>
        <w:autoSpaceDE/>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《住房和城乡建设部关于印发建设工程企业资质管理制度改革方案的通知》（建市〔2020〕94号）</w:t>
      </w:r>
      <w:r>
        <w:rPr>
          <w:rFonts w:hint="eastAsia" w:ascii="宋体" w:hAnsi="宋体" w:eastAsia="宋体" w:cs="宋体"/>
          <w:color w:val="auto"/>
          <w:kern w:val="0"/>
          <w:sz w:val="24"/>
          <w:szCs w:val="24"/>
          <w:highlight w:val="none"/>
        </w:rPr>
        <w:t>的要求设置。招标内容含有设计要求，且设计要求仅为深化设计的，在投标人的资质设置要求中，不允许设置设计资质。</w:t>
      </w:r>
    </w:p>
    <w:p w14:paraId="5CC6FB24">
      <w:pPr>
        <w:keepNext w:val="0"/>
        <w:keepLines w:val="0"/>
        <w:pageBreakBefore w:val="0"/>
        <w:topLinePunct w:val="0"/>
        <w:autoSpaceDE/>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宋体" w:hAnsi="宋体" w:eastAsia="宋体" w:cs="宋体"/>
          <w:color w:val="auto"/>
          <w:kern w:val="0"/>
          <w:sz w:val="24"/>
          <w:szCs w:val="24"/>
          <w:highlight w:val="none"/>
          <w:lang w:eastAsia="zh-CN"/>
        </w:rPr>
        <w:t>、《广东省住房和城乡建设厅关于建设工程企业资质有效期延期的通知》（粤建许函〔2021〕849号）、</w:t>
      </w:r>
      <w:r>
        <w:rPr>
          <w:rFonts w:hint="eastAsia" w:ascii="宋体" w:hAnsi="宋体" w:eastAsia="宋体" w:cs="宋体"/>
          <w:color w:val="auto"/>
          <w:kern w:val="0"/>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auto"/>
          <w:kern w:val="0"/>
          <w:sz w:val="24"/>
          <w:szCs w:val="24"/>
          <w:highlight w:val="none"/>
          <w:lang w:eastAsia="zh-CN"/>
        </w:rPr>
        <w:t>《住房和城乡建设部关于进一步加强建设工程企业资质审批管理工作的通知》（建市规</w:t>
      </w: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3号）、</w:t>
      </w:r>
      <w:r>
        <w:rPr>
          <w:rFonts w:hint="eastAsia" w:ascii="宋体" w:hAnsi="宋体" w:eastAsia="宋体" w:cs="宋体"/>
          <w:color w:val="auto"/>
          <w:kern w:val="0"/>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规定。根据上述文件的要求，投标人需办理企业资质有效期延续的，应当按照相关规定及时办理。</w:t>
      </w:r>
    </w:p>
    <w:p w14:paraId="0CF72E4C">
      <w:pPr>
        <w:keepNext w:val="0"/>
        <w:keepLines w:val="0"/>
        <w:pageBreakBefore w:val="0"/>
        <w:topLinePunct w:val="0"/>
        <w:autoSpaceDE/>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（2）根据《住房和城乡建设部办公厅关于全面实行一级建造师电子注册证书的通知》（建办市〔2021〕40号），自2022年1月1日起，一级建造师统一使用电子证书，纸质证书作废。</w:t>
      </w:r>
    </w:p>
    <w:p w14:paraId="193C3DBE">
      <w:pPr>
        <w:keepNext w:val="0"/>
        <w:keepLines w:val="0"/>
        <w:pageBreakBefore w:val="0"/>
        <w:topLinePunct w:val="0"/>
        <w:autoSpaceDE/>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5BCD1FB">
      <w:pPr>
        <w:keepNext w:val="0"/>
        <w:keepLines w:val="0"/>
        <w:adjustRightInd w:val="0"/>
        <w:snapToGrid w:val="0"/>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bidi="ar"/>
        </w:rPr>
        <w:t>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913EA92">
      <w:pPr>
        <w:pStyle w:val="30"/>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项目负责人持有安全生产考核合格证（B类）或建筑施工企业项目负责人安全生产考核合格证书；</w:t>
      </w:r>
    </w:p>
    <w:p w14:paraId="38D6F37E">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35AF72E1">
      <w:pPr>
        <w:pStyle w:val="30"/>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投标人拟担任本工程技术负责人的资格要求为：</w:t>
      </w:r>
      <w:r>
        <w:rPr>
          <w:rFonts w:hint="eastAsia" w:ascii="宋体" w:hAnsi="宋体" w:eastAsia="宋体" w:cs="宋体"/>
          <w:color w:val="auto"/>
          <w:sz w:val="24"/>
          <w:szCs w:val="24"/>
          <w:highlight w:val="none"/>
          <w:u w:val="single"/>
        </w:rPr>
        <w:t>具有</w:t>
      </w:r>
      <w:r>
        <w:rPr>
          <w:rFonts w:hint="eastAsia" w:ascii="宋体" w:hAnsi="宋体" w:eastAsia="宋体" w:cs="宋体"/>
          <w:color w:val="auto"/>
          <w:kern w:val="2"/>
          <w:sz w:val="24"/>
          <w:szCs w:val="24"/>
          <w:highlight w:val="none"/>
          <w:u w:val="single"/>
        </w:rPr>
        <w:t>建筑工程相关</w:t>
      </w:r>
      <w:r>
        <w:rPr>
          <w:rFonts w:hint="eastAsia" w:ascii="宋体" w:hAnsi="宋体" w:eastAsia="宋体" w:cs="宋体"/>
          <w:color w:val="auto"/>
          <w:sz w:val="24"/>
          <w:szCs w:val="24"/>
          <w:highlight w:val="none"/>
          <w:u w:val="single"/>
        </w:rPr>
        <w:t>专业</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rPr>
        <w:t>级或以上职称。</w:t>
      </w:r>
    </w:p>
    <w:p w14:paraId="42E6927E">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rPr>
        <w:t>专职安全员须具有安全生产考核合格证（C类）</w:t>
      </w:r>
      <w:r>
        <w:rPr>
          <w:rFonts w:hint="eastAsia" w:ascii="宋体" w:hAnsi="宋体" w:eastAsia="宋体" w:cs="宋体"/>
          <w:color w:val="auto"/>
          <w:kern w:val="0"/>
          <w:sz w:val="24"/>
          <w:szCs w:val="24"/>
          <w:highlight w:val="none"/>
        </w:rPr>
        <w:t>或建筑施工企业专职安全生产管理人员安全生产考核合格证书</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C3</w:t>
      </w:r>
      <w:r>
        <w:rPr>
          <w:rFonts w:hint="eastAsia" w:ascii="宋体" w:hAnsi="宋体" w:eastAsia="宋体" w:cs="宋体"/>
          <w:color w:val="auto"/>
          <w:sz w:val="24"/>
          <w:szCs w:val="24"/>
          <w:highlight w:val="none"/>
          <w:u w:val="none"/>
        </w:rPr>
        <w:t>）</w:t>
      </w:r>
      <w:r>
        <w:rPr>
          <w:rFonts w:hint="eastAsia" w:ascii="宋体" w:hAnsi="宋体" w:eastAsia="宋体" w:cs="宋体"/>
          <w:color w:val="auto"/>
          <w:kern w:val="0"/>
          <w:sz w:val="24"/>
          <w:szCs w:val="24"/>
          <w:highlight w:val="none"/>
        </w:rPr>
        <w:t>。</w:t>
      </w:r>
    </w:p>
    <w:p w14:paraId="562393AE">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注：根据《建筑施工企业主要负责人、项目负责人和专职安全生产管理人员安全生产管理规定》（住房城乡建设部令第17号）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2FEE4F40">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投标人已按照附件一的内容签署盖章的投标人声明。 </w:t>
      </w:r>
    </w:p>
    <w:p w14:paraId="08CB65A3">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本项目</w:t>
      </w:r>
      <w:r>
        <w:rPr>
          <w:rFonts w:hint="eastAsia" w:ascii="宋体" w:hAnsi="宋体" w:cs="宋体"/>
          <w:color w:val="auto"/>
          <w:sz w:val="24"/>
          <w:szCs w:val="24"/>
          <w:highlight w:val="none"/>
          <w:u w:val="single"/>
          <w:lang w:eastAsia="zh-CN"/>
        </w:rPr>
        <w:t>不</w:t>
      </w:r>
      <w:r>
        <w:rPr>
          <w:rFonts w:hint="eastAsia" w:ascii="宋体" w:hAnsi="宋体" w:cs="宋体"/>
          <w:color w:val="auto"/>
          <w:sz w:val="24"/>
          <w:szCs w:val="24"/>
          <w:highlight w:val="none"/>
          <w:u w:val="single"/>
          <w:lang w:val="en-US" w:eastAsia="zh-CN"/>
        </w:rPr>
        <w:t>允许</w:t>
      </w:r>
      <w:r>
        <w:rPr>
          <w:rFonts w:hint="eastAsia" w:ascii="宋体" w:hAnsi="宋体" w:eastAsia="宋体" w:cs="宋体"/>
          <w:color w:val="auto"/>
          <w:sz w:val="24"/>
          <w:szCs w:val="24"/>
          <w:highlight w:val="none"/>
          <w:u w:val="single"/>
        </w:rPr>
        <w:t>联合体投标</w:t>
      </w:r>
      <w:r>
        <w:rPr>
          <w:rFonts w:hint="eastAsia" w:ascii="宋体" w:hAnsi="宋体" w:eastAsia="宋体" w:cs="宋体"/>
          <w:color w:val="auto"/>
          <w:sz w:val="24"/>
          <w:szCs w:val="24"/>
          <w:highlight w:val="none"/>
          <w:u w:val="none"/>
        </w:rPr>
        <w:t>。</w:t>
      </w:r>
    </w:p>
    <w:p w14:paraId="3C4C87D3">
      <w:pPr>
        <w:keepNext w:val="0"/>
        <w:keepLines w:val="0"/>
        <w:pageBreakBefore w:val="0"/>
        <w:numPr>
          <w:ilvl w:val="0"/>
          <w:numId w:val="0"/>
        </w:numPr>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5F0F09A4">
      <w:pPr>
        <w:keepNext w:val="0"/>
        <w:keepLines w:val="0"/>
        <w:pageBreakBefore w:val="0"/>
        <w:numPr>
          <w:ilvl w:val="0"/>
          <w:numId w:val="0"/>
        </w:numPr>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"http://zfcj.gz.gov.cn/zwgk/zsdwxxgkzl/gzsjzyglfwzx/bszy/content/post_8484886.html）" </w:instrText>
      </w:r>
      <w:r>
        <w:rPr>
          <w:rFonts w:hint="eastAsia" w:ascii="宋体" w:hAnsi="宋体" w:eastAsia="宋体" w:cs="宋体"/>
          <w:color w:val="auto"/>
          <w:sz w:val="24"/>
          <w:szCs w:val="24"/>
          <w:highlight w:val="none"/>
          <w:lang w:val="en-US" w:eastAsia="zh-CN"/>
        </w:rPr>
        <w:fldChar w:fldCharType="separate"/>
      </w:r>
      <w:r>
        <w:rPr>
          <w:rStyle w:val="20"/>
          <w:rFonts w:hint="eastAsia" w:ascii="宋体" w:hAnsi="宋体" w:eastAsia="宋体" w:cs="宋体"/>
          <w:color w:val="auto"/>
          <w:sz w:val="24"/>
          <w:szCs w:val="24"/>
          <w:highlight w:val="none"/>
          <w:lang w:val="en-US" w:eastAsia="zh-CN"/>
        </w:rPr>
        <w:t>http://zfcj.gz.gov.cn/zwgk/zsdwxxgkzl/gzsjzyglfwzx/bszy/content/post_8484886.html）</w:t>
      </w:r>
      <w:r>
        <w:rPr>
          <w:rFonts w:hint="eastAsia" w:ascii="宋体" w:hAnsi="宋体" w:eastAsia="宋体" w:cs="宋体"/>
          <w:color w:val="auto"/>
          <w:sz w:val="24"/>
          <w:szCs w:val="24"/>
          <w:highlight w:val="none"/>
          <w:lang w:val="en-US" w:eastAsia="zh-CN"/>
        </w:rPr>
        <w:fldChar w:fldCharType="end"/>
      </w:r>
    </w:p>
    <w:p w14:paraId="34176269">
      <w:pPr>
        <w:keepNext w:val="0"/>
        <w:keepLines w:val="0"/>
        <w:pageBreakBefore w:val="0"/>
        <w:numPr>
          <w:ilvl w:val="0"/>
          <w:numId w:val="0"/>
        </w:numPr>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投标人未出现以下情形：与</w:t>
      </w:r>
      <w:r>
        <w:rPr>
          <w:rFonts w:hint="eastAsia" w:ascii="宋体" w:hAnsi="宋体" w:cs="宋体"/>
          <w:color w:val="auto"/>
          <w:sz w:val="24"/>
          <w:szCs w:val="24"/>
          <w:highlight w:val="none"/>
          <w:lang w:val="en-US" w:eastAsia="zh-CN"/>
        </w:rPr>
        <w:t>本标段</w:t>
      </w:r>
      <w:r>
        <w:rPr>
          <w:rFonts w:hint="eastAsia" w:ascii="宋体" w:hAnsi="宋体" w:eastAsia="宋体" w:cs="宋体"/>
          <w:color w:val="auto"/>
          <w:sz w:val="24"/>
          <w:szCs w:val="24"/>
          <w:highlight w:val="none"/>
        </w:rPr>
        <w:t>其它投标人的单位负责人为同一人或者存在控股、管理关系的（按投标人提供的《投标人声明》第</w:t>
      </w: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条内容进行评审）。如不同投标人出现单位负责人为同一人或者存在控股、管理关系的情形，则</w:t>
      </w:r>
      <w:r>
        <w:rPr>
          <w:rFonts w:hint="eastAsia" w:ascii="宋体" w:hAnsi="宋体" w:eastAsia="宋体" w:cs="宋体"/>
          <w:color w:val="auto"/>
          <w:sz w:val="24"/>
          <w:szCs w:val="24"/>
          <w:highlight w:val="none"/>
          <w:u w:val="single"/>
        </w:rPr>
        <w:t>相关投标均无效</w:t>
      </w:r>
      <w:r>
        <w:rPr>
          <w:rFonts w:hint="eastAsia" w:ascii="宋体" w:hAnsi="宋体" w:eastAsia="宋体" w:cs="宋体"/>
          <w:color w:val="auto"/>
          <w:sz w:val="24"/>
          <w:szCs w:val="24"/>
          <w:highlight w:val="none"/>
        </w:rPr>
        <w:t>。</w:t>
      </w:r>
    </w:p>
    <w:p w14:paraId="4065E3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投标人未被列入拖欠农民工工资失信联合惩戒对象名单</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shd w:val="clear" w:color="auto" w:fill="auto"/>
        </w:rPr>
        <w:t>（投标人无需提供资料，按交易系统比对的结果进行评审）</w:t>
      </w:r>
    </w:p>
    <w:p w14:paraId="52F0E96C">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注：未在招标公告第九条单列的资审合格条件，不作为资审不合格的依据。</w:t>
      </w:r>
    </w:p>
    <w:p w14:paraId="1E385403">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十、资格审查方式：</w:t>
      </w:r>
    </w:p>
    <w:p w14:paraId="79596B1B">
      <w:pPr>
        <w:keepNext w:val="0"/>
        <w:keepLines w:val="0"/>
        <w:pageBreakBefore w:val="0"/>
        <w:widowControl/>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14:paraId="20B3F9E8">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十一、资格审查结果将在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交易平台和广东省招标投标监管网公示，</w:t>
      </w:r>
      <w:r>
        <w:rPr>
          <w:rFonts w:hint="eastAsia" w:ascii="宋体" w:hAnsi="宋体" w:eastAsia="宋体" w:cs="宋体"/>
          <w:bCs/>
          <w:color w:val="auto"/>
          <w:sz w:val="24"/>
          <w:szCs w:val="24"/>
          <w:highlight w:val="none"/>
        </w:rPr>
        <w:t>公示时间不得少于3日。</w:t>
      </w:r>
    </w:p>
    <w:p w14:paraId="436BFFF0">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十二、满足资格审查合格条件的投标人不足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名或通过有效性审查的投标人不足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名时为招标失败。招标人分析招标失败原因，修正招标方案后，重新组织招标。</w:t>
      </w:r>
    </w:p>
    <w:p w14:paraId="6E58BF01">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E565466">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344A1797">
      <w:pPr>
        <w:keepNext w:val="0"/>
        <w:keepLines w:val="0"/>
        <w:pageBreakBefore w:val="0"/>
        <w:topLinePunct w:val="0"/>
        <w:autoSpaceDE/>
        <w:bidi w:val="0"/>
        <w:spacing w:line="360"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209DF600">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十五、</w:t>
      </w:r>
      <w:r>
        <w:rPr>
          <w:rFonts w:hint="eastAsia" w:ascii="宋体" w:hAnsi="宋体" w:eastAsia="宋体" w:cs="宋体"/>
          <w:color w:val="auto"/>
          <w:sz w:val="24"/>
          <w:szCs w:val="24"/>
          <w:highlight w:val="none"/>
          <w:u w:val="single"/>
        </w:rPr>
        <w:t>潜在投标人或利害关系人对本招标公告及招标文件有异议的，应当在投标截止时间10日前向招标人书面提出。</w:t>
      </w:r>
    </w:p>
    <w:p w14:paraId="5085E0C1">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lang w:eastAsia="zh-CN"/>
        </w:rPr>
        <w:t>广州新中轴建设有限公司</w:t>
      </w:r>
    </w:p>
    <w:p w14:paraId="5B80EA60">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异议受理电话：</w:t>
      </w:r>
      <w:r>
        <w:rPr>
          <w:rFonts w:hint="eastAsia" w:ascii="宋体" w:hAnsi="宋体" w:eastAsia="宋体" w:cs="宋体"/>
          <w:color w:val="auto"/>
          <w:sz w:val="24"/>
          <w:szCs w:val="24"/>
          <w:highlight w:val="none"/>
          <w:u w:val="single"/>
          <w:lang w:val="en-US" w:eastAsia="zh-CN"/>
        </w:rPr>
        <w:t>020-31154054</w:t>
      </w:r>
    </w:p>
    <w:p w14:paraId="27EBE2F3">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single"/>
          <w:lang w:val="en-US" w:eastAsia="zh-CN"/>
        </w:rPr>
        <w:t>严</w:t>
      </w:r>
      <w:r>
        <w:rPr>
          <w:rFonts w:hint="eastAsia" w:ascii="宋体" w:hAnsi="宋体" w:eastAsia="宋体" w:cs="宋体"/>
          <w:color w:val="auto"/>
          <w:sz w:val="24"/>
          <w:szCs w:val="24"/>
          <w:highlight w:val="none"/>
          <w:u w:val="single"/>
          <w:lang w:eastAsia="zh-CN"/>
        </w:rPr>
        <w:t>工</w:t>
      </w:r>
    </w:p>
    <w:p w14:paraId="48097B90">
      <w:pPr>
        <w:keepNext w:val="0"/>
        <w:keepLines w:val="0"/>
        <w:pageBreakBefore w:val="0"/>
        <w:topLinePunct w:val="0"/>
        <w:autoSpaceDE/>
        <w:bidi w:val="0"/>
        <w:spacing w:line="360" w:lineRule="auto"/>
        <w:ind w:left="0" w:leftChars="0" w:right="0" w:rightChars="0"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u w:val="single"/>
          <w:lang w:eastAsia="zh-CN"/>
        </w:rPr>
        <w:t>广州市越秀区流花路117号流花展馆15号馆6楼</w:t>
      </w:r>
    </w:p>
    <w:p w14:paraId="4D1825C1">
      <w:pPr>
        <w:keepNext w:val="0"/>
        <w:keepLines w:val="0"/>
        <w:pageBreakBefore w:val="0"/>
        <w:topLinePunct w:val="0"/>
        <w:autoSpaceDE/>
        <w:bidi w:val="0"/>
        <w:spacing w:line="360" w:lineRule="auto"/>
        <w:ind w:left="0" w:leftChars="0" w:right="0" w:rightChars="0"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E89503C">
      <w:pPr>
        <w:keepNext w:val="0"/>
        <w:keepLines w:val="0"/>
        <w:pageBreakBefore w:val="0"/>
        <w:wordWrap w:val="0"/>
        <w:topLinePunct w:val="0"/>
        <w:autoSpaceDE/>
        <w:bidi w:val="0"/>
        <w:spacing w:line="358"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十六、本公告同时在广州交易集团有限公司（广州公共资源交易中心）（http://www.gzggzy.cn）、广东省招标投标监管网（https://www.gdzwfw.gov.cn/ztbjg-portal/#/index）、中国招标投标公共服务平台（http://www.cebpubservice.com/）</w:t>
      </w:r>
      <w:r>
        <w:rPr>
          <w:rFonts w:hint="eastAsia" w:ascii="宋体" w:hAnsi="宋体" w:cs="宋体"/>
          <w:color w:val="auto"/>
          <w:sz w:val="24"/>
          <w:highlight w:val="none"/>
        </w:rPr>
        <w:t>和</w:t>
      </w:r>
      <w:r>
        <w:rPr>
          <w:rFonts w:hint="eastAsia" w:ascii="宋体" w:hAnsi="Times New Roman" w:cs="宋体"/>
          <w:color w:val="auto"/>
          <w:sz w:val="24"/>
          <w:szCs w:val="24"/>
          <w:highlight w:val="none"/>
          <w:lang w:bidi="ar"/>
        </w:rPr>
        <w:t>广州国企阳光采购信息发布平台</w:t>
      </w:r>
      <w:r>
        <w:rPr>
          <w:rFonts w:hint="eastAsia" w:ascii="宋体" w:hAnsi="宋体"/>
          <w:color w:val="auto"/>
          <w:sz w:val="24"/>
          <w:highlight w:val="none"/>
        </w:rPr>
        <w:t>（http://ygcg.gzggzy.cn）</w:t>
      </w:r>
      <w:r>
        <w:rPr>
          <w:rFonts w:hint="eastAsia" w:ascii="宋体" w:hAnsi="宋体" w:eastAsia="宋体" w:cs="宋体"/>
          <w:color w:val="auto"/>
          <w:sz w:val="24"/>
          <w:szCs w:val="24"/>
          <w:highlight w:val="none"/>
        </w:rPr>
        <w:t>发布，本公告的修改、补充，在广州交易集团有限公司（广州公共资源交易中心）交易平台发布。</w:t>
      </w:r>
      <w:r>
        <w:rPr>
          <w:rFonts w:hint="eastAsia" w:ascii="宋体" w:hAnsi="宋体" w:eastAsia="宋体" w:cs="宋体"/>
          <w:color w:val="auto"/>
          <w:sz w:val="24"/>
          <w:szCs w:val="24"/>
          <w:highlight w:val="none"/>
          <w:u w:val="single"/>
        </w:rPr>
        <w:t>本公告在各平台发布的文本如有不同之处，以在广州交易集团有限公司（广州公共资源交易中心）发布的文本为准。本项目相关附件具体详见广州交易集团有限公司（广州公共资源交易中心）网站。</w:t>
      </w:r>
    </w:p>
    <w:p w14:paraId="27D09344">
      <w:pPr>
        <w:keepNext w:val="0"/>
        <w:keepLines w:val="0"/>
        <w:pageBreakBefore w:val="0"/>
        <w:topLinePunct w:val="0"/>
        <w:autoSpaceDE/>
        <w:bidi w:val="0"/>
        <w:spacing w:line="358"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14:paraId="043E94E6">
      <w:pPr>
        <w:keepNext w:val="0"/>
        <w:keepLines w:val="0"/>
        <w:pageBreakBefore w:val="0"/>
        <w:topLinePunct w:val="0"/>
        <w:autoSpaceDE/>
        <w:bidi w:val="0"/>
        <w:spacing w:line="358"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r>
        <w:rPr>
          <w:rFonts w:hint="eastAsia" w:ascii="宋体" w:hAnsi="宋体" w:eastAsia="宋体" w:cs="宋体"/>
          <w:color w:val="auto"/>
          <w:sz w:val="24"/>
          <w:szCs w:val="24"/>
          <w:highlight w:val="none"/>
          <w:u w:val="single"/>
        </w:rPr>
        <w:t>如招标人需发布补充公告的，以最后发布的补充公告的时间起计算编制投标文件时间。</w:t>
      </w:r>
    </w:p>
    <w:p w14:paraId="4F1D197F">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十九、《投诉处理决定书》和《行政处理决定书》在广州市住房和城乡建设局网站上公布的，视为送达其他与决定书有关的当事人。</w:t>
      </w:r>
    </w:p>
    <w:p w14:paraId="408FF548">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特别提示：投标人在本项目招标人的工程项目中存在下列行为的，将被拒绝</w:t>
      </w:r>
      <w:r>
        <w:rPr>
          <w:rFonts w:hint="eastAsia" w:ascii="宋体" w:hAnsi="宋体" w:eastAsia="宋体" w:cs="宋体"/>
          <w:color w:val="auto"/>
          <w:sz w:val="24"/>
          <w:szCs w:val="24"/>
          <w:highlight w:val="none"/>
          <w:lang w:val="en-US" w:eastAsia="zh-CN"/>
        </w:rPr>
        <w:t>一年</w:t>
      </w:r>
      <w:r>
        <w:rPr>
          <w:rFonts w:hint="eastAsia" w:ascii="宋体" w:hAnsi="宋体" w:eastAsia="宋体" w:cs="宋体"/>
          <w:color w:val="auto"/>
          <w:sz w:val="24"/>
          <w:szCs w:val="24"/>
          <w:highlight w:val="none"/>
        </w:rPr>
        <w:t>内参与招标人后续工程投标。（注：自招标人发出通知之日起计）：</w:t>
      </w:r>
    </w:p>
    <w:p w14:paraId="5A469577">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1.将中标工程转包或者违法分包的；</w:t>
      </w:r>
    </w:p>
    <w:p w14:paraId="4977C134">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2.在中标工程中不执行质量、安全生产相关规定的，造成质量或安全事故的；</w:t>
      </w:r>
    </w:p>
    <w:p w14:paraId="5D7B97CE">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3.出让投标资格的；</w:t>
      </w:r>
    </w:p>
    <w:p w14:paraId="0CCA0188">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4.存在围标或串标情形的；</w:t>
      </w:r>
    </w:p>
    <w:p w14:paraId="76E0BA49">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5.在投标文件中提供虚假材料的；</w:t>
      </w:r>
    </w:p>
    <w:p w14:paraId="12DB2819">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6.存在少放、不放业绩、奖项等客观评审资料，减少自身竞争力情形的</w:t>
      </w:r>
    </w:p>
    <w:p w14:paraId="43C5F621">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存在行贿情形的</w:t>
      </w:r>
      <w:r>
        <w:rPr>
          <w:rFonts w:hint="eastAsia" w:ascii="宋体" w:hAnsi="宋体" w:cs="宋体"/>
          <w:color w:val="auto"/>
          <w:sz w:val="24"/>
          <w:szCs w:val="24"/>
          <w:highlight w:val="none"/>
          <w:lang w:eastAsia="zh-CN"/>
        </w:rPr>
        <w:t>；</w:t>
      </w:r>
    </w:p>
    <w:p w14:paraId="61A79280">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.拖欠农民工工资的；</w:t>
      </w:r>
    </w:p>
    <w:p w14:paraId="173DD0B4">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.未按照国家、省、市有关建筑施工实名制管理和工人工资支付分账管理的规定执行，被行政监管部门通报或处罚的；</w:t>
      </w:r>
    </w:p>
    <w:p w14:paraId="66666E96">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.中标人在项目实施过程中选取的专业分包单位或劳务企业或劳务班组长与投标时不一致的。</w:t>
      </w:r>
    </w:p>
    <w:p w14:paraId="23FB2EDD">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11.本项目投标时拟派的专职安全员在其他项目中有任职且在本项目开工前未完成更换确保专职安全员只在本项目上任职的</w:t>
      </w:r>
      <w:r>
        <w:rPr>
          <w:rFonts w:hint="eastAsia" w:ascii="宋体" w:hAnsi="宋体" w:cs="宋体"/>
          <w:color w:val="auto"/>
          <w:sz w:val="24"/>
          <w:szCs w:val="24"/>
          <w:highlight w:val="none"/>
          <w:lang w:val="en-US" w:eastAsia="zh-CN"/>
        </w:rPr>
        <w:t>；</w:t>
      </w:r>
    </w:p>
    <w:p w14:paraId="07CA499F">
      <w:pPr>
        <w:keepNext w:val="0"/>
        <w:keepLines w:val="0"/>
        <w:pageBreakBefore w:val="0"/>
        <w:topLinePunct w:val="0"/>
        <w:autoSpaceDE/>
        <w:bidi w:val="0"/>
        <w:spacing w:line="358" w:lineRule="auto"/>
        <w:ind w:left="0" w:leftChars="0"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中标人未按规定购买安全生产责任保险</w:t>
      </w:r>
      <w:r>
        <w:rPr>
          <w:rFonts w:hint="eastAsia" w:ascii="宋体" w:hAnsi="宋体" w:eastAsia="宋体" w:cs="宋体"/>
          <w:color w:val="auto"/>
          <w:sz w:val="24"/>
          <w:szCs w:val="24"/>
          <w:highlight w:val="none"/>
        </w:rPr>
        <w:t>。</w:t>
      </w:r>
    </w:p>
    <w:p w14:paraId="445622F6">
      <w:pPr>
        <w:keepNext w:val="0"/>
        <w:keepLines w:val="0"/>
        <w:pageBreakBefore w:val="0"/>
        <w:topLinePunct w:val="0"/>
        <w:autoSpaceDE/>
        <w:bidi w:val="0"/>
        <w:spacing w:line="358" w:lineRule="auto"/>
        <w:ind w:left="0" w:leftChars="0" w:right="0" w:rightChars="0" w:firstLine="480" w:firstLineChars="200"/>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.存在因过错行为被生效法律文书认定承担违约或侵权责任的。</w:t>
      </w:r>
    </w:p>
    <w:p w14:paraId="7FA0B6FF">
      <w:pPr>
        <w:keepNext w:val="0"/>
        <w:keepLines w:val="0"/>
        <w:pageBreakBefore w:val="0"/>
        <w:topLinePunct w:val="0"/>
        <w:autoSpaceDE/>
        <w:bidi w:val="0"/>
        <w:spacing w:line="360" w:lineRule="auto"/>
        <w:ind w:left="0" w:leftChars="0" w:right="0" w:rightChars="0" w:firstLine="480" w:firstLineChars="200"/>
        <w:jc w:val="right"/>
        <w:textAlignment w:val="auto"/>
        <w:rPr>
          <w:rFonts w:hint="eastAsia" w:ascii="宋体" w:hAnsi="宋体" w:eastAsia="宋体" w:cs="宋体"/>
          <w:color w:val="auto"/>
          <w:sz w:val="24"/>
          <w:szCs w:val="24"/>
          <w:highlight w:val="none"/>
        </w:rPr>
        <w:sectPr>
          <w:footerReference r:id="rId3" w:type="default"/>
          <w:endnotePr>
            <w:numFmt w:val="decimal"/>
          </w:endnotePr>
          <w:pgSz w:w="11906" w:h="16838"/>
          <w:pgMar w:top="1440" w:right="1440" w:bottom="1440" w:left="1440" w:header="851" w:footer="992" w:gutter="0"/>
          <w:pgNumType w:start="1"/>
          <w:cols w:space="0" w:num="1"/>
          <w:rtlGutter w:val="0"/>
          <w:docGrid w:type="lines" w:linePitch="312" w:charSpace="0"/>
        </w:sectPr>
      </w:pPr>
    </w:p>
    <w:p w14:paraId="4C450F2F">
      <w:pPr>
        <w:spacing w:line="360" w:lineRule="auto"/>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附件一：</w:t>
      </w:r>
    </w:p>
    <w:p w14:paraId="69A43B41">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投标人声明</w:t>
      </w:r>
    </w:p>
    <w:p w14:paraId="4A1247CB">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广州市住房和城乡建设局、本招标项目招标人及招标</w:t>
      </w:r>
      <w:r>
        <w:rPr>
          <w:rFonts w:hint="eastAsia" w:ascii="宋体" w:hAnsi="宋体" w:eastAsia="宋体" w:cs="宋体"/>
          <w:color w:val="auto"/>
          <w:sz w:val="24"/>
          <w:szCs w:val="24"/>
          <w:highlight w:val="none"/>
          <w:lang w:val="en-US" w:eastAsia="zh-CN"/>
        </w:rPr>
        <w:t>监管</w:t>
      </w:r>
      <w:r>
        <w:rPr>
          <w:rFonts w:hint="eastAsia" w:ascii="宋体" w:hAnsi="宋体" w:eastAsia="宋体" w:cs="宋体"/>
          <w:color w:val="auto"/>
          <w:sz w:val="24"/>
          <w:szCs w:val="24"/>
          <w:highlight w:val="none"/>
        </w:rPr>
        <w:t>机构：</w:t>
      </w:r>
    </w:p>
    <w:p w14:paraId="1BD5EE8E">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cs="宋体"/>
          <w:b/>
          <w:bCs/>
          <w:color w:val="auto"/>
          <w:sz w:val="24"/>
          <w:szCs w:val="24"/>
          <w:highlight w:val="none"/>
          <w:u w:val="single"/>
          <w:lang w:eastAsia="zh-CN"/>
        </w:rPr>
        <w:t>广州塔广场数智生活科技体验馆项目幕墙施工专业承包</w:t>
      </w:r>
      <w:r>
        <w:rPr>
          <w:rFonts w:hint="eastAsia" w:ascii="宋体" w:hAnsi="宋体" w:eastAsia="宋体" w:cs="宋体"/>
          <w:color w:val="auto"/>
          <w:sz w:val="24"/>
          <w:szCs w:val="24"/>
          <w:highlight w:val="none"/>
        </w:rPr>
        <w:t>投标工作，作出郑重声明：</w:t>
      </w:r>
    </w:p>
    <w:p w14:paraId="2D7C22C5">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40CB956B">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2E7495E">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48F13164">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（一）为招标人不具有独立法人资格的附属机构（单位）；</w:t>
      </w:r>
    </w:p>
    <w:p w14:paraId="3C8CF3BC">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（二）为本标段前期准备提供设计或咨询服务或者与本项目设计人或提供咨询服务的机构存在附属关系的；</w:t>
      </w:r>
    </w:p>
    <w:p w14:paraId="526C6B30">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（三）为本标段监理人或者与本标段监理人存在隶属关系或者其他利害关系；</w:t>
      </w:r>
    </w:p>
    <w:p w14:paraId="68C17FEF">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（四）为本标段的代建人；</w:t>
      </w:r>
    </w:p>
    <w:p w14:paraId="7F572261">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（五）为本标段提供招标代理服务的；</w:t>
      </w:r>
    </w:p>
    <w:p w14:paraId="46BFAC9D">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（六）与本标段的监理人或代建人或招标代理机构同为一个法定代表人的；</w:t>
      </w:r>
    </w:p>
    <w:p w14:paraId="0629AF56">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（七）与本标段的监理人或代建人或招标代理机构互相控股或参股的；</w:t>
      </w:r>
    </w:p>
    <w:p w14:paraId="1872B41B">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（八）与本标段的监理人或代建人或招标代理机构相互任职或工作的；</w:t>
      </w:r>
    </w:p>
    <w:p w14:paraId="20208133">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（九）与本标段的检测机构有隶属关系或者其他利害关系；</w:t>
      </w:r>
    </w:p>
    <w:p w14:paraId="27B65A16">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（十）与招标人存在利害关系且可能影响招标公正性；</w:t>
      </w:r>
    </w:p>
    <w:p w14:paraId="7ED13194">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D36E438">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72E50711">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（十三）进入清算程序，或被宣布破产，或其他丧失履约能力的情形；</w:t>
      </w:r>
    </w:p>
    <w:p w14:paraId="1EBA8059">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2021年1月1日起至投标截止时间之日止，以相关行业主管部门、司法机关、仲裁机构出具的生效文件的落款时间起计算）</w:t>
      </w:r>
    </w:p>
    <w:p w14:paraId="163C0D93">
      <w:pPr>
        <w:keepNext w:val="0"/>
        <w:keepLines w:val="0"/>
        <w:pageBreakBefore w:val="0"/>
        <w:widowControl w:val="0"/>
        <w:kinsoku/>
        <w:wordWrap/>
        <w:overflowPunct/>
        <w:topLinePunct w:val="0"/>
        <w:autoSpaceDE/>
        <w:autoSpaceDN/>
        <w:bidi w:val="0"/>
        <w:adjustRightInd/>
        <w:snapToGrid/>
        <w:spacing w:line="360" w:lineRule="auto"/>
        <w:ind w:firstLine="629"/>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（十五）法律法规规定的其他情形。</w:t>
      </w:r>
    </w:p>
    <w:p w14:paraId="0DD7043A">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四、本公司保证：本项目拟派的项目负责人在投标截止时没有在其他在建项目中任施工单位项目负责人，本项目拟派的专职安全员没有在其他在建项目中任职。</w:t>
      </w:r>
    </w:p>
    <w:p w14:paraId="46CAA642">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1DC434A">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59D8E4C">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B23EF4F">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14:paraId="087ED4F0">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九</w:t>
      </w:r>
      <w:r>
        <w:rPr>
          <w:rFonts w:hint="eastAsia" w:ascii="宋体" w:hAnsi="宋体" w:eastAsia="宋体" w:cs="宋体"/>
          <w:b/>
          <w:bCs/>
          <w:color w:val="auto"/>
          <w:sz w:val="24"/>
          <w:szCs w:val="24"/>
          <w:highlight w:val="none"/>
        </w:rPr>
        <w:t>、与本公司单位负责人为同一人或者与本公司存在控股、管理关系的其他单位包括：</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55B806C7">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十</w:t>
      </w:r>
      <w:r>
        <w:rPr>
          <w:rFonts w:hint="eastAsia" w:ascii="宋体" w:hAnsi="宋体" w:eastAsia="宋体" w:cs="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241F3D54">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、本公司承诺，中标后将按招标人要求，积极响应广州市关于投身“百千万工程”的号召，主动参与建筑业结对帮扶。</w:t>
      </w:r>
    </w:p>
    <w:p w14:paraId="15D38A6A">
      <w:pPr>
        <w:keepNext w:val="0"/>
        <w:keepLines w:val="0"/>
        <w:pageBreakBefore w:val="0"/>
        <w:widowControl w:val="0"/>
        <w:kinsoku/>
        <w:wordWrap/>
        <w:overflowPunct/>
        <w:topLinePunct w:val="0"/>
        <w:autoSpaceDE/>
        <w:autoSpaceDN/>
        <w:bidi w:val="0"/>
        <w:adjustRightInd/>
        <w:snapToGrid/>
        <w:spacing w:line="360" w:lineRule="auto"/>
        <w:ind w:firstLine="567"/>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十二、</w:t>
      </w:r>
      <w:r>
        <w:rPr>
          <w:rFonts w:hint="eastAsia" w:ascii="宋体" w:hAnsi="宋体" w:eastAsia="宋体" w:cs="宋体"/>
          <w:color w:val="auto"/>
          <w:sz w:val="24"/>
          <w:szCs w:val="24"/>
          <w:highlight w:val="none"/>
          <w:lang w:val="en-US" w:eastAsia="zh-CN"/>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FD671D9">
      <w:pPr>
        <w:keepNext w:val="0"/>
        <w:keepLines w:val="0"/>
        <w:pageBreakBefore w:val="0"/>
        <w:widowControl w:val="0"/>
        <w:kinsoku/>
        <w:wordWrap/>
        <w:overflowPunct/>
        <w:topLinePunct w:val="0"/>
        <w:autoSpaceDE/>
        <w:autoSpaceDN/>
        <w:bidi w:val="0"/>
        <w:adjustRightInd/>
        <w:snapToGrid/>
        <w:spacing w:line="360" w:lineRule="auto"/>
        <w:ind w:firstLine="56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332D2F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1D6F67B">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r>
        <w:rPr>
          <w:rFonts w:hint="eastAsia" w:ascii="宋体" w:hAnsi="宋体" w:cs="宋体"/>
          <w:color w:val="auto"/>
          <w:sz w:val="24"/>
          <w:szCs w:val="24"/>
          <w:highlight w:val="none"/>
        </w:rPr>
        <w:t>声明企业：</w:t>
      </w:r>
    </w:p>
    <w:p w14:paraId="5C6502E9">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项目负责人签字</w:t>
      </w:r>
      <w:r>
        <w:rPr>
          <w:rFonts w:hint="eastAsia" w:ascii="宋体" w:hAnsi="宋体" w:cs="宋体"/>
          <w:color w:val="auto"/>
          <w:sz w:val="24"/>
          <w:szCs w:val="24"/>
          <w:highlight w:val="none"/>
          <w:lang w:eastAsia="zh-CN"/>
        </w:rPr>
        <w:t>：</w:t>
      </w:r>
    </w:p>
    <w:p w14:paraId="1CBB2924">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技术负责人签字：</w:t>
      </w:r>
    </w:p>
    <w:p w14:paraId="3DC235AB">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B1F8DAD">
      <w:pPr>
        <w:keepNext w:val="0"/>
        <w:keepLines w:val="0"/>
        <w:pageBreakBefore w:val="0"/>
        <w:widowControl w:val="0"/>
        <w:kinsoku/>
        <w:wordWrap/>
        <w:overflowPunct/>
        <w:topLinePunct w:val="0"/>
        <w:autoSpaceDE/>
        <w:autoSpaceDN/>
        <w:bidi w:val="0"/>
        <w:adjustRightInd/>
        <w:snapToGrid/>
        <w:spacing w:line="360" w:lineRule="auto"/>
        <w:ind w:firstLine="3542" w:firstLineChars="1476"/>
        <w:rPr>
          <w:rFonts w:hint="eastAsia" w:ascii="宋体" w:hAnsi="宋体" w:cs="宋体"/>
          <w:color w:val="auto"/>
          <w:sz w:val="24"/>
          <w:szCs w:val="24"/>
          <w:highlight w:val="none"/>
        </w:rPr>
      </w:pPr>
    </w:p>
    <w:p w14:paraId="7A8004FA">
      <w:pPr>
        <w:pStyle w:val="8"/>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注：招标人应当要求投标人的项目负责人和技术负责人签字。</w:t>
      </w:r>
    </w:p>
    <w:sectPr>
      <w:headerReference r:id="rId4" w:type="default"/>
      <w:footerReference r:id="rId5" w:type="default"/>
      <w:pgSz w:w="11906" w:h="16838"/>
      <w:pgMar w:top="1417" w:right="147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300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72E7115F">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v:fill on="f" focussize="0,0"/>
              <v:stroke on="f"/>
              <v:imagedata o:title=""/>
              <o:lock v:ext="edit" aspectratio="f"/>
              <v:textbox inset="0mm,0mm,0mm,0mm" style="mso-fit-shape-to-text:t;">
                <w:txbxContent>
                  <w:p w14:paraId="72E7115F">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592579"/>
    </w:sdtPr>
    <w:sdtContent>
      <w:p w14:paraId="4644DE72">
        <w:pPr>
          <w:pStyle w:val="10"/>
          <w:jc w:val="center"/>
        </w:pPr>
        <w:r>
          <w:fldChar w:fldCharType="begin"/>
        </w:r>
        <w:r>
          <w:instrText xml:space="preserve">PAGE   \* MERGEFORMAT</w:instrText>
        </w:r>
        <w:r>
          <w:fldChar w:fldCharType="separate"/>
        </w:r>
        <w:r>
          <w:rPr>
            <w:lang w:val="zh-CN"/>
          </w:rPr>
          <w:t>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36DE4">
    <w:pPr>
      <w:pStyle w:val="11"/>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ZTk4Mzc2ZWJmYWMwNDcxYTU1ZGI4MDkyZDg2ZDcifQ=="/>
  </w:docVars>
  <w:rsids>
    <w:rsidRoot w:val="00905343"/>
    <w:rsid w:val="00002FF7"/>
    <w:rsid w:val="00003E71"/>
    <w:rsid w:val="00021A7A"/>
    <w:rsid w:val="000343AE"/>
    <w:rsid w:val="00037DF0"/>
    <w:rsid w:val="000440EB"/>
    <w:rsid w:val="00045B7A"/>
    <w:rsid w:val="00047F31"/>
    <w:rsid w:val="000514B4"/>
    <w:rsid w:val="000639CD"/>
    <w:rsid w:val="00067A82"/>
    <w:rsid w:val="0007355F"/>
    <w:rsid w:val="0008720E"/>
    <w:rsid w:val="000A1AFE"/>
    <w:rsid w:val="000B0CF4"/>
    <w:rsid w:val="000B14DF"/>
    <w:rsid w:val="000E267B"/>
    <w:rsid w:val="000E6383"/>
    <w:rsid w:val="000F353F"/>
    <w:rsid w:val="00102518"/>
    <w:rsid w:val="0010268E"/>
    <w:rsid w:val="001059BC"/>
    <w:rsid w:val="001246AE"/>
    <w:rsid w:val="00130A5A"/>
    <w:rsid w:val="0014402E"/>
    <w:rsid w:val="00144BCF"/>
    <w:rsid w:val="00146183"/>
    <w:rsid w:val="00146454"/>
    <w:rsid w:val="00172B08"/>
    <w:rsid w:val="00181F24"/>
    <w:rsid w:val="001932D0"/>
    <w:rsid w:val="001A3846"/>
    <w:rsid w:val="001A68B5"/>
    <w:rsid w:val="001D3D3F"/>
    <w:rsid w:val="001D5D30"/>
    <w:rsid w:val="001E3B3E"/>
    <w:rsid w:val="001E6B18"/>
    <w:rsid w:val="0020261E"/>
    <w:rsid w:val="002028C6"/>
    <w:rsid w:val="002113D1"/>
    <w:rsid w:val="002114C0"/>
    <w:rsid w:val="00213435"/>
    <w:rsid w:val="00213C9C"/>
    <w:rsid w:val="00215179"/>
    <w:rsid w:val="00223B50"/>
    <w:rsid w:val="00231DEE"/>
    <w:rsid w:val="002358B1"/>
    <w:rsid w:val="0024521E"/>
    <w:rsid w:val="00246227"/>
    <w:rsid w:val="00263FB1"/>
    <w:rsid w:val="0027175E"/>
    <w:rsid w:val="0027244C"/>
    <w:rsid w:val="002765DB"/>
    <w:rsid w:val="002808A1"/>
    <w:rsid w:val="00285804"/>
    <w:rsid w:val="00285DF5"/>
    <w:rsid w:val="00297377"/>
    <w:rsid w:val="0029765C"/>
    <w:rsid w:val="00297F5A"/>
    <w:rsid w:val="002B0909"/>
    <w:rsid w:val="002B59BA"/>
    <w:rsid w:val="002C2410"/>
    <w:rsid w:val="002C2883"/>
    <w:rsid w:val="002E755F"/>
    <w:rsid w:val="002F3991"/>
    <w:rsid w:val="002F3D33"/>
    <w:rsid w:val="00330720"/>
    <w:rsid w:val="003435A4"/>
    <w:rsid w:val="00343CA2"/>
    <w:rsid w:val="003443CB"/>
    <w:rsid w:val="00352EC3"/>
    <w:rsid w:val="00360A05"/>
    <w:rsid w:val="00376E87"/>
    <w:rsid w:val="00376EAA"/>
    <w:rsid w:val="00386599"/>
    <w:rsid w:val="00386A37"/>
    <w:rsid w:val="00392168"/>
    <w:rsid w:val="00397FC1"/>
    <w:rsid w:val="003A3FE7"/>
    <w:rsid w:val="003A442C"/>
    <w:rsid w:val="003A4CF1"/>
    <w:rsid w:val="003A6B31"/>
    <w:rsid w:val="003C4049"/>
    <w:rsid w:val="003D301D"/>
    <w:rsid w:val="003D6A09"/>
    <w:rsid w:val="003D708B"/>
    <w:rsid w:val="003E30D1"/>
    <w:rsid w:val="003E46D4"/>
    <w:rsid w:val="003E4BE6"/>
    <w:rsid w:val="004118F4"/>
    <w:rsid w:val="00415C4B"/>
    <w:rsid w:val="004171F5"/>
    <w:rsid w:val="00434BDA"/>
    <w:rsid w:val="004372B6"/>
    <w:rsid w:val="00442351"/>
    <w:rsid w:val="00456A31"/>
    <w:rsid w:val="00456CAD"/>
    <w:rsid w:val="00460AF4"/>
    <w:rsid w:val="00467B85"/>
    <w:rsid w:val="00471C36"/>
    <w:rsid w:val="00472B25"/>
    <w:rsid w:val="0047644A"/>
    <w:rsid w:val="00485293"/>
    <w:rsid w:val="00492D31"/>
    <w:rsid w:val="00497618"/>
    <w:rsid w:val="004A2ED4"/>
    <w:rsid w:val="004B5701"/>
    <w:rsid w:val="004B6A41"/>
    <w:rsid w:val="004C217F"/>
    <w:rsid w:val="004C2FB7"/>
    <w:rsid w:val="004C362E"/>
    <w:rsid w:val="004D22F7"/>
    <w:rsid w:val="004D61E7"/>
    <w:rsid w:val="004D6972"/>
    <w:rsid w:val="004E0717"/>
    <w:rsid w:val="004F1983"/>
    <w:rsid w:val="004F565C"/>
    <w:rsid w:val="004F6931"/>
    <w:rsid w:val="00500D91"/>
    <w:rsid w:val="0050186E"/>
    <w:rsid w:val="005146AB"/>
    <w:rsid w:val="0051669D"/>
    <w:rsid w:val="00520F83"/>
    <w:rsid w:val="00522EF3"/>
    <w:rsid w:val="005237D3"/>
    <w:rsid w:val="00552AA8"/>
    <w:rsid w:val="00570EB7"/>
    <w:rsid w:val="0059141B"/>
    <w:rsid w:val="005B1EE5"/>
    <w:rsid w:val="005C460A"/>
    <w:rsid w:val="005C6E94"/>
    <w:rsid w:val="005E5155"/>
    <w:rsid w:val="005F15F6"/>
    <w:rsid w:val="00600A77"/>
    <w:rsid w:val="006067F7"/>
    <w:rsid w:val="006130A9"/>
    <w:rsid w:val="00615FFC"/>
    <w:rsid w:val="00624663"/>
    <w:rsid w:val="00632B03"/>
    <w:rsid w:val="006330C7"/>
    <w:rsid w:val="00640635"/>
    <w:rsid w:val="00650748"/>
    <w:rsid w:val="00651674"/>
    <w:rsid w:val="00653CAB"/>
    <w:rsid w:val="006754BB"/>
    <w:rsid w:val="0067651D"/>
    <w:rsid w:val="00691183"/>
    <w:rsid w:val="006B6429"/>
    <w:rsid w:val="006B678E"/>
    <w:rsid w:val="006B6BAA"/>
    <w:rsid w:val="006C17B8"/>
    <w:rsid w:val="006E1BFB"/>
    <w:rsid w:val="006E23B4"/>
    <w:rsid w:val="006E7805"/>
    <w:rsid w:val="00700153"/>
    <w:rsid w:val="00702432"/>
    <w:rsid w:val="00703F16"/>
    <w:rsid w:val="007226C0"/>
    <w:rsid w:val="007250B4"/>
    <w:rsid w:val="007345D3"/>
    <w:rsid w:val="007422A1"/>
    <w:rsid w:val="007453B0"/>
    <w:rsid w:val="007635C0"/>
    <w:rsid w:val="00786F17"/>
    <w:rsid w:val="00791153"/>
    <w:rsid w:val="0079771E"/>
    <w:rsid w:val="007A42AC"/>
    <w:rsid w:val="007A7D04"/>
    <w:rsid w:val="007B2A9A"/>
    <w:rsid w:val="007B5A5E"/>
    <w:rsid w:val="007D208C"/>
    <w:rsid w:val="007E0611"/>
    <w:rsid w:val="007E113A"/>
    <w:rsid w:val="007E5531"/>
    <w:rsid w:val="007E6799"/>
    <w:rsid w:val="007F0DA2"/>
    <w:rsid w:val="007F68ED"/>
    <w:rsid w:val="00806C77"/>
    <w:rsid w:val="008101E3"/>
    <w:rsid w:val="00812BCB"/>
    <w:rsid w:val="00817F2E"/>
    <w:rsid w:val="00825F9A"/>
    <w:rsid w:val="00847BAD"/>
    <w:rsid w:val="008521E5"/>
    <w:rsid w:val="00855AA3"/>
    <w:rsid w:val="00862F65"/>
    <w:rsid w:val="00863B52"/>
    <w:rsid w:val="00863C9C"/>
    <w:rsid w:val="0086675A"/>
    <w:rsid w:val="00867FFD"/>
    <w:rsid w:val="00875102"/>
    <w:rsid w:val="008C456E"/>
    <w:rsid w:val="008C477F"/>
    <w:rsid w:val="008D0347"/>
    <w:rsid w:val="008F1110"/>
    <w:rsid w:val="008F46EA"/>
    <w:rsid w:val="008F7E1A"/>
    <w:rsid w:val="00905343"/>
    <w:rsid w:val="009120E6"/>
    <w:rsid w:val="0091429B"/>
    <w:rsid w:val="00920543"/>
    <w:rsid w:val="00921449"/>
    <w:rsid w:val="0092193D"/>
    <w:rsid w:val="00924615"/>
    <w:rsid w:val="00926A4C"/>
    <w:rsid w:val="00930B61"/>
    <w:rsid w:val="00931657"/>
    <w:rsid w:val="00936AD4"/>
    <w:rsid w:val="00941DB4"/>
    <w:rsid w:val="00943624"/>
    <w:rsid w:val="009461FF"/>
    <w:rsid w:val="00946FFA"/>
    <w:rsid w:val="009476D8"/>
    <w:rsid w:val="00950B0F"/>
    <w:rsid w:val="00980329"/>
    <w:rsid w:val="009841B0"/>
    <w:rsid w:val="0099730F"/>
    <w:rsid w:val="009D0FF9"/>
    <w:rsid w:val="009D1ED9"/>
    <w:rsid w:val="009D7E42"/>
    <w:rsid w:val="009D7FC0"/>
    <w:rsid w:val="009E72F7"/>
    <w:rsid w:val="009F6447"/>
    <w:rsid w:val="00A10F23"/>
    <w:rsid w:val="00A30135"/>
    <w:rsid w:val="00A42101"/>
    <w:rsid w:val="00A45332"/>
    <w:rsid w:val="00A53B5A"/>
    <w:rsid w:val="00A61F51"/>
    <w:rsid w:val="00A81B04"/>
    <w:rsid w:val="00AA5E9B"/>
    <w:rsid w:val="00AB397B"/>
    <w:rsid w:val="00AB512E"/>
    <w:rsid w:val="00AE025C"/>
    <w:rsid w:val="00AE1B3A"/>
    <w:rsid w:val="00AF5F53"/>
    <w:rsid w:val="00B11218"/>
    <w:rsid w:val="00B12D93"/>
    <w:rsid w:val="00B13BF3"/>
    <w:rsid w:val="00B4262D"/>
    <w:rsid w:val="00B5313F"/>
    <w:rsid w:val="00B74066"/>
    <w:rsid w:val="00B83497"/>
    <w:rsid w:val="00BA27ED"/>
    <w:rsid w:val="00BD5E58"/>
    <w:rsid w:val="00BD71E5"/>
    <w:rsid w:val="00BF183C"/>
    <w:rsid w:val="00BF291C"/>
    <w:rsid w:val="00BF44F0"/>
    <w:rsid w:val="00BF7B56"/>
    <w:rsid w:val="00C06115"/>
    <w:rsid w:val="00C231E0"/>
    <w:rsid w:val="00C2579C"/>
    <w:rsid w:val="00C2706C"/>
    <w:rsid w:val="00C27DFC"/>
    <w:rsid w:val="00C43A8A"/>
    <w:rsid w:val="00C44AEC"/>
    <w:rsid w:val="00C45513"/>
    <w:rsid w:val="00C458F5"/>
    <w:rsid w:val="00C45D0B"/>
    <w:rsid w:val="00C46429"/>
    <w:rsid w:val="00C50981"/>
    <w:rsid w:val="00C53545"/>
    <w:rsid w:val="00C60D8B"/>
    <w:rsid w:val="00C707EF"/>
    <w:rsid w:val="00C70F28"/>
    <w:rsid w:val="00C743E3"/>
    <w:rsid w:val="00C861A4"/>
    <w:rsid w:val="00C862CB"/>
    <w:rsid w:val="00C928C8"/>
    <w:rsid w:val="00CC7278"/>
    <w:rsid w:val="00CD2042"/>
    <w:rsid w:val="00CE2A1E"/>
    <w:rsid w:val="00CF4CC3"/>
    <w:rsid w:val="00D026A6"/>
    <w:rsid w:val="00D04268"/>
    <w:rsid w:val="00D10353"/>
    <w:rsid w:val="00D149B7"/>
    <w:rsid w:val="00D21D86"/>
    <w:rsid w:val="00D2306D"/>
    <w:rsid w:val="00D24330"/>
    <w:rsid w:val="00D412D7"/>
    <w:rsid w:val="00D60B82"/>
    <w:rsid w:val="00D61709"/>
    <w:rsid w:val="00D67893"/>
    <w:rsid w:val="00D7132C"/>
    <w:rsid w:val="00D7221D"/>
    <w:rsid w:val="00D726E4"/>
    <w:rsid w:val="00D732C3"/>
    <w:rsid w:val="00D76D52"/>
    <w:rsid w:val="00D8569E"/>
    <w:rsid w:val="00D86D5C"/>
    <w:rsid w:val="00D97DFE"/>
    <w:rsid w:val="00DC087B"/>
    <w:rsid w:val="00DC3659"/>
    <w:rsid w:val="00DE3175"/>
    <w:rsid w:val="00DF641D"/>
    <w:rsid w:val="00E050E6"/>
    <w:rsid w:val="00E06CC4"/>
    <w:rsid w:val="00E123DF"/>
    <w:rsid w:val="00E15BB6"/>
    <w:rsid w:val="00E30BE6"/>
    <w:rsid w:val="00E445C1"/>
    <w:rsid w:val="00E50E8C"/>
    <w:rsid w:val="00E51ECF"/>
    <w:rsid w:val="00E7081D"/>
    <w:rsid w:val="00E913FD"/>
    <w:rsid w:val="00EA7B93"/>
    <w:rsid w:val="00EB35A5"/>
    <w:rsid w:val="00EB3640"/>
    <w:rsid w:val="00EC3583"/>
    <w:rsid w:val="00F05F55"/>
    <w:rsid w:val="00F066FE"/>
    <w:rsid w:val="00F11DBE"/>
    <w:rsid w:val="00F151D2"/>
    <w:rsid w:val="00F22489"/>
    <w:rsid w:val="00F25184"/>
    <w:rsid w:val="00F34E30"/>
    <w:rsid w:val="00F35DF6"/>
    <w:rsid w:val="00F52130"/>
    <w:rsid w:val="00F53DC3"/>
    <w:rsid w:val="00F56550"/>
    <w:rsid w:val="00F75400"/>
    <w:rsid w:val="00F834A1"/>
    <w:rsid w:val="00F90BBC"/>
    <w:rsid w:val="00FB38B0"/>
    <w:rsid w:val="00FB4397"/>
    <w:rsid w:val="00FB6AF6"/>
    <w:rsid w:val="00FD5579"/>
    <w:rsid w:val="00FE0FFA"/>
    <w:rsid w:val="00FE3E2E"/>
    <w:rsid w:val="00FF06E8"/>
    <w:rsid w:val="00FF25B0"/>
    <w:rsid w:val="00FF62A9"/>
    <w:rsid w:val="011254BA"/>
    <w:rsid w:val="01173C8C"/>
    <w:rsid w:val="012B3C99"/>
    <w:rsid w:val="018250CA"/>
    <w:rsid w:val="018855FA"/>
    <w:rsid w:val="01F2533F"/>
    <w:rsid w:val="02544E38"/>
    <w:rsid w:val="031E63D4"/>
    <w:rsid w:val="03576B3E"/>
    <w:rsid w:val="03763C76"/>
    <w:rsid w:val="04782719"/>
    <w:rsid w:val="04D05CEB"/>
    <w:rsid w:val="050723CE"/>
    <w:rsid w:val="054C0292"/>
    <w:rsid w:val="054F4E62"/>
    <w:rsid w:val="057161FA"/>
    <w:rsid w:val="059B69E9"/>
    <w:rsid w:val="060317A8"/>
    <w:rsid w:val="06112171"/>
    <w:rsid w:val="0622592F"/>
    <w:rsid w:val="068800DD"/>
    <w:rsid w:val="0690294A"/>
    <w:rsid w:val="07306273"/>
    <w:rsid w:val="073D4503"/>
    <w:rsid w:val="07520DD3"/>
    <w:rsid w:val="075B3FD2"/>
    <w:rsid w:val="07C53BDF"/>
    <w:rsid w:val="07DB3FCF"/>
    <w:rsid w:val="07DC3100"/>
    <w:rsid w:val="088504E8"/>
    <w:rsid w:val="088700BE"/>
    <w:rsid w:val="08A6215D"/>
    <w:rsid w:val="09772BD9"/>
    <w:rsid w:val="09A15B47"/>
    <w:rsid w:val="09AA6130"/>
    <w:rsid w:val="09D61CB2"/>
    <w:rsid w:val="09DE7153"/>
    <w:rsid w:val="0A252635"/>
    <w:rsid w:val="0A565CED"/>
    <w:rsid w:val="0A5A71FE"/>
    <w:rsid w:val="0B1F6E5F"/>
    <w:rsid w:val="0B85194B"/>
    <w:rsid w:val="0B956F0A"/>
    <w:rsid w:val="0BA8544E"/>
    <w:rsid w:val="0C850028"/>
    <w:rsid w:val="0CD700F0"/>
    <w:rsid w:val="0D5A6FF5"/>
    <w:rsid w:val="0E2D68E8"/>
    <w:rsid w:val="0EAF197C"/>
    <w:rsid w:val="0EBA09E6"/>
    <w:rsid w:val="0EC30B46"/>
    <w:rsid w:val="0ED14F3D"/>
    <w:rsid w:val="0FC24482"/>
    <w:rsid w:val="0FE62AFB"/>
    <w:rsid w:val="108C144F"/>
    <w:rsid w:val="10E07179"/>
    <w:rsid w:val="11227ED9"/>
    <w:rsid w:val="11B569BB"/>
    <w:rsid w:val="12507B0B"/>
    <w:rsid w:val="13805505"/>
    <w:rsid w:val="13E56991"/>
    <w:rsid w:val="141A2ADF"/>
    <w:rsid w:val="14524026"/>
    <w:rsid w:val="14707060"/>
    <w:rsid w:val="151217EE"/>
    <w:rsid w:val="151B52FB"/>
    <w:rsid w:val="158354F1"/>
    <w:rsid w:val="16C62AAA"/>
    <w:rsid w:val="184F75F2"/>
    <w:rsid w:val="18837631"/>
    <w:rsid w:val="189469A7"/>
    <w:rsid w:val="18D94D16"/>
    <w:rsid w:val="192907FB"/>
    <w:rsid w:val="19531419"/>
    <w:rsid w:val="1B8D79B1"/>
    <w:rsid w:val="1BB76E65"/>
    <w:rsid w:val="1BED27C9"/>
    <w:rsid w:val="1BEE248C"/>
    <w:rsid w:val="1C766A18"/>
    <w:rsid w:val="1CE0472A"/>
    <w:rsid w:val="1CF3211F"/>
    <w:rsid w:val="1D2D666C"/>
    <w:rsid w:val="1D570020"/>
    <w:rsid w:val="1DD65800"/>
    <w:rsid w:val="1DEE34B9"/>
    <w:rsid w:val="1DFB572F"/>
    <w:rsid w:val="1E371638"/>
    <w:rsid w:val="1F01713F"/>
    <w:rsid w:val="1F2A31B4"/>
    <w:rsid w:val="1FB13E0C"/>
    <w:rsid w:val="1FED72F9"/>
    <w:rsid w:val="20485C2A"/>
    <w:rsid w:val="207C22A4"/>
    <w:rsid w:val="20BC3755"/>
    <w:rsid w:val="20DD600B"/>
    <w:rsid w:val="20DE0153"/>
    <w:rsid w:val="2105123B"/>
    <w:rsid w:val="21670939"/>
    <w:rsid w:val="21A86A05"/>
    <w:rsid w:val="22AC2B8D"/>
    <w:rsid w:val="22FF4879"/>
    <w:rsid w:val="23413AD2"/>
    <w:rsid w:val="23905B34"/>
    <w:rsid w:val="23C43AA1"/>
    <w:rsid w:val="24457B2A"/>
    <w:rsid w:val="247D4CEA"/>
    <w:rsid w:val="24881D24"/>
    <w:rsid w:val="26546AA8"/>
    <w:rsid w:val="26BF5B49"/>
    <w:rsid w:val="27612F18"/>
    <w:rsid w:val="283A2965"/>
    <w:rsid w:val="28C457F0"/>
    <w:rsid w:val="294216E6"/>
    <w:rsid w:val="297B3736"/>
    <w:rsid w:val="297E2F2F"/>
    <w:rsid w:val="29D86220"/>
    <w:rsid w:val="2A036A5D"/>
    <w:rsid w:val="2A26429A"/>
    <w:rsid w:val="2A5C0F37"/>
    <w:rsid w:val="2ABD2773"/>
    <w:rsid w:val="2B065C6D"/>
    <w:rsid w:val="2B25203D"/>
    <w:rsid w:val="2B4B2511"/>
    <w:rsid w:val="2B833DB9"/>
    <w:rsid w:val="2C36451F"/>
    <w:rsid w:val="2C3A3ED3"/>
    <w:rsid w:val="2CEC30DB"/>
    <w:rsid w:val="2D0752AE"/>
    <w:rsid w:val="2D785C1B"/>
    <w:rsid w:val="2EB245DE"/>
    <w:rsid w:val="2EF61403"/>
    <w:rsid w:val="30A459DC"/>
    <w:rsid w:val="30B40AFE"/>
    <w:rsid w:val="31400B21"/>
    <w:rsid w:val="314815AE"/>
    <w:rsid w:val="316204AB"/>
    <w:rsid w:val="316A40F7"/>
    <w:rsid w:val="324A6C6D"/>
    <w:rsid w:val="3261616D"/>
    <w:rsid w:val="32D44F44"/>
    <w:rsid w:val="33051496"/>
    <w:rsid w:val="335B05D1"/>
    <w:rsid w:val="33912172"/>
    <w:rsid w:val="33C632BA"/>
    <w:rsid w:val="34E8371F"/>
    <w:rsid w:val="350C3926"/>
    <w:rsid w:val="354F7456"/>
    <w:rsid w:val="358B4481"/>
    <w:rsid w:val="35CD18F6"/>
    <w:rsid w:val="365E6B01"/>
    <w:rsid w:val="37060F75"/>
    <w:rsid w:val="376F1FD1"/>
    <w:rsid w:val="37C97C8C"/>
    <w:rsid w:val="382E2509"/>
    <w:rsid w:val="38344792"/>
    <w:rsid w:val="38CA6F6E"/>
    <w:rsid w:val="38D429AD"/>
    <w:rsid w:val="38D76B99"/>
    <w:rsid w:val="38F83344"/>
    <w:rsid w:val="39A3155C"/>
    <w:rsid w:val="3B7450C2"/>
    <w:rsid w:val="3B9D5C20"/>
    <w:rsid w:val="3BA745EB"/>
    <w:rsid w:val="3C031941"/>
    <w:rsid w:val="3C4F6F1A"/>
    <w:rsid w:val="3D0736A3"/>
    <w:rsid w:val="3D9B1CEB"/>
    <w:rsid w:val="3DD84CED"/>
    <w:rsid w:val="3DEB57F6"/>
    <w:rsid w:val="3ECA7DD5"/>
    <w:rsid w:val="3EE61298"/>
    <w:rsid w:val="3EFA025B"/>
    <w:rsid w:val="3F09630C"/>
    <w:rsid w:val="3F9C0038"/>
    <w:rsid w:val="3FA678B5"/>
    <w:rsid w:val="40534134"/>
    <w:rsid w:val="408C7E5E"/>
    <w:rsid w:val="417A6C15"/>
    <w:rsid w:val="41A63C16"/>
    <w:rsid w:val="41E3601D"/>
    <w:rsid w:val="42447F53"/>
    <w:rsid w:val="42A72EE0"/>
    <w:rsid w:val="42BA0E65"/>
    <w:rsid w:val="43600DFA"/>
    <w:rsid w:val="43635059"/>
    <w:rsid w:val="439D5CFD"/>
    <w:rsid w:val="43C94380"/>
    <w:rsid w:val="43FF6BA0"/>
    <w:rsid w:val="44185B69"/>
    <w:rsid w:val="444521F8"/>
    <w:rsid w:val="453A7E81"/>
    <w:rsid w:val="45E83534"/>
    <w:rsid w:val="46EA0F3A"/>
    <w:rsid w:val="471653B9"/>
    <w:rsid w:val="47173326"/>
    <w:rsid w:val="47437CE6"/>
    <w:rsid w:val="47945204"/>
    <w:rsid w:val="47FF0B70"/>
    <w:rsid w:val="4975389A"/>
    <w:rsid w:val="498F494D"/>
    <w:rsid w:val="4ADD7DE7"/>
    <w:rsid w:val="4B0049B9"/>
    <w:rsid w:val="4B270FF5"/>
    <w:rsid w:val="4C190265"/>
    <w:rsid w:val="4CC7131F"/>
    <w:rsid w:val="4CEE7024"/>
    <w:rsid w:val="4D093A1A"/>
    <w:rsid w:val="4D673998"/>
    <w:rsid w:val="4D8A5DB5"/>
    <w:rsid w:val="4E5175E9"/>
    <w:rsid w:val="4EFD406F"/>
    <w:rsid w:val="4F744D0D"/>
    <w:rsid w:val="4F980C0A"/>
    <w:rsid w:val="4FC91864"/>
    <w:rsid w:val="507265FA"/>
    <w:rsid w:val="509736F1"/>
    <w:rsid w:val="50B22A94"/>
    <w:rsid w:val="50C07940"/>
    <w:rsid w:val="51903C20"/>
    <w:rsid w:val="51ED7C91"/>
    <w:rsid w:val="51F42B99"/>
    <w:rsid w:val="52587627"/>
    <w:rsid w:val="536936F3"/>
    <w:rsid w:val="53C45FFC"/>
    <w:rsid w:val="541C59C2"/>
    <w:rsid w:val="54481D11"/>
    <w:rsid w:val="548A718B"/>
    <w:rsid w:val="54D02413"/>
    <w:rsid w:val="55162754"/>
    <w:rsid w:val="553871C2"/>
    <w:rsid w:val="567D405E"/>
    <w:rsid w:val="568060D3"/>
    <w:rsid w:val="569425B7"/>
    <w:rsid w:val="56AD2B8A"/>
    <w:rsid w:val="56E828DB"/>
    <w:rsid w:val="577267CD"/>
    <w:rsid w:val="57E52638"/>
    <w:rsid w:val="57EF2F07"/>
    <w:rsid w:val="580D121A"/>
    <w:rsid w:val="586D44A2"/>
    <w:rsid w:val="58A27751"/>
    <w:rsid w:val="58EB7B73"/>
    <w:rsid w:val="5A1C5669"/>
    <w:rsid w:val="5AD37E08"/>
    <w:rsid w:val="5B1930C3"/>
    <w:rsid w:val="5B2517F1"/>
    <w:rsid w:val="5B70610D"/>
    <w:rsid w:val="5B725321"/>
    <w:rsid w:val="5C131074"/>
    <w:rsid w:val="5C5C01E3"/>
    <w:rsid w:val="5E124D3F"/>
    <w:rsid w:val="5E192EF8"/>
    <w:rsid w:val="5E590CDA"/>
    <w:rsid w:val="5E5A4BCB"/>
    <w:rsid w:val="5E960E9A"/>
    <w:rsid w:val="5EAB7F9B"/>
    <w:rsid w:val="5ED34CE0"/>
    <w:rsid w:val="5F323B08"/>
    <w:rsid w:val="5F5007B1"/>
    <w:rsid w:val="5F7423E3"/>
    <w:rsid w:val="5FC77FA1"/>
    <w:rsid w:val="600A72DC"/>
    <w:rsid w:val="601E26B6"/>
    <w:rsid w:val="61235E2A"/>
    <w:rsid w:val="6145586C"/>
    <w:rsid w:val="61AE76C8"/>
    <w:rsid w:val="62322F62"/>
    <w:rsid w:val="628039F9"/>
    <w:rsid w:val="62883699"/>
    <w:rsid w:val="62AC3ECF"/>
    <w:rsid w:val="63A6374D"/>
    <w:rsid w:val="6409796A"/>
    <w:rsid w:val="642A5BE2"/>
    <w:rsid w:val="643B3844"/>
    <w:rsid w:val="64DE2339"/>
    <w:rsid w:val="650D74DA"/>
    <w:rsid w:val="651D3887"/>
    <w:rsid w:val="65390EB7"/>
    <w:rsid w:val="65F755BB"/>
    <w:rsid w:val="6638119F"/>
    <w:rsid w:val="66424284"/>
    <w:rsid w:val="669F60B0"/>
    <w:rsid w:val="67007A9B"/>
    <w:rsid w:val="6760411B"/>
    <w:rsid w:val="67702E7F"/>
    <w:rsid w:val="677E059C"/>
    <w:rsid w:val="67A26C35"/>
    <w:rsid w:val="682F4277"/>
    <w:rsid w:val="68EC0683"/>
    <w:rsid w:val="69353F91"/>
    <w:rsid w:val="69523151"/>
    <w:rsid w:val="6A060F78"/>
    <w:rsid w:val="6A886718"/>
    <w:rsid w:val="6B1104DF"/>
    <w:rsid w:val="6B5E086B"/>
    <w:rsid w:val="6C7624D7"/>
    <w:rsid w:val="6CEE1C70"/>
    <w:rsid w:val="6DF50324"/>
    <w:rsid w:val="6E4B3ED4"/>
    <w:rsid w:val="6EAB33BE"/>
    <w:rsid w:val="6ECC34B5"/>
    <w:rsid w:val="6F9B4463"/>
    <w:rsid w:val="6FA029EC"/>
    <w:rsid w:val="70C44AD9"/>
    <w:rsid w:val="710640DC"/>
    <w:rsid w:val="712437CA"/>
    <w:rsid w:val="71587351"/>
    <w:rsid w:val="716311EF"/>
    <w:rsid w:val="72335384"/>
    <w:rsid w:val="723C0289"/>
    <w:rsid w:val="72700DDD"/>
    <w:rsid w:val="72712BDF"/>
    <w:rsid w:val="72BF47CA"/>
    <w:rsid w:val="7324295D"/>
    <w:rsid w:val="73363E43"/>
    <w:rsid w:val="73685BF0"/>
    <w:rsid w:val="73D25036"/>
    <w:rsid w:val="742F4651"/>
    <w:rsid w:val="7545005E"/>
    <w:rsid w:val="75AB799B"/>
    <w:rsid w:val="75B42520"/>
    <w:rsid w:val="75DE4A18"/>
    <w:rsid w:val="76243E70"/>
    <w:rsid w:val="76880357"/>
    <w:rsid w:val="76E76DE6"/>
    <w:rsid w:val="773C26D4"/>
    <w:rsid w:val="775819A4"/>
    <w:rsid w:val="784368BB"/>
    <w:rsid w:val="788E1C1B"/>
    <w:rsid w:val="79376AF8"/>
    <w:rsid w:val="798257E5"/>
    <w:rsid w:val="79CF5664"/>
    <w:rsid w:val="7AA42561"/>
    <w:rsid w:val="7AAC5894"/>
    <w:rsid w:val="7B5106F0"/>
    <w:rsid w:val="7BE86A02"/>
    <w:rsid w:val="7C2640F5"/>
    <w:rsid w:val="7D2C1078"/>
    <w:rsid w:val="7DC02102"/>
    <w:rsid w:val="7E964933"/>
    <w:rsid w:val="7EDD0F8C"/>
    <w:rsid w:val="7EE8052D"/>
    <w:rsid w:val="7EFA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link w:val="31"/>
    <w:semiHidden/>
    <w:unhideWhenUsed/>
    <w:qFormat/>
    <w:uiPriority w:val="99"/>
    <w:pPr>
      <w:jc w:val="left"/>
    </w:pPr>
  </w:style>
  <w:style w:type="paragraph" w:styleId="5">
    <w:name w:val="Body Text"/>
    <w:basedOn w:val="1"/>
    <w:next w:val="1"/>
    <w:link w:val="25"/>
    <w:qFormat/>
    <w:uiPriority w:val="0"/>
    <w:pPr>
      <w:spacing w:after="120"/>
    </w:pPr>
    <w:rPr>
      <w:rFonts w:asciiTheme="minorHAnsi" w:hAnsiTheme="minorHAnsi" w:eastAsiaTheme="minorEastAsia" w:cstheme="minorBidi"/>
    </w:rPr>
  </w:style>
  <w:style w:type="paragraph" w:styleId="6">
    <w:name w:val="Body Text Indent"/>
    <w:basedOn w:val="1"/>
    <w:next w:val="7"/>
    <w:qFormat/>
    <w:uiPriority w:val="0"/>
    <w:pPr>
      <w:ind w:firstLine="570"/>
    </w:pPr>
    <w:rPr>
      <w:rFonts w:ascii="Times New Roman" w:hAnsi="Times New Roman"/>
      <w:sz w:val="28"/>
      <w:szCs w:val="20"/>
    </w:rPr>
  </w:style>
  <w:style w:type="paragraph" w:styleId="7">
    <w:name w:val="envelope return"/>
    <w:basedOn w:val="1"/>
    <w:qFormat/>
    <w:uiPriority w:val="0"/>
    <w:pPr>
      <w:snapToGrid w:val="0"/>
    </w:pPr>
    <w:rPr>
      <w:rFonts w:ascii="Arial" w:hAnsi="Arial"/>
      <w:szCs w:val="24"/>
    </w:rPr>
  </w:style>
  <w:style w:type="paragraph" w:styleId="8">
    <w:name w:val="Plain Text"/>
    <w:basedOn w:val="1"/>
    <w:qFormat/>
    <w:uiPriority w:val="0"/>
    <w:rPr>
      <w:rFonts w:ascii="宋体" w:hAnsi="Courier New"/>
      <w:szCs w:val="20"/>
    </w:rPr>
  </w:style>
  <w:style w:type="paragraph" w:styleId="9">
    <w:name w:val="Balloon Text"/>
    <w:basedOn w:val="1"/>
    <w:link w:val="33"/>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210"/>
      <w:jc w:val="left"/>
    </w:pPr>
    <w:rPr>
      <w:smallCaps/>
      <w:sz w:val="20"/>
      <w:szCs w:val="20"/>
    </w:rPr>
  </w:style>
  <w:style w:type="paragraph" w:styleId="13">
    <w:name w:val="Body Text 2"/>
    <w:basedOn w:val="1"/>
    <w:link w:val="26"/>
    <w:qFormat/>
    <w:uiPriority w:val="0"/>
    <w:rPr>
      <w:rFonts w:ascii="宋体" w:hAnsi="宋体" w:eastAsiaTheme="minorEastAsia" w:cstheme="minorBidi"/>
      <w:szCs w:val="24"/>
      <w:u w:val="single"/>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2"/>
    <w:semiHidden/>
    <w:unhideWhenUsed/>
    <w:qFormat/>
    <w:uiPriority w:val="99"/>
    <w:rPr>
      <w:b/>
      <w:bCs/>
    </w:rPr>
  </w:style>
  <w:style w:type="paragraph" w:styleId="16">
    <w:name w:val="Body Text First Indent 2"/>
    <w:basedOn w:val="6"/>
    <w:qFormat/>
    <w:uiPriority w:val="0"/>
    <w:pPr>
      <w:spacing w:after="120"/>
      <w:ind w:left="200" w:leftChars="200" w:firstLine="200" w:firstLineChars="200"/>
    </w:pPr>
    <w:rPr>
      <w:rFonts w:ascii="Calibri" w:hAnsi="Calibri"/>
      <w:color w:val="0D0D0D"/>
      <w:sz w:val="21"/>
      <w:szCs w:val="24"/>
      <w:lang w:eastAsia="en-U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paragraph" w:customStyle="1" w:styleId="22">
    <w:name w:val="样式 宋体 行距: 1.5 倍行距"/>
    <w:basedOn w:val="1"/>
    <w:qFormat/>
    <w:uiPriority w:val="99"/>
    <w:pPr>
      <w:jc w:val="center"/>
    </w:pPr>
    <w:rPr>
      <w:b/>
      <w:bCs/>
    </w:rPr>
  </w:style>
  <w:style w:type="character" w:customStyle="1" w:styleId="23">
    <w:name w:val="页眉 Char"/>
    <w:basedOn w:val="19"/>
    <w:link w:val="11"/>
    <w:qFormat/>
    <w:uiPriority w:val="0"/>
    <w:rPr>
      <w:sz w:val="18"/>
      <w:szCs w:val="18"/>
    </w:rPr>
  </w:style>
  <w:style w:type="character" w:customStyle="1" w:styleId="24">
    <w:name w:val="页脚 Char"/>
    <w:basedOn w:val="19"/>
    <w:link w:val="10"/>
    <w:qFormat/>
    <w:uiPriority w:val="99"/>
    <w:rPr>
      <w:sz w:val="18"/>
      <w:szCs w:val="18"/>
    </w:rPr>
  </w:style>
  <w:style w:type="character" w:customStyle="1" w:styleId="25">
    <w:name w:val="正文文本 Char"/>
    <w:link w:val="5"/>
    <w:qFormat/>
    <w:uiPriority w:val="0"/>
  </w:style>
  <w:style w:type="character" w:customStyle="1" w:styleId="26">
    <w:name w:val="正文文本 2 Char"/>
    <w:link w:val="13"/>
    <w:qFormat/>
    <w:uiPriority w:val="0"/>
    <w:rPr>
      <w:rFonts w:ascii="宋体" w:hAnsi="宋体"/>
      <w:szCs w:val="24"/>
      <w:u w:val="single"/>
    </w:rPr>
  </w:style>
  <w:style w:type="character" w:customStyle="1" w:styleId="27">
    <w:name w:val="正文文本 Char1"/>
    <w:basedOn w:val="19"/>
    <w:semiHidden/>
    <w:qFormat/>
    <w:uiPriority w:val="99"/>
    <w:rPr>
      <w:rFonts w:ascii="Times New Roman" w:hAnsi="Times New Roman" w:eastAsia="宋体" w:cs="Times New Roman"/>
    </w:rPr>
  </w:style>
  <w:style w:type="character" w:customStyle="1" w:styleId="28">
    <w:name w:val="正文文本 2 Char1"/>
    <w:basedOn w:val="19"/>
    <w:semiHidden/>
    <w:qFormat/>
    <w:uiPriority w:val="99"/>
    <w:rPr>
      <w:rFonts w:ascii="Times New Roman" w:hAnsi="Times New Roman" w:eastAsia="宋体" w:cs="Times New Roman"/>
    </w:rPr>
  </w:style>
  <w:style w:type="paragraph" w:customStyle="1" w:styleId="29">
    <w:name w:val="发文落款"/>
    <w:basedOn w:val="30"/>
    <w:qFormat/>
    <w:uiPriority w:val="0"/>
    <w:pPr>
      <w:ind w:left="4094" w:right="607" w:firstLine="0"/>
      <w:jc w:val="center"/>
    </w:p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1">
    <w:name w:val="批注文字 Char"/>
    <w:basedOn w:val="19"/>
    <w:link w:val="4"/>
    <w:semiHidden/>
    <w:qFormat/>
    <w:uiPriority w:val="99"/>
    <w:rPr>
      <w:rFonts w:ascii="Times New Roman" w:hAnsi="Times New Roman" w:eastAsia="宋体" w:cs="Times New Roman"/>
    </w:rPr>
  </w:style>
  <w:style w:type="character" w:customStyle="1" w:styleId="32">
    <w:name w:val="批注主题 Char"/>
    <w:basedOn w:val="31"/>
    <w:link w:val="15"/>
    <w:semiHidden/>
    <w:qFormat/>
    <w:uiPriority w:val="99"/>
    <w:rPr>
      <w:rFonts w:ascii="Times New Roman" w:hAnsi="Times New Roman" w:eastAsia="宋体" w:cs="Times New Roman"/>
      <w:b/>
      <w:bCs/>
    </w:rPr>
  </w:style>
  <w:style w:type="character" w:customStyle="1" w:styleId="33">
    <w:name w:val="批注框文本 Char"/>
    <w:basedOn w:val="19"/>
    <w:link w:val="9"/>
    <w:semiHidden/>
    <w:qFormat/>
    <w:uiPriority w:val="99"/>
    <w:rPr>
      <w:rFonts w:ascii="Times New Roman" w:hAnsi="Times New Roman" w:eastAsia="宋体" w:cs="Times New Roman"/>
      <w:sz w:val="18"/>
      <w:szCs w:val="18"/>
    </w:rPr>
  </w:style>
  <w:style w:type="paragraph" w:customStyle="1" w:styleId="34">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35">
    <w:name w:val="正文文本缩进 New New"/>
    <w:basedOn w:val="1"/>
    <w:qFormat/>
    <w:uiPriority w:val="0"/>
    <w:pPr>
      <w:spacing w:after="120"/>
      <w:ind w:left="420" w:leftChars="200"/>
    </w:pPr>
    <w:rPr>
      <w:rFonts w:ascii="Times New Roman" w:eastAsia="楷体_GB2312"/>
      <w:szCs w:val="20"/>
    </w:rPr>
  </w:style>
  <w:style w:type="character" w:customStyle="1" w:styleId="36">
    <w:name w:val="15"/>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8131</Words>
  <Characters>8664</Characters>
  <Lines>1</Lines>
  <Paragraphs>1</Paragraphs>
  <TotalTime>2</TotalTime>
  <ScaleCrop>false</ScaleCrop>
  <LinksUpToDate>false</LinksUpToDate>
  <CharactersWithSpaces>8739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2021-12-03T05:03:00Z</dcterms:created>
  <cp:lastPrinted>2023-09-01T10:49:00Z</cp:lastPrinted>
  <dcterms:modified xsi:type="dcterms:W3CDTF">2025-12-04T05:57:17Z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835C90D1DC66409083DA0DE7AE4341E4_13</vt:lpwstr>
  </property>
  <property fmtid="{D5CDD505-2E9C-101B-9397-08002B2CF9AE}" pid="4" name="KSOTemplateDocerSaveRecord">
    <vt:lpwstr>eyJoZGlkIjoiMzdhZmM4NDlmYjIxOTliYWJiNWY2NzdjN2JhYTgyYzQiLCJ1c2VySWQiOiIxOTI5NDk1MDIifQ==</vt:lpwstr>
  </property>
</Properties>
</file>