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32677">
      <w:pPr>
        <w:pStyle w:val="3"/>
        <w:spacing w:before="120" w:beforeLines="0" w:after="120" w:afterLines="0"/>
        <w:jc w:val="center"/>
        <w:rPr>
          <w:color w:val="auto"/>
          <w:sz w:val="28"/>
          <w:highlight w:val="none"/>
        </w:rPr>
      </w:pPr>
      <w:r>
        <w:rPr>
          <w:rFonts w:hint="eastAsia"/>
          <w:color w:val="auto"/>
          <w:sz w:val="28"/>
          <w:highlight w:val="none"/>
        </w:rPr>
        <w:t>附录1 资格审查条件（资质最低条件）</w:t>
      </w:r>
    </w:p>
    <w:tbl>
      <w:tblPr>
        <w:tblStyle w:val="9"/>
        <w:tblpPr w:leftFromText="180" w:rightFromText="180" w:vertAnchor="text" w:horzAnchor="page" w:tblpX="1435" w:tblpY="28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5"/>
      </w:tblGrid>
      <w:tr w14:paraId="049E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375" w:type="dxa"/>
            <w:noWrap w:val="0"/>
            <w:vAlign w:val="center"/>
          </w:tcPr>
          <w:p w14:paraId="13351776">
            <w:pPr>
              <w:adjustRightInd w:val="0"/>
              <w:snapToGrid w:val="0"/>
              <w:spacing w:line="400" w:lineRule="atLeast"/>
              <w:ind w:firstLine="480"/>
              <w:jc w:val="center"/>
              <w:rPr>
                <w:color w:val="auto"/>
                <w:highlight w:val="none"/>
              </w:rPr>
            </w:pPr>
            <w:r>
              <w:rPr>
                <w:color w:val="auto"/>
                <w:highlight w:val="none"/>
              </w:rPr>
              <w:t>企业资质等级要求</w:t>
            </w:r>
          </w:p>
        </w:tc>
      </w:tr>
      <w:tr w14:paraId="02CB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6" w:hRule="atLeast"/>
        </w:trPr>
        <w:tc>
          <w:tcPr>
            <w:tcW w:w="9375" w:type="dxa"/>
            <w:noWrap w:val="0"/>
            <w:vAlign w:val="center"/>
          </w:tcPr>
          <w:p w14:paraId="5FF92AA9">
            <w:pPr>
              <w:ind w:firstLine="480"/>
              <w:rPr>
                <w:color w:val="auto"/>
                <w:highlight w:val="none"/>
              </w:rPr>
            </w:pPr>
            <w:r>
              <w:rPr>
                <w:rFonts w:hint="eastAsia" w:cs="宋体"/>
                <w:color w:val="auto"/>
                <w:highlight w:val="none"/>
              </w:rPr>
              <w:t>持有工商行政管理部门核发的企业法人营业执照或国家事业单位登记管理部门核发的事业单位法人证书。</w:t>
            </w:r>
          </w:p>
        </w:tc>
      </w:tr>
    </w:tbl>
    <w:p w14:paraId="1CB4CD1B">
      <w:pPr>
        <w:spacing w:before="120" w:after="120" w:line="360" w:lineRule="auto"/>
        <w:ind w:firstLine="42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注：投标人均须按投标人须知第3.5.1款的要求提供相关证明资料。</w:t>
      </w:r>
    </w:p>
    <w:p w14:paraId="5300A29E">
      <w:pPr>
        <w:pStyle w:val="3"/>
        <w:spacing w:before="120" w:beforeLines="0" w:after="120" w:afterLines="0"/>
        <w:ind w:firstLine="0" w:firstLineChars="0"/>
        <w:jc w:val="center"/>
        <w:rPr>
          <w:rFonts w:hint="eastAsia"/>
          <w:b w:val="0"/>
          <w:bCs w:val="0"/>
          <w:color w:val="auto"/>
          <w:sz w:val="22"/>
          <w:szCs w:val="28"/>
          <w:highlight w:val="none"/>
          <w:lang w:eastAsia="zh-CN"/>
        </w:rPr>
      </w:pPr>
    </w:p>
    <w:p w14:paraId="43A4B114">
      <w:pPr>
        <w:pStyle w:val="3"/>
        <w:spacing w:before="120" w:beforeLines="0" w:after="120" w:afterLines="0"/>
        <w:jc w:val="center"/>
        <w:rPr>
          <w:rFonts w:hint="eastAsia" w:ascii="Times New Roman" w:hAnsi="Times New Roman" w:cs="Times New Roman"/>
          <w:color w:val="auto"/>
          <w:sz w:val="28"/>
          <w:highlight w:val="none"/>
        </w:rPr>
      </w:pPr>
      <w:r>
        <w:rPr>
          <w:rFonts w:hint="eastAsia" w:ascii="Times New Roman" w:hAnsi="Times New Roman" w:cs="Times New Roman"/>
          <w:color w:val="auto"/>
          <w:sz w:val="28"/>
          <w:highlight w:val="none"/>
        </w:rPr>
        <w:t>附录2 资格审查条件（业绩最低要求）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2"/>
      </w:tblGrid>
      <w:tr w14:paraId="257E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402" w:type="dxa"/>
            <w:noWrap w:val="0"/>
            <w:vAlign w:val="center"/>
          </w:tcPr>
          <w:p w14:paraId="549997B4">
            <w:pPr>
              <w:adjustRightInd w:val="0"/>
              <w:snapToGrid w:val="0"/>
              <w:spacing w:line="400" w:lineRule="atLeast"/>
              <w:ind w:firstLine="480"/>
              <w:jc w:val="center"/>
              <w:rPr>
                <w:color w:val="auto"/>
                <w:highlight w:val="none"/>
              </w:rPr>
            </w:pPr>
            <w:r>
              <w:rPr>
                <w:color w:val="auto"/>
                <w:highlight w:val="none"/>
              </w:rPr>
              <w:t>业 绩 要 求</w:t>
            </w:r>
          </w:p>
        </w:tc>
      </w:tr>
      <w:tr w14:paraId="4820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9" w:hRule="atLeast"/>
          <w:jc w:val="center"/>
        </w:trPr>
        <w:tc>
          <w:tcPr>
            <w:tcW w:w="9402" w:type="dxa"/>
            <w:noWrap w:val="0"/>
            <w:vAlign w:val="center"/>
          </w:tcPr>
          <w:p w14:paraId="28E5A4DB">
            <w:pPr>
              <w:spacing w:line="420" w:lineRule="exact"/>
              <w:ind w:firstLine="480"/>
              <w:rPr>
                <w:color w:val="auto"/>
                <w:highlight w:val="none"/>
              </w:rPr>
            </w:pPr>
            <w:r>
              <w:rPr>
                <w:bCs/>
                <w:color w:val="auto"/>
                <w:sz w:val="24"/>
                <w:highlight w:val="none"/>
              </w:rPr>
              <w:t>近</w:t>
            </w:r>
            <w:r>
              <w:rPr>
                <w:rFonts w:hint="eastAsia"/>
                <w:bCs/>
                <w:color w:val="auto"/>
                <w:sz w:val="24"/>
                <w:highlight w:val="none"/>
                <w:lang w:val="en-US" w:eastAsia="zh-CN"/>
              </w:rPr>
              <w:t>5</w:t>
            </w:r>
            <w:r>
              <w:rPr>
                <w:bCs/>
                <w:color w:val="auto"/>
                <w:sz w:val="24"/>
                <w:highlight w:val="none"/>
              </w:rPr>
              <w:t>年内</w:t>
            </w:r>
            <w:r>
              <w:rPr>
                <w:rFonts w:hint="eastAsia"/>
                <w:bCs/>
                <w:color w:val="auto"/>
                <w:sz w:val="24"/>
                <w:highlight w:val="none"/>
              </w:rPr>
              <w:t>承担过</w:t>
            </w:r>
            <w:r>
              <w:rPr>
                <w:bCs/>
                <w:color w:val="auto"/>
                <w:sz w:val="24"/>
                <w:highlight w:val="none"/>
              </w:rPr>
              <w:t>1项</w:t>
            </w:r>
            <w:r>
              <w:rPr>
                <w:rFonts w:hint="eastAsia"/>
                <w:bCs/>
                <w:color w:val="auto"/>
                <w:sz w:val="24"/>
                <w:highlight w:val="none"/>
                <w:lang w:val="en-US" w:eastAsia="zh-CN"/>
              </w:rPr>
              <w:t>类似工程的科研课题或设计指南或标准编制研究</w:t>
            </w:r>
            <w:r>
              <w:rPr>
                <w:color w:val="auto"/>
                <w:highlight w:val="none"/>
              </w:rPr>
              <w:t>工作</w:t>
            </w:r>
            <w:r>
              <w:rPr>
                <w:bCs/>
                <w:color w:val="auto"/>
                <w:sz w:val="24"/>
                <w:highlight w:val="none"/>
              </w:rPr>
              <w:t>。</w:t>
            </w:r>
          </w:p>
        </w:tc>
      </w:tr>
    </w:tbl>
    <w:p w14:paraId="25D41D6A">
      <w:pPr>
        <w:spacing w:before="120" w:after="120" w:line="360" w:lineRule="auto"/>
        <w:ind w:firstLine="42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w:t>
      </w:r>
    </w:p>
    <w:p w14:paraId="35BFE9BE">
      <w:pPr>
        <w:keepNext w:val="0"/>
        <w:keepLines w:val="0"/>
        <w:pageBreakBefore w:val="0"/>
        <w:widowControl w:val="0"/>
        <w:kinsoku/>
        <w:wordWrap/>
        <w:overflowPunct/>
        <w:topLinePunct w:val="0"/>
        <w:bidi w:val="0"/>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近</w:t>
      </w:r>
      <w:r>
        <w:rPr>
          <w:rFonts w:hint="eastAsia" w:eastAsia="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年指自20</w:t>
      </w:r>
      <w:r>
        <w:rPr>
          <w:rFonts w:hint="eastAsia" w:eastAsia="宋体" w:cs="宋体"/>
          <w:color w:val="auto"/>
          <w:kern w:val="2"/>
          <w:sz w:val="21"/>
          <w:szCs w:val="21"/>
          <w:highlight w:val="none"/>
          <w:lang w:val="en-US" w:eastAsia="zh-CN" w:bidi="ar-SA"/>
        </w:rPr>
        <w:t>20</w:t>
      </w:r>
      <w:r>
        <w:rPr>
          <w:rFonts w:hint="eastAsia" w:ascii="宋体" w:hAnsi="宋体" w:eastAsia="宋体" w:cs="宋体"/>
          <w:color w:val="auto"/>
          <w:kern w:val="2"/>
          <w:sz w:val="21"/>
          <w:szCs w:val="21"/>
          <w:highlight w:val="none"/>
          <w:lang w:val="en-US" w:eastAsia="zh-CN" w:bidi="ar-SA"/>
        </w:rPr>
        <w:t>年</w:t>
      </w:r>
      <w:r>
        <w:rPr>
          <w:rFonts w:hint="eastAsia" w:eastAsia="宋体" w:cs="宋体"/>
          <w:color w:val="auto"/>
          <w:kern w:val="2"/>
          <w:sz w:val="21"/>
          <w:szCs w:val="21"/>
          <w:highlight w:val="none"/>
          <w:lang w:val="en-US" w:eastAsia="zh-CN" w:bidi="ar-SA"/>
        </w:rPr>
        <w:t>11</w:t>
      </w:r>
      <w:r>
        <w:rPr>
          <w:rFonts w:hint="eastAsia" w:ascii="宋体" w:hAnsi="宋体" w:eastAsia="宋体" w:cs="宋体"/>
          <w:color w:val="auto"/>
          <w:kern w:val="2"/>
          <w:sz w:val="21"/>
          <w:szCs w:val="21"/>
          <w:highlight w:val="none"/>
          <w:lang w:val="en-US" w:eastAsia="zh-CN" w:bidi="ar-SA"/>
        </w:rPr>
        <w:t>月</w:t>
      </w:r>
      <w:r>
        <w:rPr>
          <w:rFonts w:hint="eastAsia"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日起至递交投标文件截止之日止。业绩</w:t>
      </w:r>
      <w:r>
        <w:rPr>
          <w:rFonts w:hint="eastAsia" w:eastAsia="宋体" w:cs="宋体"/>
          <w:color w:val="auto"/>
          <w:kern w:val="2"/>
          <w:sz w:val="21"/>
          <w:szCs w:val="21"/>
          <w:highlight w:val="none"/>
          <w:lang w:val="en-US" w:eastAsia="zh-CN" w:bidi="ar-SA"/>
        </w:rPr>
        <w:t>认定</w:t>
      </w:r>
      <w:r>
        <w:rPr>
          <w:rFonts w:hint="eastAsia" w:ascii="宋体" w:hAnsi="宋体" w:eastAsia="宋体" w:cs="宋体"/>
          <w:color w:val="auto"/>
          <w:kern w:val="2"/>
          <w:sz w:val="21"/>
          <w:szCs w:val="21"/>
          <w:highlight w:val="none"/>
          <w:lang w:val="en-US" w:eastAsia="zh-CN" w:bidi="ar-SA"/>
        </w:rPr>
        <w:t>时间以合同</w:t>
      </w:r>
      <w:r>
        <w:rPr>
          <w:rFonts w:hint="eastAsia" w:eastAsia="宋体" w:cs="宋体"/>
          <w:color w:val="auto"/>
          <w:kern w:val="2"/>
          <w:sz w:val="21"/>
          <w:szCs w:val="21"/>
          <w:highlight w:val="none"/>
          <w:lang w:val="en-US" w:eastAsia="zh-CN" w:bidi="ar-SA"/>
        </w:rPr>
        <w:t>协议书或任务书签订</w:t>
      </w:r>
      <w:r>
        <w:rPr>
          <w:rFonts w:hint="eastAsia" w:ascii="宋体" w:hAnsi="宋体" w:eastAsia="宋体" w:cs="宋体"/>
          <w:color w:val="auto"/>
          <w:kern w:val="2"/>
          <w:sz w:val="21"/>
          <w:szCs w:val="21"/>
          <w:highlight w:val="none"/>
          <w:lang w:val="en-US" w:eastAsia="zh-CN" w:bidi="ar-SA"/>
        </w:rPr>
        <w:t>时间为准，上述日期不一致的，以时间在后者为准</w:t>
      </w:r>
      <w:r>
        <w:rPr>
          <w:rFonts w:hint="eastAsia" w:eastAsia="宋体" w:cs="宋体"/>
          <w:color w:val="auto"/>
          <w:kern w:val="2"/>
          <w:sz w:val="21"/>
          <w:szCs w:val="21"/>
          <w:highlight w:val="none"/>
          <w:lang w:val="en-US" w:eastAsia="zh-CN" w:bidi="ar-SA"/>
        </w:rPr>
        <w:t>。“承担过”是指已完成或正在实施的项目。</w:t>
      </w:r>
    </w:p>
    <w:p w14:paraId="5F56CE0E">
      <w:pPr>
        <w:keepNext w:val="0"/>
        <w:keepLines w:val="0"/>
        <w:pageBreakBefore w:val="0"/>
        <w:widowControl w:val="0"/>
        <w:kinsoku/>
        <w:wordWrap/>
        <w:overflowPunct/>
        <w:topLinePunct w:val="0"/>
        <w:bidi w:val="0"/>
        <w:spacing w:line="360" w:lineRule="auto"/>
        <w:ind w:firstLine="420" w:firstLineChars="200"/>
        <w:rPr>
          <w:rFonts w:hint="default"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eastAsia="宋体" w:cs="宋体"/>
          <w:color w:val="auto"/>
          <w:kern w:val="2"/>
          <w:sz w:val="21"/>
          <w:szCs w:val="21"/>
          <w:highlight w:val="none"/>
          <w:lang w:val="en-US" w:eastAsia="zh-CN" w:bidi="ar-SA"/>
        </w:rPr>
        <w:t>.联合体形式的投标人，</w:t>
      </w:r>
      <w:r>
        <w:rPr>
          <w:rFonts w:hAnsi="宋体"/>
          <w:color w:val="auto"/>
          <w:sz w:val="21"/>
          <w:szCs w:val="21"/>
          <w:highlight w:val="none"/>
        </w:rPr>
        <w:t>投标人业绩的资格审查条件和加分条件的认定原则如下：</w:t>
      </w:r>
      <w:r>
        <w:rPr>
          <w:rFonts w:hint="eastAsia" w:ascii="宋体" w:hAnsi="宋体" w:cs="宋体"/>
          <w:color w:val="auto"/>
          <w:sz w:val="21"/>
          <w:szCs w:val="21"/>
          <w:highlight w:val="none"/>
          <w:u w:val="single"/>
        </w:rPr>
        <w:t>以联合体各成员业绩之和计算。</w:t>
      </w:r>
      <w:r>
        <w:rPr>
          <w:rFonts w:hint="eastAsia" w:ascii="宋体" w:hAnsi="宋体" w:cs="宋体"/>
          <w:color w:val="auto"/>
          <w:sz w:val="21"/>
          <w:szCs w:val="21"/>
          <w:highlight w:val="none"/>
        </w:rPr>
        <w:t>若联合体投标人各成员提供的联合业体绩为该联合体成员组成的同一个项目联合体业绩，以一个项目计算。</w:t>
      </w:r>
    </w:p>
    <w:p w14:paraId="4A01E7A5">
      <w:pPr>
        <w:keepNext w:val="0"/>
        <w:keepLines w:val="0"/>
        <w:pageBreakBefore w:val="0"/>
        <w:widowControl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投标人应提供合同协议书</w:t>
      </w:r>
      <w:r>
        <w:rPr>
          <w:rFonts w:hint="eastAsia" w:eastAsia="宋体" w:cs="宋体"/>
          <w:color w:val="auto"/>
          <w:kern w:val="2"/>
          <w:sz w:val="21"/>
          <w:szCs w:val="21"/>
          <w:highlight w:val="none"/>
          <w:lang w:val="en-US" w:eastAsia="zh-CN" w:bidi="ar-SA"/>
        </w:rPr>
        <w:t>或任务书</w:t>
      </w:r>
      <w:r>
        <w:rPr>
          <w:rFonts w:hint="eastAsia" w:ascii="宋体" w:hAnsi="宋体" w:eastAsia="宋体" w:cs="宋体"/>
          <w:color w:val="auto"/>
          <w:kern w:val="2"/>
          <w:sz w:val="21"/>
          <w:szCs w:val="21"/>
          <w:highlight w:val="none"/>
          <w:lang w:val="en-US" w:eastAsia="zh-CN" w:bidi="ar-SA"/>
        </w:rPr>
        <w:t>，如上述资料不能反映资格审查条件及评标办法中要求的相关指标，还应补充提供项目业主出具的证明材料复印件或其他证明材料</w:t>
      </w:r>
      <w:r>
        <w:rPr>
          <w:rFonts w:hint="eastAsia"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不能合理判断的业绩不予认可。</w:t>
      </w:r>
    </w:p>
    <w:p w14:paraId="121FD8B6">
      <w:pPr>
        <w:pStyle w:val="5"/>
        <w:keepNext w:val="0"/>
        <w:keepLines w:val="0"/>
        <w:pageBreakBefore w:val="0"/>
        <w:widowControl w:val="0"/>
        <w:kinsoku/>
        <w:wordWrap/>
        <w:overflowPunct/>
        <w:topLinePunct w:val="0"/>
        <w:autoSpaceDE w:val="0"/>
        <w:autoSpaceDN w:val="0"/>
        <w:bidi w:val="0"/>
        <w:adjustRightInd w:val="0"/>
        <w:snapToGrid w:val="0"/>
        <w:spacing w:after="0" w:afterLines="0" w:line="360" w:lineRule="auto"/>
        <w:ind w:firstLine="420" w:firstLineChars="200"/>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4.若</w:t>
      </w:r>
      <w:r>
        <w:rPr>
          <w:rFonts w:hint="eastAsia" w:ascii="宋体" w:hAnsi="宋体" w:eastAsia="宋体" w:cs="宋体"/>
          <w:color w:val="auto"/>
          <w:sz w:val="21"/>
          <w:szCs w:val="21"/>
          <w:highlight w:val="none"/>
        </w:rPr>
        <w:t>投标人提供的业绩</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rPr>
        <w:t>联合体</w:t>
      </w:r>
      <w:r>
        <w:rPr>
          <w:rFonts w:hint="eastAsia" w:ascii="宋体" w:hAnsi="宋体" w:eastAsia="宋体" w:cs="宋体"/>
          <w:color w:val="auto"/>
          <w:sz w:val="21"/>
          <w:szCs w:val="21"/>
          <w:highlight w:val="none"/>
          <w:lang w:val="en-US" w:eastAsia="zh-CN"/>
        </w:rPr>
        <w:t>业绩</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该业绩仅当投标人作为该项目联合体牵头人的业绩才予以计算，且须同时提供所附业绩合同的联合体协议书，且联合体协议书应能有效证明投标人所承担工作内容符合招标文件的规定</w:t>
      </w:r>
      <w:r>
        <w:rPr>
          <w:rFonts w:hint="eastAsia" w:ascii="宋体" w:hAnsi="宋体" w:eastAsia="宋体" w:cs="宋体"/>
          <w:color w:val="auto"/>
          <w:sz w:val="21"/>
          <w:szCs w:val="21"/>
          <w:highlight w:val="none"/>
        </w:rPr>
        <w:t>。</w:t>
      </w:r>
    </w:p>
    <w:p w14:paraId="525E3764">
      <w:pPr>
        <w:keepNext w:val="0"/>
        <w:keepLines w:val="0"/>
        <w:pageBreakBefore w:val="0"/>
        <w:widowControl w:val="0"/>
        <w:kinsoku/>
        <w:wordWrap/>
        <w:overflowPunct/>
        <w:topLinePunct w:val="0"/>
        <w:bidi w:val="0"/>
        <w:spacing w:line="360" w:lineRule="auto"/>
        <w:rPr>
          <w:rFonts w:hint="eastAsia" w:eastAsia="宋体" w:cs="宋体"/>
          <w:color w:val="auto"/>
          <w:sz w:val="21"/>
          <w:szCs w:val="21"/>
          <w:highlight w:val="none"/>
          <w:lang w:val="en-US" w:eastAsia="zh-CN"/>
        </w:rPr>
      </w:pPr>
      <w:r>
        <w:rPr>
          <w:rFonts w:hint="eastAsia" w:eastAsia="宋体" w:cs="宋体"/>
          <w:color w:val="auto"/>
          <w:sz w:val="21"/>
          <w:szCs w:val="21"/>
          <w:highlight w:val="none"/>
          <w:lang w:val="en-US" w:eastAsia="zh-CN"/>
        </w:rPr>
        <w:t>5.本表要求联合体各方均需满足且须按投标人须知第3.5.2款的要求提供相关证明资料。</w:t>
      </w:r>
    </w:p>
    <w:p w14:paraId="73A30F0A">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6.类似工程指新建或改、扩建高速公路。</w:t>
      </w:r>
    </w:p>
    <w:p w14:paraId="07004F05">
      <w:pPr>
        <w:pStyle w:val="6"/>
        <w:keepNext w:val="0"/>
        <w:keepLines w:val="0"/>
        <w:pageBreakBefore w:val="0"/>
        <w:widowControl w:val="0"/>
        <w:kinsoku/>
        <w:wordWrap/>
        <w:overflowPunct/>
        <w:topLinePunct w:val="0"/>
        <w:bidi w:val="0"/>
        <w:spacing w:line="360" w:lineRule="auto"/>
        <w:ind w:left="480"/>
        <w:rPr>
          <w:color w:val="auto"/>
          <w:highlight w:val="none"/>
        </w:rPr>
        <w:sectPr>
          <w:footerReference r:id="rId5" w:type="default"/>
          <w:footnotePr>
            <w:numFmt w:val="decimalEnclosedCircleChinese"/>
          </w:footnotePr>
          <w:pgSz w:w="11906" w:h="16838"/>
          <w:pgMar w:top="1202" w:right="1202" w:bottom="1202" w:left="1298" w:header="851" w:footer="992" w:gutter="0"/>
          <w:pgNumType w:fmt="decimal" w:start="1"/>
          <w:cols w:space="720" w:num="1"/>
          <w:docGrid w:linePitch="312" w:charSpace="0"/>
        </w:sectPr>
      </w:pPr>
    </w:p>
    <w:p w14:paraId="72E4E3DC">
      <w:pPr>
        <w:pStyle w:val="3"/>
        <w:spacing w:before="120" w:beforeLines="0" w:after="120" w:afterLines="0"/>
        <w:jc w:val="center"/>
        <w:rPr>
          <w:rFonts w:hint="eastAsia"/>
          <w:color w:val="auto"/>
          <w:sz w:val="28"/>
          <w:highlight w:val="none"/>
        </w:rPr>
      </w:pPr>
    </w:p>
    <w:p w14:paraId="15B1467F">
      <w:pPr>
        <w:pStyle w:val="3"/>
        <w:spacing w:before="120" w:beforeLines="0" w:after="120" w:afterLines="0"/>
        <w:jc w:val="center"/>
        <w:rPr>
          <w:color w:val="auto"/>
          <w:highlight w:val="none"/>
        </w:rPr>
      </w:pPr>
      <w:r>
        <w:rPr>
          <w:rFonts w:hint="eastAsia"/>
          <w:color w:val="auto"/>
          <w:sz w:val="28"/>
          <w:highlight w:val="none"/>
        </w:rPr>
        <w:t>附录</w:t>
      </w:r>
      <w:r>
        <w:rPr>
          <w:rFonts w:hint="eastAsia"/>
          <w:color w:val="auto"/>
          <w:sz w:val="28"/>
          <w:highlight w:val="none"/>
          <w:lang w:val="en-US" w:eastAsia="zh-CN"/>
        </w:rPr>
        <w:t xml:space="preserve">3 </w:t>
      </w:r>
      <w:r>
        <w:rPr>
          <w:rFonts w:hint="eastAsia"/>
          <w:color w:val="auto"/>
          <w:sz w:val="28"/>
          <w:highlight w:val="none"/>
        </w:rPr>
        <w:t>资格审查条件（信誉最低要求）</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80"/>
      </w:tblGrid>
      <w:tr w14:paraId="0602E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380" w:type="dxa"/>
            <w:noWrap w:val="0"/>
            <w:vAlign w:val="center"/>
          </w:tcPr>
          <w:p w14:paraId="7DF7E1D9">
            <w:pPr>
              <w:ind w:firstLine="0" w:firstLineChars="0"/>
              <w:jc w:val="center"/>
              <w:rPr>
                <w:b/>
                <w:color w:val="auto"/>
                <w:sz w:val="22"/>
                <w:highlight w:val="none"/>
              </w:rPr>
            </w:pPr>
            <w:r>
              <w:rPr>
                <w:rFonts w:hint="eastAsia"/>
                <w:b w:val="0"/>
                <w:bCs/>
                <w:color w:val="auto"/>
                <w:sz w:val="24"/>
                <w:szCs w:val="24"/>
                <w:highlight w:val="none"/>
              </w:rPr>
              <w:t>信</w:t>
            </w:r>
            <w:r>
              <w:rPr>
                <w:rFonts w:hint="eastAsia"/>
                <w:b w:val="0"/>
                <w:bCs/>
                <w:color w:val="auto"/>
                <w:sz w:val="24"/>
                <w:szCs w:val="24"/>
                <w:highlight w:val="none"/>
                <w:lang w:val="en-US" w:eastAsia="zh-CN"/>
              </w:rPr>
              <w:t xml:space="preserve"> </w:t>
            </w:r>
            <w:r>
              <w:rPr>
                <w:rFonts w:hint="eastAsia"/>
                <w:b w:val="0"/>
                <w:bCs/>
                <w:color w:val="auto"/>
                <w:sz w:val="24"/>
                <w:szCs w:val="24"/>
                <w:highlight w:val="none"/>
              </w:rPr>
              <w:t>誉</w:t>
            </w:r>
            <w:r>
              <w:rPr>
                <w:rFonts w:hint="eastAsia"/>
                <w:b w:val="0"/>
                <w:bCs/>
                <w:color w:val="auto"/>
                <w:sz w:val="24"/>
                <w:szCs w:val="24"/>
                <w:highlight w:val="none"/>
                <w:lang w:val="en-US" w:eastAsia="zh-CN"/>
              </w:rPr>
              <w:t xml:space="preserve"> </w:t>
            </w:r>
            <w:r>
              <w:rPr>
                <w:rFonts w:hint="eastAsia"/>
                <w:b w:val="0"/>
                <w:bCs/>
                <w:color w:val="auto"/>
                <w:sz w:val="24"/>
                <w:szCs w:val="24"/>
                <w:highlight w:val="none"/>
              </w:rPr>
              <w:t>要</w:t>
            </w:r>
            <w:r>
              <w:rPr>
                <w:rFonts w:hint="eastAsia"/>
                <w:b w:val="0"/>
                <w:bCs/>
                <w:color w:val="auto"/>
                <w:sz w:val="24"/>
                <w:szCs w:val="24"/>
                <w:highlight w:val="none"/>
                <w:lang w:val="en-US" w:eastAsia="zh-CN"/>
              </w:rPr>
              <w:t xml:space="preserve"> </w:t>
            </w:r>
            <w:r>
              <w:rPr>
                <w:rFonts w:hint="eastAsia"/>
                <w:b w:val="0"/>
                <w:bCs/>
                <w:color w:val="auto"/>
                <w:sz w:val="24"/>
                <w:szCs w:val="24"/>
                <w:highlight w:val="none"/>
              </w:rPr>
              <w:t>求</w:t>
            </w:r>
          </w:p>
        </w:tc>
      </w:tr>
      <w:tr w14:paraId="4F607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4" w:hRule="atLeast"/>
          <w:jc w:val="center"/>
        </w:trPr>
        <w:tc>
          <w:tcPr>
            <w:tcW w:w="9380" w:type="dxa"/>
            <w:noWrap w:val="0"/>
            <w:vAlign w:val="center"/>
          </w:tcPr>
          <w:p w14:paraId="5584F22E">
            <w:pPr>
              <w:wordWrap/>
              <w:topLinePunct w:val="0"/>
              <w:adjustRightInd/>
              <w:spacing w:line="420" w:lineRule="exact"/>
              <w:ind w:firstLine="480" w:firstLineChars="0"/>
              <w:jc w:val="left"/>
              <w:textAlignment w:val="auto"/>
              <w:rPr>
                <w:rFonts w:hint="default" w:ascii="宋体" w:hAnsi="宋体" w:eastAsia="宋体" w:cs="Times New Roman"/>
                <w:bCs/>
                <w:color w:val="auto"/>
                <w:kern w:val="2"/>
                <w:szCs w:val="22"/>
                <w:highlight w:val="none"/>
              </w:rPr>
            </w:pPr>
            <w:r>
              <w:rPr>
                <w:rFonts w:hint="default" w:ascii="宋体" w:hAnsi="宋体" w:eastAsia="宋体" w:cs="Times New Roman"/>
                <w:bCs/>
                <w:color w:val="auto"/>
                <w:kern w:val="2"/>
                <w:szCs w:val="22"/>
                <w:highlight w:val="none"/>
              </w:rPr>
              <w:t>在最新年度广东省公路工程从业单位（设计单位）信用评价（含无最新年度而上一年度有信用评价）中，信用等级未被评为D级；</w:t>
            </w:r>
          </w:p>
          <w:p w14:paraId="2021ED50">
            <w:pPr>
              <w:wordWrap/>
              <w:topLinePunct w:val="0"/>
              <w:adjustRightInd/>
              <w:spacing w:line="420" w:lineRule="exact"/>
              <w:ind w:firstLine="480" w:firstLineChars="0"/>
              <w:jc w:val="left"/>
              <w:textAlignment w:val="auto"/>
              <w:rPr>
                <w:color w:val="auto"/>
                <w:sz w:val="22"/>
                <w:highlight w:val="none"/>
              </w:rPr>
            </w:pPr>
            <w:r>
              <w:rPr>
                <w:rFonts w:hint="default" w:ascii="宋体" w:hAnsi="宋体" w:eastAsia="宋体" w:cs="Times New Roman"/>
                <w:bCs/>
                <w:color w:val="auto"/>
                <w:kern w:val="2"/>
                <w:szCs w:val="22"/>
                <w:highlight w:val="none"/>
              </w:rPr>
              <w:t>初次进入广东省的投标人，在最新年度全国公路从业单位（设计单位）信用评价结果中未被评为D级。</w:t>
            </w:r>
          </w:p>
        </w:tc>
      </w:tr>
    </w:tbl>
    <w:p w14:paraId="66D01E7A">
      <w:pPr>
        <w:ind w:firstLine="480"/>
        <w:rPr>
          <w:color w:val="auto"/>
          <w:sz w:val="21"/>
          <w:szCs w:val="21"/>
          <w:highlight w:val="none"/>
        </w:rPr>
      </w:pPr>
      <w:r>
        <w:rPr>
          <w:rFonts w:hint="eastAsia"/>
          <w:color w:val="auto"/>
          <w:sz w:val="21"/>
          <w:szCs w:val="21"/>
          <w:highlight w:val="none"/>
        </w:rPr>
        <w:t>注：投标人须按投标人须知第3.5.3款的要求提供相关证明资料。</w:t>
      </w:r>
    </w:p>
    <w:p w14:paraId="6E2699F7"/>
    <w:p w14:paraId="0320DD5F">
      <w:pPr>
        <w:pStyle w:val="6"/>
        <w:ind w:left="480"/>
        <w:rPr>
          <w:color w:val="auto"/>
          <w:highlight w:val="none"/>
        </w:rPr>
      </w:pPr>
    </w:p>
    <w:p w14:paraId="6A670D1A">
      <w:pPr>
        <w:pStyle w:val="3"/>
        <w:spacing w:before="120" w:beforeLines="0" w:after="120" w:afterLines="0"/>
        <w:jc w:val="center"/>
        <w:rPr>
          <w:color w:val="auto"/>
          <w:highlight w:val="none"/>
        </w:rPr>
      </w:pPr>
      <w:r>
        <w:rPr>
          <w:rFonts w:hint="eastAsia"/>
          <w:color w:val="auto"/>
          <w:sz w:val="28"/>
          <w:highlight w:val="none"/>
        </w:rPr>
        <w:t>附录</w:t>
      </w:r>
      <w:r>
        <w:rPr>
          <w:rFonts w:hint="eastAsia"/>
          <w:color w:val="auto"/>
          <w:sz w:val="28"/>
          <w:highlight w:val="none"/>
          <w:lang w:val="en-US" w:eastAsia="zh-CN"/>
        </w:rPr>
        <w:t>4</w:t>
      </w:r>
      <w:r>
        <w:rPr>
          <w:rFonts w:hint="eastAsia"/>
          <w:color w:val="auto"/>
          <w:sz w:val="28"/>
          <w:highlight w:val="none"/>
        </w:rPr>
        <w:t xml:space="preserve"> 资格审查条件（</w:t>
      </w:r>
      <w:r>
        <w:rPr>
          <w:rFonts w:hint="eastAsia"/>
          <w:color w:val="auto"/>
          <w:sz w:val="28"/>
          <w:highlight w:val="none"/>
          <w:lang w:val="en-US" w:eastAsia="zh-CN"/>
        </w:rPr>
        <w:t>主要</w:t>
      </w:r>
      <w:r>
        <w:rPr>
          <w:rFonts w:hint="eastAsia"/>
          <w:color w:val="auto"/>
          <w:sz w:val="28"/>
          <w:highlight w:val="none"/>
        </w:rPr>
        <w:t>人员最低要求）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264"/>
        <w:gridCol w:w="5503"/>
      </w:tblGrid>
      <w:tr w14:paraId="4450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blHeader/>
          <w:jc w:val="center"/>
        </w:trPr>
        <w:tc>
          <w:tcPr>
            <w:tcW w:w="2263" w:type="dxa"/>
            <w:noWrap w:val="0"/>
            <w:vAlign w:val="center"/>
          </w:tcPr>
          <w:p w14:paraId="1F01BAE7">
            <w:pPr>
              <w:snapToGrid w:val="0"/>
              <w:ind w:left="0" w:leftChars="0" w:firstLine="0" w:firstLineChars="0"/>
              <w:jc w:val="center"/>
              <w:rPr>
                <w:color w:val="auto"/>
                <w:highlight w:val="none"/>
              </w:rPr>
            </w:pPr>
            <w:r>
              <w:rPr>
                <w:color w:val="auto"/>
                <w:highlight w:val="none"/>
              </w:rPr>
              <w:t>人员</w:t>
            </w:r>
          </w:p>
        </w:tc>
        <w:tc>
          <w:tcPr>
            <w:tcW w:w="1264" w:type="dxa"/>
            <w:noWrap w:val="0"/>
            <w:vAlign w:val="center"/>
          </w:tcPr>
          <w:p w14:paraId="0EFCAE02">
            <w:pPr>
              <w:snapToGrid w:val="0"/>
              <w:ind w:firstLine="0" w:firstLineChars="0"/>
              <w:jc w:val="center"/>
              <w:rPr>
                <w:color w:val="auto"/>
                <w:highlight w:val="none"/>
              </w:rPr>
            </w:pPr>
            <w:r>
              <w:rPr>
                <w:color w:val="auto"/>
                <w:highlight w:val="none"/>
              </w:rPr>
              <w:t>数量</w:t>
            </w:r>
          </w:p>
        </w:tc>
        <w:tc>
          <w:tcPr>
            <w:tcW w:w="5503" w:type="dxa"/>
            <w:noWrap w:val="0"/>
            <w:vAlign w:val="center"/>
          </w:tcPr>
          <w:p w14:paraId="43670B56">
            <w:pPr>
              <w:snapToGrid w:val="0"/>
              <w:ind w:left="0" w:leftChars="0" w:firstLine="0" w:firstLineChars="0"/>
              <w:jc w:val="center"/>
              <w:rPr>
                <w:color w:val="auto"/>
                <w:highlight w:val="none"/>
              </w:rPr>
            </w:pPr>
            <w:r>
              <w:rPr>
                <w:color w:val="auto"/>
                <w:highlight w:val="none"/>
              </w:rPr>
              <w:t>资格要求</w:t>
            </w:r>
          </w:p>
        </w:tc>
      </w:tr>
      <w:tr w14:paraId="64E8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63" w:type="dxa"/>
            <w:noWrap w:val="0"/>
            <w:vAlign w:val="center"/>
          </w:tcPr>
          <w:p w14:paraId="6EC1B97F">
            <w:pPr>
              <w:snapToGrid w:val="0"/>
              <w:spacing w:line="240" w:lineRule="atLeast"/>
              <w:ind w:left="0" w:leftChars="0" w:firstLine="0" w:firstLineChars="0"/>
              <w:jc w:val="center"/>
              <w:rPr>
                <w:rFonts w:eastAsia="隶书"/>
                <w:color w:val="auto"/>
                <w:szCs w:val="21"/>
                <w:highlight w:val="none"/>
              </w:rPr>
            </w:pPr>
            <w:r>
              <w:rPr>
                <w:color w:val="auto"/>
                <w:highlight w:val="none"/>
              </w:rPr>
              <w:t>项目负责人</w:t>
            </w:r>
          </w:p>
        </w:tc>
        <w:tc>
          <w:tcPr>
            <w:tcW w:w="1264" w:type="dxa"/>
            <w:noWrap w:val="0"/>
            <w:vAlign w:val="center"/>
          </w:tcPr>
          <w:p w14:paraId="01D988E2">
            <w:pPr>
              <w:adjustRightInd w:val="0"/>
              <w:snapToGrid w:val="0"/>
              <w:spacing w:line="240" w:lineRule="atLeast"/>
              <w:ind w:left="0" w:leftChars="0" w:firstLine="0" w:firstLineChars="0"/>
              <w:jc w:val="center"/>
              <w:rPr>
                <w:rFonts w:eastAsia="隶书"/>
                <w:color w:val="auto"/>
                <w:szCs w:val="21"/>
                <w:highlight w:val="none"/>
              </w:rPr>
            </w:pPr>
            <w:r>
              <w:rPr>
                <w:rFonts w:eastAsia="隶书"/>
                <w:color w:val="auto"/>
                <w:szCs w:val="21"/>
                <w:highlight w:val="none"/>
              </w:rPr>
              <w:t>1</w:t>
            </w:r>
          </w:p>
        </w:tc>
        <w:tc>
          <w:tcPr>
            <w:tcW w:w="5503" w:type="dxa"/>
            <w:noWrap w:val="0"/>
            <w:vAlign w:val="center"/>
          </w:tcPr>
          <w:p w14:paraId="3198A304">
            <w:pPr>
              <w:snapToGrid w:val="0"/>
              <w:ind w:firstLine="0" w:firstLineChars="0"/>
              <w:jc w:val="both"/>
              <w:rPr>
                <w:color w:val="auto"/>
                <w:highlight w:val="none"/>
              </w:rPr>
            </w:pPr>
            <w:r>
              <w:rPr>
                <w:color w:val="auto"/>
                <w:highlight w:val="none"/>
              </w:rPr>
              <w:t>1、</w:t>
            </w:r>
            <w:r>
              <w:rPr>
                <w:rFonts w:hint="eastAsia"/>
                <w:color w:val="auto"/>
                <w:sz w:val="24"/>
                <w:highlight w:val="none"/>
                <w:lang w:val="en-US" w:eastAsia="zh-CN"/>
              </w:rPr>
              <w:t>路桥相关</w:t>
            </w:r>
            <w:r>
              <w:rPr>
                <w:rFonts w:hint="eastAsia"/>
                <w:color w:val="auto"/>
                <w:sz w:val="24"/>
                <w:highlight w:val="none"/>
              </w:rPr>
              <w:t>专业高级</w:t>
            </w:r>
            <w:r>
              <w:rPr>
                <w:rFonts w:hint="eastAsia"/>
                <w:color w:val="auto"/>
                <w:sz w:val="24"/>
                <w:highlight w:val="none"/>
                <w:lang w:val="en-US" w:eastAsia="zh-CN"/>
              </w:rPr>
              <w:t>工程师</w:t>
            </w:r>
            <w:r>
              <w:rPr>
                <w:rFonts w:hint="eastAsia"/>
                <w:color w:val="auto"/>
                <w:sz w:val="24"/>
                <w:highlight w:val="none"/>
              </w:rPr>
              <w:t>或</w:t>
            </w:r>
            <w:r>
              <w:rPr>
                <w:rFonts w:hint="eastAsia"/>
                <w:color w:val="auto"/>
                <w:sz w:val="24"/>
                <w:highlight w:val="none"/>
                <w:lang w:val="en-US" w:eastAsia="zh-CN"/>
              </w:rPr>
              <w:t>副</w:t>
            </w:r>
            <w:r>
              <w:rPr>
                <w:rFonts w:hint="eastAsia"/>
                <w:color w:val="auto"/>
                <w:sz w:val="24"/>
                <w:highlight w:val="none"/>
              </w:rPr>
              <w:t>研究员或</w:t>
            </w:r>
            <w:r>
              <w:rPr>
                <w:rFonts w:hint="eastAsia"/>
                <w:color w:val="auto"/>
                <w:sz w:val="24"/>
                <w:highlight w:val="none"/>
                <w:lang w:val="en-US" w:eastAsia="zh-CN"/>
              </w:rPr>
              <w:t>副</w:t>
            </w:r>
            <w:r>
              <w:rPr>
                <w:rFonts w:hint="eastAsia"/>
                <w:color w:val="auto"/>
                <w:sz w:val="24"/>
                <w:highlight w:val="none"/>
              </w:rPr>
              <w:t>教授职称</w:t>
            </w:r>
            <w:r>
              <w:rPr>
                <w:rFonts w:hint="eastAsia"/>
                <w:color w:val="auto"/>
                <w:highlight w:val="none"/>
                <w:lang w:eastAsia="zh-CN"/>
              </w:rPr>
              <w:t>；</w:t>
            </w:r>
          </w:p>
          <w:p w14:paraId="052F7228">
            <w:pPr>
              <w:snapToGrid w:val="0"/>
              <w:ind w:firstLine="0" w:firstLineChars="0"/>
              <w:jc w:val="both"/>
              <w:rPr>
                <w:color w:val="auto"/>
                <w:highlight w:val="none"/>
              </w:rPr>
            </w:pPr>
            <w:r>
              <w:rPr>
                <w:rFonts w:ascii="宋体" w:hAnsi="宋体" w:eastAsia="宋体" w:cs="Times New Roman"/>
                <w:color w:val="auto"/>
                <w:highlight w:val="none"/>
              </w:rPr>
              <w:t>2、</w:t>
            </w:r>
            <w:r>
              <w:rPr>
                <w:rFonts w:hint="eastAsia"/>
                <w:color w:val="auto"/>
                <w:sz w:val="24"/>
                <w:highlight w:val="none"/>
              </w:rPr>
              <w:t>作为项目负责人</w:t>
            </w:r>
            <w:r>
              <w:rPr>
                <w:rFonts w:hint="eastAsia"/>
                <w:color w:val="auto"/>
                <w:sz w:val="24"/>
                <w:highlight w:val="none"/>
                <w:lang w:val="en-US" w:eastAsia="zh-CN"/>
              </w:rPr>
              <w:t>主持</w:t>
            </w:r>
            <w:r>
              <w:rPr>
                <w:rFonts w:hint="eastAsia"/>
                <w:color w:val="auto"/>
                <w:sz w:val="24"/>
                <w:highlight w:val="none"/>
              </w:rPr>
              <w:t>过1项</w:t>
            </w:r>
            <w:r>
              <w:rPr>
                <w:rFonts w:hint="eastAsia"/>
                <w:color w:val="auto"/>
                <w:sz w:val="24"/>
                <w:highlight w:val="none"/>
                <w:lang w:val="en-US" w:eastAsia="zh-CN"/>
              </w:rPr>
              <w:t>类似工程的科研课题或</w:t>
            </w:r>
            <w:r>
              <w:rPr>
                <w:rFonts w:hint="eastAsia"/>
                <w:bCs/>
                <w:color w:val="auto"/>
                <w:sz w:val="24"/>
                <w:highlight w:val="none"/>
                <w:lang w:val="en-US" w:eastAsia="zh-CN"/>
              </w:rPr>
              <w:t>设计指南或标准编制研究</w:t>
            </w:r>
            <w:r>
              <w:rPr>
                <w:bCs/>
                <w:color w:val="auto"/>
                <w:sz w:val="24"/>
                <w:highlight w:val="none"/>
              </w:rPr>
              <w:t>工作</w:t>
            </w:r>
            <w:r>
              <w:rPr>
                <w:rFonts w:hint="eastAsia"/>
                <w:color w:val="auto"/>
                <w:highlight w:val="none"/>
              </w:rPr>
              <w:t>。</w:t>
            </w:r>
          </w:p>
        </w:tc>
      </w:tr>
    </w:tbl>
    <w:p w14:paraId="21E532DC">
      <w:pPr>
        <w:keepNext w:val="0"/>
        <w:keepLines w:val="0"/>
        <w:pageBreakBefore w:val="0"/>
        <w:widowControl w:val="0"/>
        <w:kinsoku/>
        <w:wordWrap/>
        <w:overflowPunct/>
        <w:topLinePunct w:val="0"/>
        <w:bidi w:val="0"/>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w:t>
      </w:r>
    </w:p>
    <w:p w14:paraId="0EF6878A">
      <w:pPr>
        <w:keepNext w:val="0"/>
        <w:keepLines w:val="0"/>
        <w:pageBreakBefore w:val="0"/>
        <w:widowControl w:val="0"/>
        <w:kinsoku/>
        <w:wordWrap/>
        <w:overflowPunct/>
        <w:topLinePunct w:val="0"/>
        <w:bidi w:val="0"/>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w:t>
      </w:r>
      <w:bookmarkStart w:id="0" w:name="_GoBack"/>
      <w:bookmarkEnd w:id="0"/>
      <w:r>
        <w:rPr>
          <w:rFonts w:hint="eastAsia" w:ascii="宋体" w:hAnsi="宋体" w:eastAsia="宋体" w:cs="宋体"/>
          <w:color w:val="auto"/>
          <w:kern w:val="2"/>
          <w:sz w:val="21"/>
          <w:szCs w:val="21"/>
          <w:highlight w:val="none"/>
          <w:lang w:val="en-US" w:eastAsia="zh-CN" w:bidi="ar-SA"/>
        </w:rPr>
        <w:t>投标人须按招标文件第二章“投标人须知”第3.5.4项的要求附相关证明材料。如为联合体投标的，项目负责人为联合体牵头人单位人员。</w:t>
      </w:r>
    </w:p>
    <w:p w14:paraId="668F02D3">
      <w:pPr>
        <w:keepNext w:val="0"/>
        <w:keepLines w:val="0"/>
        <w:pageBreakBefore w:val="0"/>
        <w:widowControl w:val="0"/>
        <w:kinsoku/>
        <w:wordWrap/>
        <w:overflowPunct/>
        <w:topLinePunct w:val="0"/>
        <w:bidi w:val="0"/>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2.投标所报人员如需更换，更换的人员资格和资历应不低于原来的人选，且须报发包人同意后方能进行更换。</w:t>
      </w:r>
    </w:p>
    <w:p w14:paraId="4B738509">
      <w:pPr>
        <w:keepNext w:val="0"/>
        <w:keepLines w:val="0"/>
        <w:pageBreakBefore w:val="0"/>
        <w:widowControl w:val="0"/>
        <w:kinsoku/>
        <w:wordWrap/>
        <w:overflowPunct/>
        <w:topLinePunct w:val="0"/>
        <w:bidi w:val="0"/>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如果投标人属事业法人单位且未参加社保，可由投标人的上级主管部门出具拟委任的主要人员为投标人本单位职工的书面证明材料。如主要人员在国家科研机构任职不需要缴纳社保的，须出具相关证明文件或聘书；如投标人为高等院校则可提供其社保、人事等相关部门出具的证明等相关材料。</w:t>
      </w:r>
    </w:p>
    <w:p w14:paraId="4FC38A42">
      <w:pPr>
        <w:keepNext w:val="0"/>
        <w:keepLines w:val="0"/>
        <w:pageBreakBefore w:val="0"/>
        <w:widowControl w:val="0"/>
        <w:kinsoku/>
        <w:wordWrap/>
        <w:overflowPunct/>
        <w:topLinePunct w:val="0"/>
        <w:bidi w:val="0"/>
        <w:adjustRightInd w:val="0"/>
        <w:snapToGrid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4.项目负责人的业绩须附相关证明材料（业绩证明材料可以是合同协议书或任务书或成果文件或项目业主出具的证明材料或其他证明材料的复印件）。</w:t>
      </w:r>
    </w:p>
    <w:p w14:paraId="6CE3F9A9">
      <w:pPr>
        <w:pStyle w:val="3"/>
        <w:keepNext/>
        <w:keepLines/>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color w:val="auto"/>
          <w:sz w:val="28"/>
          <w:highlight w:val="none"/>
        </w:rPr>
      </w:pPr>
    </w:p>
    <w:p w14:paraId="0C1EDF5E">
      <w:pPr>
        <w:pStyle w:val="3"/>
        <w:keepNext/>
        <w:keepLines/>
        <w:pageBreakBefore w:val="0"/>
        <w:widowControl w:val="0"/>
        <w:kinsoku/>
        <w:wordWrap/>
        <w:overflowPunct/>
        <w:topLinePunct w:val="0"/>
        <w:autoSpaceDE/>
        <w:autoSpaceDN/>
        <w:bidi w:val="0"/>
        <w:adjustRightInd/>
        <w:snapToGrid/>
        <w:spacing w:before="157" w:beforeLines="50" w:after="157" w:afterLines="50"/>
        <w:jc w:val="center"/>
        <w:textAlignment w:val="auto"/>
        <w:rPr>
          <w:color w:val="auto"/>
          <w:highlight w:val="none"/>
        </w:rPr>
      </w:pPr>
      <w:r>
        <w:rPr>
          <w:rFonts w:hint="eastAsia"/>
          <w:color w:val="auto"/>
          <w:sz w:val="28"/>
          <w:highlight w:val="none"/>
        </w:rPr>
        <w:t>附录</w:t>
      </w:r>
      <w:r>
        <w:rPr>
          <w:rFonts w:hint="eastAsia"/>
          <w:color w:val="auto"/>
          <w:sz w:val="28"/>
          <w:highlight w:val="none"/>
          <w:lang w:val="en-US" w:eastAsia="zh-CN"/>
        </w:rPr>
        <w:t>5</w:t>
      </w:r>
      <w:r>
        <w:rPr>
          <w:rFonts w:hint="eastAsia"/>
          <w:color w:val="auto"/>
          <w:sz w:val="28"/>
          <w:highlight w:val="none"/>
        </w:rPr>
        <w:t xml:space="preserve"> 资格审查条件（</w:t>
      </w:r>
      <w:r>
        <w:rPr>
          <w:rFonts w:hint="eastAsia"/>
          <w:color w:val="auto"/>
          <w:sz w:val="28"/>
          <w:highlight w:val="none"/>
          <w:lang w:val="en-US" w:eastAsia="zh-CN"/>
        </w:rPr>
        <w:t>其他</w:t>
      </w:r>
      <w:r>
        <w:rPr>
          <w:rFonts w:hint="eastAsia"/>
          <w:color w:val="auto"/>
          <w:sz w:val="28"/>
          <w:highlight w:val="none"/>
        </w:rPr>
        <w:t>人员最低要求）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264"/>
        <w:gridCol w:w="5503"/>
      </w:tblGrid>
      <w:tr w14:paraId="0DF0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blHeader/>
          <w:jc w:val="center"/>
        </w:trPr>
        <w:tc>
          <w:tcPr>
            <w:tcW w:w="2263" w:type="dxa"/>
            <w:noWrap w:val="0"/>
            <w:vAlign w:val="center"/>
          </w:tcPr>
          <w:p w14:paraId="524E25EF">
            <w:pPr>
              <w:snapToGrid w:val="0"/>
              <w:ind w:left="0" w:leftChars="0" w:firstLine="0" w:firstLineChars="0"/>
              <w:jc w:val="center"/>
              <w:rPr>
                <w:color w:val="auto"/>
                <w:highlight w:val="none"/>
              </w:rPr>
            </w:pPr>
            <w:r>
              <w:rPr>
                <w:color w:val="auto"/>
                <w:highlight w:val="none"/>
              </w:rPr>
              <w:t>人员</w:t>
            </w:r>
          </w:p>
        </w:tc>
        <w:tc>
          <w:tcPr>
            <w:tcW w:w="1264" w:type="dxa"/>
            <w:noWrap w:val="0"/>
            <w:vAlign w:val="center"/>
          </w:tcPr>
          <w:p w14:paraId="30B18178">
            <w:pPr>
              <w:snapToGrid w:val="0"/>
              <w:ind w:firstLine="0" w:firstLineChars="0"/>
              <w:jc w:val="center"/>
              <w:rPr>
                <w:color w:val="auto"/>
                <w:highlight w:val="none"/>
              </w:rPr>
            </w:pPr>
            <w:r>
              <w:rPr>
                <w:color w:val="auto"/>
                <w:highlight w:val="none"/>
              </w:rPr>
              <w:t>数量</w:t>
            </w:r>
          </w:p>
        </w:tc>
        <w:tc>
          <w:tcPr>
            <w:tcW w:w="5503" w:type="dxa"/>
            <w:noWrap w:val="0"/>
            <w:vAlign w:val="center"/>
          </w:tcPr>
          <w:p w14:paraId="4713DBC7">
            <w:pPr>
              <w:snapToGrid w:val="0"/>
              <w:ind w:left="0" w:leftChars="0" w:firstLine="0" w:firstLineChars="0"/>
              <w:jc w:val="center"/>
              <w:rPr>
                <w:color w:val="auto"/>
                <w:highlight w:val="none"/>
              </w:rPr>
            </w:pPr>
            <w:r>
              <w:rPr>
                <w:color w:val="auto"/>
                <w:highlight w:val="none"/>
              </w:rPr>
              <w:t>资格要求</w:t>
            </w:r>
          </w:p>
        </w:tc>
      </w:tr>
      <w:tr w14:paraId="361D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63" w:type="dxa"/>
            <w:noWrap w:val="0"/>
            <w:vAlign w:val="center"/>
          </w:tcPr>
          <w:p w14:paraId="7C7038E3">
            <w:pPr>
              <w:snapToGrid w:val="0"/>
              <w:ind w:left="0" w:leftChars="0" w:firstLine="0" w:firstLineChars="0"/>
              <w:jc w:val="center"/>
              <w:rPr>
                <w:rFonts w:ascii="宋体" w:hAnsi="宋体" w:eastAsia="宋体" w:cs="Times New Roman"/>
                <w:color w:val="auto"/>
                <w:highlight w:val="none"/>
              </w:rPr>
            </w:pPr>
            <w:r>
              <w:rPr>
                <w:rFonts w:ascii="宋体" w:hAnsi="宋体" w:eastAsia="宋体" w:cs="Times New Roman"/>
                <w:color w:val="auto"/>
                <w:highlight w:val="none"/>
              </w:rPr>
              <w:t>研究人员</w:t>
            </w:r>
          </w:p>
        </w:tc>
        <w:tc>
          <w:tcPr>
            <w:tcW w:w="1264" w:type="dxa"/>
            <w:noWrap w:val="0"/>
            <w:vAlign w:val="center"/>
          </w:tcPr>
          <w:p w14:paraId="037F8ECE">
            <w:pPr>
              <w:snapToGrid w:val="0"/>
              <w:ind w:left="0" w:leftChars="0" w:firstLine="0" w:firstLineChars="0"/>
              <w:jc w:val="center"/>
              <w:rPr>
                <w:rFonts w:hint="eastAsia" w:ascii="宋体" w:hAnsi="宋体" w:eastAsia="宋体" w:cs="Times New Roman"/>
                <w:color w:val="auto"/>
                <w:highlight w:val="none"/>
                <w:lang w:eastAsia="zh-CN"/>
              </w:rPr>
            </w:pPr>
            <w:r>
              <w:rPr>
                <w:rFonts w:hint="default" w:ascii="宋体" w:hAnsi="宋体" w:eastAsia="宋体" w:cs="Times New Roman"/>
                <w:color w:val="auto"/>
                <w:highlight w:val="none"/>
                <w:lang w:val="en-US"/>
              </w:rPr>
              <w:t>5</w:t>
            </w:r>
          </w:p>
        </w:tc>
        <w:tc>
          <w:tcPr>
            <w:tcW w:w="5503" w:type="dxa"/>
            <w:noWrap w:val="0"/>
            <w:vAlign w:val="center"/>
          </w:tcPr>
          <w:p w14:paraId="78361465">
            <w:pPr>
              <w:snapToGrid w:val="0"/>
              <w:ind w:left="0" w:leftChars="0" w:firstLine="0" w:firstLineChars="0"/>
              <w:jc w:val="center"/>
              <w:rPr>
                <w:rFonts w:ascii="宋体" w:hAnsi="宋体" w:eastAsia="宋体" w:cs="Times New Roman"/>
                <w:color w:val="auto"/>
                <w:highlight w:val="none"/>
              </w:rPr>
            </w:pPr>
            <w:r>
              <w:rPr>
                <w:rFonts w:ascii="宋体" w:hAnsi="宋体" w:eastAsia="宋体" w:cs="Times New Roman"/>
                <w:color w:val="auto"/>
                <w:highlight w:val="none"/>
              </w:rPr>
              <w:t>中级（工程师</w:t>
            </w:r>
            <w:r>
              <w:rPr>
                <w:rFonts w:hint="eastAsia" w:ascii="宋体" w:hAnsi="宋体" w:eastAsia="宋体" w:cs="Times New Roman"/>
                <w:color w:val="auto"/>
                <w:highlight w:val="none"/>
                <w:lang w:val="en-US" w:eastAsia="zh-CN"/>
              </w:rPr>
              <w:t>或</w:t>
            </w:r>
            <w:r>
              <w:rPr>
                <w:rFonts w:ascii="宋体" w:hAnsi="宋体" w:eastAsia="宋体" w:cs="Times New Roman"/>
                <w:color w:val="auto"/>
                <w:highlight w:val="none"/>
              </w:rPr>
              <w:t>助理研究员</w:t>
            </w:r>
            <w:r>
              <w:rPr>
                <w:rFonts w:hint="eastAsia" w:ascii="宋体" w:hAnsi="宋体" w:eastAsia="宋体" w:cs="Times New Roman"/>
                <w:color w:val="auto"/>
                <w:highlight w:val="none"/>
                <w:lang w:val="en-US" w:eastAsia="zh-CN"/>
              </w:rPr>
              <w:t>或</w:t>
            </w:r>
            <w:r>
              <w:rPr>
                <w:rFonts w:hint="eastAsia" w:ascii="宋体" w:hAnsi="宋体" w:eastAsia="宋体" w:cs="Times New Roman"/>
                <w:color w:val="auto"/>
                <w:highlight w:val="none"/>
              </w:rPr>
              <w:t>讲师</w:t>
            </w:r>
            <w:r>
              <w:rPr>
                <w:rFonts w:ascii="宋体" w:hAnsi="宋体" w:eastAsia="宋体" w:cs="Times New Roman"/>
                <w:color w:val="auto"/>
                <w:highlight w:val="none"/>
              </w:rPr>
              <w:t>）以上职称。</w:t>
            </w:r>
          </w:p>
        </w:tc>
      </w:tr>
    </w:tbl>
    <w:p w14:paraId="20C14ECA">
      <w:pPr>
        <w:pStyle w:val="7"/>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420" w:firstLineChars="200"/>
        <w:textAlignment w:val="auto"/>
        <w:rPr>
          <w:rFonts w:hint="eastAsia"/>
          <w:sz w:val="21"/>
          <w:szCs w:val="21"/>
          <w:lang w:val="en-US" w:eastAsia="zh-CN"/>
        </w:rPr>
      </w:pPr>
      <w:r>
        <w:rPr>
          <w:rFonts w:hint="eastAsia"/>
          <w:sz w:val="21"/>
          <w:szCs w:val="21"/>
          <w:lang w:val="en-US" w:eastAsia="zh-CN"/>
        </w:rPr>
        <w:t>注：</w:t>
      </w:r>
    </w:p>
    <w:p w14:paraId="4710AB0B">
      <w:pPr>
        <w:pStyle w:val="7"/>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420" w:firstLineChars="200"/>
        <w:textAlignment w:val="auto"/>
        <w:rPr>
          <w:rFonts w:hint="eastAsia" w:ascii="Times New Roman" w:hAnsi="Times New Roman"/>
          <w:color w:val="auto"/>
          <w:sz w:val="21"/>
          <w:szCs w:val="21"/>
          <w:highlight w:val="none"/>
        </w:rPr>
      </w:pPr>
      <w:r>
        <w:rPr>
          <w:rFonts w:hint="eastAsia"/>
          <w:sz w:val="21"/>
          <w:szCs w:val="21"/>
          <w:lang w:val="en-US" w:eastAsia="zh-CN"/>
        </w:rPr>
        <w:t>1.</w:t>
      </w:r>
      <w:r>
        <w:rPr>
          <w:rFonts w:hint="eastAsia" w:ascii="Times New Roman" w:hAnsi="Times New Roman"/>
          <w:color w:val="auto"/>
          <w:sz w:val="21"/>
          <w:szCs w:val="21"/>
          <w:highlight w:val="none"/>
          <w:lang w:val="en-US" w:eastAsia="zh-CN"/>
        </w:rPr>
        <w:t>本附录所要求</w:t>
      </w:r>
      <w:r>
        <w:rPr>
          <w:rFonts w:hint="eastAsia" w:ascii="Times New Roman" w:hAnsi="Times New Roman"/>
          <w:color w:val="auto"/>
          <w:sz w:val="21"/>
          <w:szCs w:val="21"/>
          <w:highlight w:val="none"/>
        </w:rPr>
        <w:t>人员须按</w:t>
      </w:r>
      <w:r>
        <w:rPr>
          <w:rFonts w:hint="eastAsia" w:ascii="Times New Roman" w:hAnsi="Times New Roman"/>
          <w:color w:val="auto"/>
          <w:sz w:val="21"/>
          <w:szCs w:val="21"/>
          <w:highlight w:val="none"/>
          <w:lang w:val="en-US" w:eastAsia="zh-CN"/>
        </w:rPr>
        <w:t>投标文件投标函格式承诺</w:t>
      </w:r>
      <w:r>
        <w:rPr>
          <w:rFonts w:hint="eastAsia" w:ascii="Times New Roman" w:hAnsi="Times New Roman"/>
          <w:color w:val="auto"/>
          <w:sz w:val="21"/>
          <w:szCs w:val="21"/>
          <w:highlight w:val="none"/>
        </w:rPr>
        <w:t>，中标人在签订合同前向招标人提交实际投入的人员。</w:t>
      </w:r>
    </w:p>
    <w:p w14:paraId="3D52CDC6">
      <w:pPr>
        <w:pStyle w:val="7"/>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420" w:firstLineChars="20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2</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本表要求为拟投入本项目的人员最低要求，实际配置应满足本项目实际需要，招标人有权根据现场实际需要，要求中标人增加相应人员，中标人应无条件响应，相关费用已纳入报价中，投标人应充分考虑此影响。</w:t>
      </w:r>
    </w:p>
    <w:p w14:paraId="4D4578C9">
      <w:pPr>
        <w:pStyle w:val="7"/>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420" w:firstLineChars="200"/>
        <w:textAlignment w:val="auto"/>
        <w:rPr>
          <w:rFonts w:hint="eastAsia" w:ascii="Times New Roman" w:hAnsi="Times New Roman"/>
          <w:color w:val="auto"/>
          <w:sz w:val="21"/>
          <w:szCs w:val="21"/>
          <w:highlight w:val="none"/>
        </w:rPr>
      </w:pPr>
    </w:p>
    <w:p w14:paraId="6A35C97D">
      <w:pPr>
        <w:ind w:left="0" w:leftChars="0" w:firstLine="0" w:firstLineChars="0"/>
        <w:rPr>
          <w:rFonts w:hint="default" w:eastAsia="宋体"/>
          <w:lang w:val="en-US" w:eastAsia="zh-CN"/>
        </w:rPr>
      </w:pPr>
    </w:p>
    <w:p w14:paraId="74B8AAAC">
      <w:pPr>
        <w:pStyle w:val="6"/>
        <w:ind w:left="480"/>
        <w:rPr>
          <w:rFonts w:ascii="宋体" w:hAnsi="宋体"/>
          <w:color w:val="auto"/>
          <w:szCs w:val="21"/>
          <w:highlight w:val="none"/>
        </w:rPr>
      </w:pPr>
    </w:p>
    <w:p w14:paraId="62CD6D6E">
      <w:pPr>
        <w:pStyle w:val="6"/>
        <w:ind w:left="480"/>
        <w:rPr>
          <w:rFonts w:hint="eastAsia" w:ascii="宋体" w:hAnsi="宋体"/>
          <w:color w:val="auto"/>
          <w:szCs w:val="21"/>
          <w:highlight w:val="none"/>
        </w:rPr>
      </w:pPr>
    </w:p>
    <w:p w14:paraId="78B693DB">
      <w:pPr>
        <w:keepNext w:val="0"/>
        <w:keepLines w:val="0"/>
        <w:pageBreakBefore w:val="0"/>
        <w:widowControl w:val="0"/>
        <w:kinsoku/>
        <w:wordWrap/>
        <w:overflowPunct/>
        <w:topLinePunct w:val="0"/>
        <w:autoSpaceDE/>
        <w:autoSpaceDN/>
        <w:bidi w:val="0"/>
        <w:adjustRightInd/>
        <w:snapToGrid/>
        <w:spacing w:before="313" w:beforeLines="100" w:after="313" w:afterLines="100" w:line="400" w:lineRule="atLeast"/>
        <w:ind w:firstLine="480"/>
        <w:jc w:val="both"/>
        <w:textAlignment w:val="auto"/>
        <w:rPr>
          <w:rFonts w:ascii="宋体" w:hAnsi="宋体"/>
          <w:color w:val="auto"/>
          <w:szCs w:val="21"/>
          <w:highlight w:val="none"/>
        </w:rPr>
      </w:pPr>
      <w:r>
        <w:rPr>
          <w:rFonts w:ascii="宋体" w:hAnsi="宋体"/>
          <w:color w:val="auto"/>
          <w:szCs w:val="21"/>
          <w:highlight w:val="none"/>
        </w:rPr>
        <w:br w:type="page"/>
      </w:r>
    </w:p>
    <w:p w14:paraId="77BF18E0">
      <w:pPr>
        <w:keepNext w:val="0"/>
        <w:keepLines w:val="0"/>
        <w:pageBreakBefore w:val="0"/>
        <w:widowControl w:val="0"/>
        <w:kinsoku/>
        <w:wordWrap/>
        <w:overflowPunct/>
        <w:topLinePunct w:val="0"/>
        <w:autoSpaceDE/>
        <w:autoSpaceDN/>
        <w:bidi w:val="0"/>
        <w:adjustRightInd/>
        <w:snapToGrid/>
        <w:spacing w:before="313" w:beforeLines="100" w:after="313" w:afterLines="100" w:line="400" w:lineRule="atLeast"/>
        <w:ind w:firstLine="480"/>
        <w:jc w:val="both"/>
        <w:textAlignment w:val="auto"/>
        <w:rPr>
          <w:rFonts w:hint="default" w:ascii="宋体" w:hAnsi="宋体" w:eastAsia="宋体"/>
          <w:color w:val="auto"/>
          <w:szCs w:val="21"/>
          <w:highlight w:val="none"/>
          <w:lang w:val="en-US" w:eastAsia="zh-CN"/>
        </w:rPr>
      </w:pPr>
      <w:r>
        <w:rPr>
          <w:rFonts w:hint="eastAsia"/>
          <w:color w:val="auto"/>
          <w:szCs w:val="21"/>
          <w:highlight w:val="none"/>
          <w:lang w:val="en-US" w:eastAsia="zh-CN"/>
        </w:rPr>
        <w:t>附件2</w:t>
      </w:r>
    </w:p>
    <w:p w14:paraId="2E584862">
      <w:pPr>
        <w:keepNext w:val="0"/>
        <w:keepLines w:val="0"/>
        <w:pageBreakBefore w:val="0"/>
        <w:widowControl w:val="0"/>
        <w:kinsoku/>
        <w:wordWrap/>
        <w:overflowPunct/>
        <w:topLinePunct w:val="0"/>
        <w:autoSpaceDE/>
        <w:autoSpaceDN/>
        <w:bidi w:val="0"/>
        <w:adjustRightInd/>
        <w:snapToGrid/>
        <w:spacing w:before="313" w:beforeLines="100" w:after="313" w:afterLines="100" w:line="400" w:lineRule="atLeast"/>
        <w:ind w:firstLine="48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30"/>
          <w:szCs w:val="30"/>
          <w:highlight w:val="none"/>
        </w:rPr>
        <w:t>评标办法（双信封的综合评估法）</w:t>
      </w:r>
    </w:p>
    <w:p w14:paraId="709C4FDF">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评标办法前附表</w:t>
      </w:r>
    </w:p>
    <w:tbl>
      <w:tblPr>
        <w:tblStyle w:val="9"/>
        <w:tblW w:w="0" w:type="auto"/>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5"/>
        <w:gridCol w:w="1185"/>
        <w:gridCol w:w="7270"/>
      </w:tblGrid>
      <w:tr w14:paraId="67E397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2160" w:type="dxa"/>
            <w:gridSpan w:val="2"/>
            <w:noWrap w:val="0"/>
            <w:vAlign w:val="center"/>
          </w:tcPr>
          <w:p w14:paraId="642DB5CE">
            <w:pPr>
              <w:spacing w:line="380" w:lineRule="exact"/>
              <w:ind w:firstLine="723" w:firstLineChars="3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7270" w:type="dxa"/>
            <w:noWrap w:val="0"/>
            <w:vAlign w:val="center"/>
          </w:tcPr>
          <w:p w14:paraId="1572A3C7">
            <w:pPr>
              <w:spacing w:line="380" w:lineRule="exact"/>
              <w:ind w:firstLine="482"/>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评审因素与评审标准</w:t>
            </w:r>
          </w:p>
        </w:tc>
      </w:tr>
      <w:tr w14:paraId="63C62E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24" w:hRule="atLeast"/>
        </w:trPr>
        <w:tc>
          <w:tcPr>
            <w:tcW w:w="975" w:type="dxa"/>
            <w:noWrap w:val="0"/>
            <w:vAlign w:val="center"/>
          </w:tcPr>
          <w:p w14:paraId="2B0D546A">
            <w:pPr>
              <w:spacing w:line="380" w:lineRule="exact"/>
              <w:ind w:firstLine="0" w:firstLineChars="0"/>
              <w:jc w:val="center"/>
              <w:rPr>
                <w:rFonts w:hint="eastAsia"/>
                <w:color w:val="auto"/>
                <w:szCs w:val="21"/>
                <w:highlight w:val="none"/>
              </w:rPr>
            </w:pPr>
            <w:r>
              <w:rPr>
                <w:rFonts w:hint="eastAsia"/>
                <w:color w:val="auto"/>
                <w:szCs w:val="21"/>
                <w:highlight w:val="none"/>
              </w:rPr>
              <w:t>1</w:t>
            </w:r>
          </w:p>
        </w:tc>
        <w:tc>
          <w:tcPr>
            <w:tcW w:w="1185" w:type="dxa"/>
            <w:noWrap w:val="0"/>
            <w:vAlign w:val="center"/>
          </w:tcPr>
          <w:p w14:paraId="4BD1507C">
            <w:pPr>
              <w:spacing w:line="380" w:lineRule="exact"/>
              <w:ind w:firstLine="0" w:firstLineChars="0"/>
              <w:jc w:val="center"/>
              <w:rPr>
                <w:rFonts w:hint="eastAsia"/>
                <w:color w:val="auto"/>
                <w:szCs w:val="21"/>
                <w:highlight w:val="none"/>
              </w:rPr>
            </w:pPr>
            <w:r>
              <w:rPr>
                <w:color w:val="auto"/>
                <w:szCs w:val="21"/>
                <w:highlight w:val="none"/>
              </w:rPr>
              <w:t>评标方法</w:t>
            </w:r>
          </w:p>
        </w:tc>
        <w:tc>
          <w:tcPr>
            <w:tcW w:w="7270" w:type="dxa"/>
            <w:noWrap w:val="0"/>
            <w:vAlign w:val="center"/>
          </w:tcPr>
          <w:p w14:paraId="410A35F4">
            <w:pPr>
              <w:spacing w:line="440" w:lineRule="exact"/>
              <w:ind w:firstLine="0" w:firstLineChars="0"/>
              <w:jc w:val="left"/>
              <w:rPr>
                <w:color w:val="auto"/>
                <w:szCs w:val="21"/>
                <w:highlight w:val="none"/>
              </w:rPr>
            </w:pPr>
            <w:r>
              <w:rPr>
                <w:color w:val="auto"/>
                <w:szCs w:val="21"/>
                <w:highlight w:val="none"/>
              </w:rPr>
              <w:t>综合评分相等时，评标委员会依次按照以下优先顺序推荐中标候选人或确定中标人：</w:t>
            </w:r>
          </w:p>
          <w:p w14:paraId="6DF0D3B6">
            <w:pPr>
              <w:spacing w:line="440" w:lineRule="exact"/>
              <w:ind w:firstLine="0" w:firstLineChars="0"/>
              <w:jc w:val="left"/>
              <w:rPr>
                <w:rFonts w:hint="eastAsia"/>
                <w:color w:val="auto"/>
                <w:szCs w:val="21"/>
                <w:highlight w:val="none"/>
              </w:rPr>
            </w:pPr>
            <w:r>
              <w:rPr>
                <w:color w:val="auto"/>
                <w:szCs w:val="21"/>
                <w:highlight w:val="none"/>
              </w:rPr>
              <w:t>（</w:t>
            </w:r>
            <w:r>
              <w:rPr>
                <w:rFonts w:hint="eastAsia"/>
                <w:color w:val="auto"/>
                <w:szCs w:val="21"/>
                <w:highlight w:val="none"/>
              </w:rPr>
              <w:t>1）</w:t>
            </w:r>
            <w:r>
              <w:rPr>
                <w:color w:val="auto"/>
                <w:szCs w:val="21"/>
                <w:highlight w:val="none"/>
              </w:rPr>
              <w:t>评标价低的投标人优先；</w:t>
            </w:r>
          </w:p>
          <w:p w14:paraId="531F08EA">
            <w:pPr>
              <w:spacing w:line="440" w:lineRule="exact"/>
              <w:ind w:firstLine="0" w:firstLineChars="0"/>
              <w:jc w:val="left"/>
              <w:rPr>
                <w:color w:val="auto"/>
                <w:szCs w:val="21"/>
                <w:highlight w:val="none"/>
              </w:rPr>
            </w:pPr>
            <w:r>
              <w:rPr>
                <w:rFonts w:hint="eastAsia"/>
                <w:color w:val="auto"/>
                <w:szCs w:val="21"/>
                <w:highlight w:val="none"/>
              </w:rPr>
              <w:t>（2）商务和技术得分较高的投标人优先；</w:t>
            </w:r>
          </w:p>
          <w:p w14:paraId="45D3E0CC">
            <w:pPr>
              <w:spacing w:line="440" w:lineRule="exact"/>
              <w:ind w:firstLine="0" w:firstLineChars="0"/>
              <w:jc w:val="left"/>
              <w:rPr>
                <w:rFonts w:hint="eastAsia"/>
                <w:color w:val="auto"/>
                <w:szCs w:val="21"/>
                <w:highlight w:val="none"/>
              </w:rPr>
            </w:pPr>
            <w:r>
              <w:rPr>
                <w:rFonts w:hint="eastAsia"/>
                <w:color w:val="auto"/>
                <w:szCs w:val="21"/>
                <w:highlight w:val="none"/>
              </w:rPr>
              <w:t>（3）评标委员会视投标人情况综合比较，投票确定其名次</w:t>
            </w:r>
            <w:r>
              <w:rPr>
                <w:color w:val="auto"/>
                <w:szCs w:val="21"/>
                <w:highlight w:val="none"/>
              </w:rPr>
              <w:t>。</w:t>
            </w:r>
          </w:p>
        </w:tc>
      </w:tr>
      <w:tr w14:paraId="34D71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4" w:hRule="atLeast"/>
        </w:trPr>
        <w:tc>
          <w:tcPr>
            <w:tcW w:w="975" w:type="dxa"/>
            <w:noWrap w:val="0"/>
            <w:vAlign w:val="center"/>
          </w:tcPr>
          <w:p w14:paraId="30B9AFB3">
            <w:pPr>
              <w:wordWrap w:val="0"/>
              <w:topLinePunct/>
              <w:spacing w:line="360" w:lineRule="auto"/>
              <w:ind w:firstLine="0" w:firstLineChars="0"/>
              <w:jc w:val="center"/>
              <w:rPr>
                <w:rFonts w:hint="eastAsia"/>
                <w:color w:val="auto"/>
                <w:highlight w:val="none"/>
              </w:rPr>
            </w:pPr>
            <w:r>
              <w:rPr>
                <w:rFonts w:hint="eastAsia"/>
                <w:color w:val="auto"/>
                <w:highlight w:val="none"/>
              </w:rPr>
              <w:t>2.1.1</w:t>
            </w:r>
          </w:p>
          <w:p w14:paraId="32BC19EF">
            <w:pPr>
              <w:wordWrap w:val="0"/>
              <w:topLinePunct/>
              <w:spacing w:line="360" w:lineRule="auto"/>
              <w:ind w:firstLine="0" w:firstLineChars="0"/>
              <w:jc w:val="center"/>
              <w:rPr>
                <w:rFonts w:hint="eastAsia"/>
                <w:color w:val="auto"/>
                <w:szCs w:val="21"/>
                <w:highlight w:val="none"/>
              </w:rPr>
            </w:pPr>
            <w:r>
              <w:rPr>
                <w:rFonts w:hint="eastAsia"/>
                <w:color w:val="auto"/>
                <w:highlight w:val="none"/>
              </w:rPr>
              <w:t>2.1.3</w:t>
            </w:r>
          </w:p>
        </w:tc>
        <w:tc>
          <w:tcPr>
            <w:tcW w:w="1185" w:type="dxa"/>
            <w:noWrap w:val="0"/>
            <w:vAlign w:val="center"/>
          </w:tcPr>
          <w:p w14:paraId="27E573A6">
            <w:pPr>
              <w:spacing w:line="380" w:lineRule="exact"/>
              <w:ind w:firstLine="0" w:firstLineChars="0"/>
              <w:jc w:val="center"/>
              <w:rPr>
                <w:rFonts w:hint="eastAsia"/>
                <w:color w:val="auto"/>
                <w:szCs w:val="21"/>
                <w:highlight w:val="none"/>
              </w:rPr>
            </w:pPr>
            <w:r>
              <w:rPr>
                <w:color w:val="auto"/>
                <w:szCs w:val="21"/>
                <w:highlight w:val="none"/>
              </w:rPr>
              <w:t>形式评审与响应性评审标准</w:t>
            </w:r>
          </w:p>
        </w:tc>
        <w:tc>
          <w:tcPr>
            <w:tcW w:w="7270" w:type="dxa"/>
            <w:noWrap w:val="0"/>
            <w:vAlign w:val="top"/>
          </w:tcPr>
          <w:p w14:paraId="42E297B7">
            <w:pPr>
              <w:spacing w:line="440" w:lineRule="exact"/>
              <w:ind w:firstLine="0" w:firstLineChars="0"/>
              <w:jc w:val="left"/>
              <w:rPr>
                <w:b/>
                <w:bCs/>
                <w:color w:val="auto"/>
                <w:szCs w:val="21"/>
                <w:highlight w:val="none"/>
              </w:rPr>
            </w:pPr>
            <w:r>
              <w:rPr>
                <w:rFonts w:hint="eastAsia"/>
                <w:b/>
                <w:bCs/>
                <w:color w:val="auto"/>
                <w:szCs w:val="21"/>
                <w:highlight w:val="none"/>
              </w:rPr>
              <w:t>第一个信封（商务及技术文件）评审标准：</w:t>
            </w:r>
          </w:p>
          <w:p w14:paraId="521784F6">
            <w:pPr>
              <w:spacing w:line="440" w:lineRule="exact"/>
              <w:ind w:firstLine="0" w:firstLineChars="0"/>
              <w:jc w:val="left"/>
              <w:rPr>
                <w:color w:val="auto"/>
                <w:szCs w:val="21"/>
                <w:highlight w:val="none"/>
              </w:rPr>
            </w:pPr>
            <w:r>
              <w:rPr>
                <w:color w:val="auto"/>
                <w:szCs w:val="21"/>
                <w:highlight w:val="none"/>
              </w:rPr>
              <w:t>（1）投标文件按照招标文件规定的格式、内容填写，字迹清晰可辨：</w:t>
            </w:r>
          </w:p>
          <w:p w14:paraId="681D30E8">
            <w:pPr>
              <w:spacing w:line="440" w:lineRule="exact"/>
              <w:ind w:firstLine="0" w:firstLineChars="0"/>
              <w:jc w:val="left"/>
              <w:rPr>
                <w:color w:val="auto"/>
                <w:szCs w:val="21"/>
                <w:highlight w:val="none"/>
              </w:rPr>
            </w:pPr>
            <w:r>
              <w:rPr>
                <w:color w:val="auto"/>
                <w:szCs w:val="21"/>
                <w:highlight w:val="none"/>
              </w:rPr>
              <w:t>a.投标函按招标文件规定填报了</w:t>
            </w:r>
            <w:r>
              <w:rPr>
                <w:rFonts w:hint="eastAsia"/>
                <w:color w:val="auto"/>
                <w:szCs w:val="21"/>
                <w:highlight w:val="none"/>
              </w:rPr>
              <w:t>项目名称、标段号</w:t>
            </w:r>
            <w:r>
              <w:rPr>
                <w:rFonts w:hint="eastAsia"/>
                <w:color w:val="auto"/>
                <w:szCs w:val="21"/>
                <w:highlight w:val="none"/>
                <w:lang w:eastAsia="zh-CN"/>
              </w:rPr>
              <w:t>（</w:t>
            </w:r>
            <w:r>
              <w:rPr>
                <w:rFonts w:hint="eastAsia"/>
                <w:color w:val="auto"/>
                <w:szCs w:val="21"/>
                <w:highlight w:val="none"/>
                <w:lang w:val="en-US" w:eastAsia="zh-CN"/>
              </w:rPr>
              <w:t>如有</w:t>
            </w:r>
            <w:r>
              <w:rPr>
                <w:rFonts w:hint="eastAsia"/>
                <w:color w:val="auto"/>
                <w:szCs w:val="21"/>
                <w:highlight w:val="none"/>
                <w:lang w:eastAsia="zh-CN"/>
              </w:rPr>
              <w:t>）</w:t>
            </w:r>
            <w:r>
              <w:rPr>
                <w:rFonts w:hint="eastAsia"/>
                <w:color w:val="auto"/>
                <w:szCs w:val="21"/>
                <w:highlight w:val="none"/>
              </w:rPr>
              <w:t>、</w:t>
            </w:r>
            <w:r>
              <w:rPr>
                <w:color w:val="auto"/>
                <w:szCs w:val="21"/>
                <w:highlight w:val="none"/>
              </w:rPr>
              <w:t>服务期限</w:t>
            </w:r>
            <w:r>
              <w:rPr>
                <w:rFonts w:hint="eastAsia"/>
                <w:color w:val="auto"/>
                <w:szCs w:val="21"/>
                <w:highlight w:val="none"/>
              </w:rPr>
              <w:t>、质量要求及安全目标</w:t>
            </w:r>
            <w:r>
              <w:rPr>
                <w:color w:val="auto"/>
                <w:szCs w:val="21"/>
                <w:highlight w:val="none"/>
              </w:rPr>
              <w:t>；</w:t>
            </w:r>
          </w:p>
          <w:p w14:paraId="3A5EBA0C">
            <w:pPr>
              <w:spacing w:line="440" w:lineRule="exact"/>
              <w:ind w:firstLine="0" w:firstLineChars="0"/>
              <w:jc w:val="left"/>
              <w:rPr>
                <w:color w:val="auto"/>
                <w:szCs w:val="21"/>
                <w:highlight w:val="none"/>
              </w:rPr>
            </w:pPr>
            <w:r>
              <w:rPr>
                <w:color w:val="auto"/>
                <w:szCs w:val="21"/>
                <w:highlight w:val="none"/>
              </w:rPr>
              <w:t>b</w:t>
            </w:r>
            <w:r>
              <w:rPr>
                <w:rFonts w:hint="eastAsia"/>
                <w:color w:val="auto"/>
                <w:szCs w:val="21"/>
                <w:highlight w:val="none"/>
              </w:rPr>
              <w:t>.</w:t>
            </w:r>
            <w:r>
              <w:rPr>
                <w:color w:val="auto"/>
                <w:szCs w:val="21"/>
                <w:highlight w:val="none"/>
              </w:rPr>
              <w:t>投标文件组成齐全完整，内容均按规定填写。</w:t>
            </w:r>
          </w:p>
          <w:p w14:paraId="2E45F3EC">
            <w:pPr>
              <w:spacing w:line="440" w:lineRule="exact"/>
              <w:ind w:firstLine="0" w:firstLineChars="0"/>
              <w:jc w:val="left"/>
              <w:rPr>
                <w:color w:val="auto"/>
                <w:szCs w:val="21"/>
                <w:highlight w:val="none"/>
              </w:rPr>
            </w:pPr>
            <w:r>
              <w:rPr>
                <w:color w:val="auto"/>
                <w:szCs w:val="21"/>
                <w:highlight w:val="none"/>
              </w:rPr>
              <w:t>（2）投标文件上法定代表人或其</w:t>
            </w:r>
            <w:r>
              <w:rPr>
                <w:rFonts w:hint="eastAsia"/>
                <w:color w:val="auto"/>
                <w:szCs w:val="21"/>
                <w:highlight w:val="none"/>
              </w:rPr>
              <w:t>委托</w:t>
            </w:r>
            <w:r>
              <w:rPr>
                <w:color w:val="auto"/>
                <w:szCs w:val="21"/>
                <w:highlight w:val="none"/>
              </w:rPr>
              <w:t>代理人的签字、投标人的单位章盖章齐全，符合招标文件规定</w:t>
            </w:r>
            <w:r>
              <w:rPr>
                <w:rFonts w:hint="eastAsia"/>
                <w:color w:val="auto"/>
                <w:szCs w:val="21"/>
                <w:highlight w:val="none"/>
              </w:rPr>
              <w:t>。</w:t>
            </w:r>
          </w:p>
          <w:p w14:paraId="170D9CB7">
            <w:pPr>
              <w:spacing w:line="440" w:lineRule="exact"/>
              <w:ind w:firstLine="0" w:firstLineChars="0"/>
              <w:jc w:val="left"/>
              <w:rPr>
                <w:color w:val="auto"/>
                <w:szCs w:val="21"/>
                <w:highlight w:val="none"/>
              </w:rPr>
            </w:pPr>
            <w:r>
              <w:rPr>
                <w:color w:val="auto"/>
                <w:szCs w:val="21"/>
                <w:highlight w:val="none"/>
              </w:rPr>
              <w:t>（</w:t>
            </w:r>
            <w:r>
              <w:rPr>
                <w:rFonts w:hint="eastAsia"/>
                <w:color w:val="auto"/>
                <w:szCs w:val="21"/>
                <w:highlight w:val="none"/>
              </w:rPr>
              <w:t>3</w:t>
            </w:r>
            <w:r>
              <w:rPr>
                <w:color w:val="auto"/>
                <w:szCs w:val="21"/>
                <w:highlight w:val="none"/>
              </w:rPr>
              <w:t>）投标人按照招标文件</w:t>
            </w:r>
            <w:r>
              <w:rPr>
                <w:rFonts w:hint="eastAsia"/>
                <w:color w:val="auto"/>
                <w:szCs w:val="21"/>
                <w:highlight w:val="none"/>
              </w:rPr>
              <w:t>的</w:t>
            </w:r>
            <w:r>
              <w:rPr>
                <w:color w:val="auto"/>
                <w:szCs w:val="21"/>
                <w:highlight w:val="none"/>
              </w:rPr>
              <w:t>规定提供了投标保证金：</w:t>
            </w:r>
          </w:p>
          <w:p w14:paraId="471DD924">
            <w:pPr>
              <w:spacing w:line="440" w:lineRule="exact"/>
              <w:ind w:firstLine="0" w:firstLineChars="0"/>
              <w:jc w:val="left"/>
              <w:rPr>
                <w:rFonts w:hint="eastAsia"/>
                <w:color w:val="auto"/>
                <w:szCs w:val="21"/>
                <w:highlight w:val="none"/>
              </w:rPr>
            </w:pPr>
            <w:r>
              <w:rPr>
                <w:color w:val="auto"/>
                <w:szCs w:val="21"/>
                <w:highlight w:val="none"/>
              </w:rPr>
              <w:t>a.投标</w:t>
            </w:r>
            <w:r>
              <w:rPr>
                <w:rFonts w:hint="eastAsia"/>
                <w:color w:val="auto"/>
                <w:szCs w:val="21"/>
                <w:highlight w:val="none"/>
              </w:rPr>
              <w:t>保证金</w:t>
            </w:r>
            <w:r>
              <w:rPr>
                <w:color w:val="auto"/>
                <w:szCs w:val="21"/>
                <w:highlight w:val="none"/>
              </w:rPr>
              <w:t>金额符合招标文件规定的金额</w:t>
            </w:r>
            <w:r>
              <w:rPr>
                <w:rFonts w:hint="eastAsia"/>
                <w:color w:val="auto"/>
                <w:szCs w:val="21"/>
                <w:highlight w:val="none"/>
              </w:rPr>
              <w:t>，且投标保证金有效期不少于投标有效期；</w:t>
            </w:r>
          </w:p>
          <w:p w14:paraId="541E69EE">
            <w:pPr>
              <w:spacing w:line="440" w:lineRule="exact"/>
              <w:ind w:firstLine="0" w:firstLineChars="0"/>
              <w:jc w:val="left"/>
              <w:rPr>
                <w:color w:val="auto"/>
                <w:szCs w:val="21"/>
                <w:highlight w:val="none"/>
              </w:rPr>
            </w:pPr>
            <w:r>
              <w:rPr>
                <w:color w:val="auto"/>
                <w:szCs w:val="21"/>
                <w:highlight w:val="none"/>
              </w:rPr>
              <w:t>b.若投标保证金</w:t>
            </w:r>
            <w:r>
              <w:rPr>
                <w:rFonts w:hint="eastAsia"/>
                <w:color w:val="auto"/>
                <w:szCs w:val="21"/>
                <w:highlight w:val="none"/>
              </w:rPr>
              <w:t>采用</w:t>
            </w:r>
            <w:r>
              <w:rPr>
                <w:color w:val="auto"/>
                <w:szCs w:val="21"/>
                <w:highlight w:val="none"/>
              </w:rPr>
              <w:t>现金或支票形式提</w:t>
            </w:r>
            <w:r>
              <w:rPr>
                <w:rFonts w:hint="eastAsia"/>
                <w:color w:val="auto"/>
                <w:szCs w:val="21"/>
                <w:highlight w:val="none"/>
              </w:rPr>
              <w:t>交</w:t>
            </w:r>
            <w:r>
              <w:rPr>
                <w:color w:val="auto"/>
                <w:szCs w:val="21"/>
                <w:highlight w:val="none"/>
              </w:rPr>
              <w:t>，投标人</w:t>
            </w:r>
            <w:r>
              <w:rPr>
                <w:rFonts w:hint="eastAsia"/>
                <w:color w:val="auto"/>
                <w:szCs w:val="21"/>
                <w:highlight w:val="none"/>
              </w:rPr>
              <w:t>应在投标人须知前附表3.4.1款规定的时间</w:t>
            </w:r>
            <w:r>
              <w:rPr>
                <w:color w:val="auto"/>
                <w:szCs w:val="21"/>
                <w:highlight w:val="none"/>
              </w:rPr>
              <w:t>，将投标保证金由投标人的基本账户</w:t>
            </w:r>
            <w:r>
              <w:rPr>
                <w:rFonts w:hint="eastAsia"/>
                <w:color w:val="auto"/>
                <w:szCs w:val="21"/>
                <w:highlight w:val="none"/>
              </w:rPr>
              <w:t>转入</w:t>
            </w:r>
            <w:r>
              <w:rPr>
                <w:color w:val="auto"/>
                <w:szCs w:val="21"/>
                <w:highlight w:val="none"/>
              </w:rPr>
              <w:t>招标人指定账户；</w:t>
            </w:r>
          </w:p>
          <w:p w14:paraId="3EF1DC2A">
            <w:pPr>
              <w:spacing w:line="440" w:lineRule="exact"/>
              <w:ind w:firstLine="0" w:firstLineChars="0"/>
              <w:jc w:val="left"/>
              <w:rPr>
                <w:color w:val="auto"/>
                <w:szCs w:val="21"/>
                <w:highlight w:val="none"/>
              </w:rPr>
            </w:pPr>
            <w:r>
              <w:rPr>
                <w:color w:val="auto"/>
                <w:szCs w:val="21"/>
                <w:highlight w:val="none"/>
              </w:rPr>
              <w:t>c.</w:t>
            </w:r>
            <w:r>
              <w:rPr>
                <w:rFonts w:hint="eastAsia"/>
                <w:color w:val="auto"/>
                <w:szCs w:val="21"/>
                <w:highlight w:val="none"/>
              </w:rPr>
              <w:t>若投标保证金采用银行保函或投标人须知前附表3.4.1项规定的其他形式提交，应满足招标文件要求。</w:t>
            </w:r>
          </w:p>
          <w:p w14:paraId="5DD2646D">
            <w:pPr>
              <w:spacing w:line="440" w:lineRule="exact"/>
              <w:ind w:firstLine="0" w:firstLineChars="0"/>
              <w:jc w:val="left"/>
              <w:rPr>
                <w:color w:val="auto"/>
                <w:szCs w:val="21"/>
                <w:highlight w:val="none"/>
              </w:rPr>
            </w:pPr>
            <w:r>
              <w:rPr>
                <w:color w:val="auto"/>
                <w:szCs w:val="21"/>
                <w:highlight w:val="none"/>
              </w:rPr>
              <w:t>（</w:t>
            </w:r>
            <w:r>
              <w:rPr>
                <w:rFonts w:hint="eastAsia"/>
                <w:color w:val="auto"/>
                <w:szCs w:val="21"/>
                <w:highlight w:val="none"/>
              </w:rPr>
              <w:t>4</w:t>
            </w:r>
            <w:r>
              <w:rPr>
                <w:color w:val="auto"/>
                <w:szCs w:val="21"/>
                <w:highlight w:val="none"/>
              </w:rPr>
              <w:t>）投标人法定代表人授权委托代理人</w:t>
            </w:r>
            <w:r>
              <w:rPr>
                <w:rFonts w:hint="eastAsia"/>
                <w:color w:val="auto"/>
                <w:szCs w:val="21"/>
                <w:highlight w:val="none"/>
              </w:rPr>
              <w:t>签署</w:t>
            </w:r>
            <w:r>
              <w:rPr>
                <w:color w:val="auto"/>
                <w:szCs w:val="21"/>
                <w:highlight w:val="none"/>
              </w:rPr>
              <w:t>投标文件的，</w:t>
            </w:r>
            <w:r>
              <w:rPr>
                <w:rFonts w:hint="eastAsia"/>
                <w:color w:val="auto"/>
                <w:szCs w:val="21"/>
                <w:highlight w:val="none"/>
                <w:lang w:val="en-US" w:eastAsia="zh-CN"/>
              </w:rPr>
              <w:t>需</w:t>
            </w:r>
            <w:r>
              <w:rPr>
                <w:color w:val="auto"/>
                <w:szCs w:val="21"/>
                <w:highlight w:val="none"/>
              </w:rPr>
              <w:t>提交授权委托书，</w:t>
            </w:r>
            <w:r>
              <w:rPr>
                <w:rFonts w:hint="eastAsia"/>
                <w:color w:val="auto"/>
                <w:szCs w:val="21"/>
                <w:highlight w:val="none"/>
              </w:rPr>
              <w:t>且</w:t>
            </w:r>
            <w:r>
              <w:rPr>
                <w:color w:val="auto"/>
                <w:szCs w:val="21"/>
                <w:highlight w:val="none"/>
              </w:rPr>
              <w:t>授权人和被授权人均在授权</w:t>
            </w:r>
            <w:r>
              <w:rPr>
                <w:rFonts w:hint="eastAsia"/>
                <w:color w:val="auto"/>
                <w:szCs w:val="21"/>
                <w:highlight w:val="none"/>
              </w:rPr>
              <w:t>委托</w:t>
            </w:r>
            <w:r>
              <w:rPr>
                <w:color w:val="auto"/>
                <w:szCs w:val="21"/>
                <w:highlight w:val="none"/>
              </w:rPr>
              <w:t>书上签名，未使用印章、签名章或其他电子制版签名</w:t>
            </w:r>
            <w:r>
              <w:rPr>
                <w:rFonts w:hint="eastAsia"/>
                <w:color w:val="auto"/>
                <w:szCs w:val="21"/>
                <w:highlight w:val="none"/>
              </w:rPr>
              <w:t>代替</w:t>
            </w:r>
            <w:r>
              <w:rPr>
                <w:color w:val="auto"/>
                <w:szCs w:val="21"/>
                <w:highlight w:val="none"/>
              </w:rPr>
              <w:t>。</w:t>
            </w:r>
          </w:p>
          <w:p w14:paraId="3115514C">
            <w:pPr>
              <w:spacing w:line="440" w:lineRule="exact"/>
              <w:ind w:firstLine="0" w:firstLineChars="0"/>
              <w:jc w:val="left"/>
              <w:rPr>
                <w:color w:val="auto"/>
                <w:szCs w:val="21"/>
                <w:highlight w:val="none"/>
              </w:rPr>
            </w:pPr>
            <w:r>
              <w:rPr>
                <w:color w:val="auto"/>
                <w:szCs w:val="21"/>
                <w:highlight w:val="none"/>
              </w:rPr>
              <w:t>（</w:t>
            </w:r>
            <w:r>
              <w:rPr>
                <w:rFonts w:hint="eastAsia"/>
                <w:color w:val="auto"/>
                <w:szCs w:val="21"/>
                <w:highlight w:val="none"/>
              </w:rPr>
              <w:t>5</w:t>
            </w:r>
            <w:r>
              <w:rPr>
                <w:color w:val="auto"/>
                <w:szCs w:val="21"/>
                <w:highlight w:val="none"/>
              </w:rPr>
              <w:t>）投标人法定代表人亲自签署投标文件的，提供了法定代表人身份证明，</w:t>
            </w:r>
            <w:r>
              <w:rPr>
                <w:rFonts w:hint="eastAsia"/>
                <w:color w:val="auto"/>
                <w:szCs w:val="21"/>
                <w:highlight w:val="none"/>
              </w:rPr>
              <w:t>且</w:t>
            </w:r>
            <w:r>
              <w:rPr>
                <w:color w:val="auto"/>
                <w:szCs w:val="21"/>
                <w:highlight w:val="none"/>
              </w:rPr>
              <w:t>法定代表人在法定代表人身份证明上签名，未使用印章、签名章或其他电子制版签名</w:t>
            </w:r>
            <w:r>
              <w:rPr>
                <w:rFonts w:hint="eastAsia"/>
                <w:color w:val="auto"/>
                <w:szCs w:val="21"/>
                <w:highlight w:val="none"/>
              </w:rPr>
              <w:t>代替</w:t>
            </w:r>
            <w:r>
              <w:rPr>
                <w:color w:val="auto"/>
                <w:szCs w:val="21"/>
                <w:highlight w:val="none"/>
              </w:rPr>
              <w:t>。</w:t>
            </w:r>
          </w:p>
          <w:p w14:paraId="485A8C8B">
            <w:pPr>
              <w:spacing w:line="440" w:lineRule="exact"/>
              <w:ind w:firstLine="0" w:firstLineChars="0"/>
              <w:jc w:val="left"/>
              <w:rPr>
                <w:rFonts w:hint="eastAsia"/>
                <w:color w:val="auto"/>
                <w:szCs w:val="21"/>
                <w:highlight w:val="none"/>
              </w:rPr>
            </w:pPr>
            <w:r>
              <w:rPr>
                <w:color w:val="auto"/>
                <w:szCs w:val="21"/>
                <w:highlight w:val="none"/>
              </w:rPr>
              <w:t>（</w:t>
            </w:r>
            <w:r>
              <w:rPr>
                <w:rFonts w:hint="eastAsia"/>
                <w:color w:val="auto"/>
                <w:szCs w:val="21"/>
                <w:highlight w:val="none"/>
              </w:rPr>
              <w:t>6</w:t>
            </w:r>
            <w:r>
              <w:rPr>
                <w:color w:val="auto"/>
                <w:szCs w:val="21"/>
                <w:highlight w:val="none"/>
              </w:rPr>
              <w:t>）</w:t>
            </w:r>
            <w:r>
              <w:rPr>
                <w:rFonts w:hint="eastAsia"/>
                <w:color w:val="auto"/>
                <w:szCs w:val="21"/>
                <w:highlight w:val="none"/>
              </w:rPr>
              <w:t>投标人以联合体形式投标时，联合体满足招标文件的要求：</w:t>
            </w:r>
          </w:p>
          <w:p w14:paraId="79815C00">
            <w:pPr>
              <w:spacing w:line="440" w:lineRule="exact"/>
              <w:ind w:firstLine="0" w:firstLineChars="0"/>
              <w:jc w:val="left"/>
              <w:rPr>
                <w:color w:val="auto"/>
                <w:szCs w:val="21"/>
                <w:highlight w:val="none"/>
              </w:rPr>
            </w:pPr>
            <w:r>
              <w:rPr>
                <w:rFonts w:hint="eastAsia"/>
                <w:color w:val="auto"/>
                <w:szCs w:val="21"/>
                <w:highlight w:val="none"/>
              </w:rPr>
              <w:t>投标人按照招标文件提供的格式签订了联合体协议书，明确各方承担连带责任，并明确了联合体牵头人。</w:t>
            </w:r>
          </w:p>
          <w:p w14:paraId="1E60814B">
            <w:pPr>
              <w:spacing w:line="440" w:lineRule="exact"/>
              <w:ind w:firstLine="0" w:firstLineChars="0"/>
              <w:jc w:val="left"/>
              <w:rPr>
                <w:color w:val="auto"/>
                <w:szCs w:val="21"/>
                <w:highlight w:val="none"/>
              </w:rPr>
            </w:pPr>
            <w:r>
              <w:rPr>
                <w:color w:val="auto"/>
                <w:szCs w:val="21"/>
                <w:highlight w:val="none"/>
              </w:rPr>
              <w:t>（</w:t>
            </w:r>
            <w:r>
              <w:rPr>
                <w:rFonts w:hint="eastAsia"/>
                <w:color w:val="auto"/>
                <w:szCs w:val="21"/>
                <w:highlight w:val="none"/>
              </w:rPr>
              <w:t>7</w:t>
            </w:r>
            <w:r>
              <w:rPr>
                <w:color w:val="auto"/>
                <w:szCs w:val="21"/>
                <w:highlight w:val="none"/>
              </w:rPr>
              <w:t>）同一投标人</w:t>
            </w:r>
            <w:r>
              <w:rPr>
                <w:rFonts w:hint="eastAsia"/>
                <w:color w:val="auto"/>
                <w:szCs w:val="21"/>
                <w:highlight w:val="none"/>
              </w:rPr>
              <w:t>未</w:t>
            </w:r>
            <w:r>
              <w:rPr>
                <w:color w:val="auto"/>
                <w:szCs w:val="21"/>
                <w:highlight w:val="none"/>
              </w:rPr>
              <w:t>提交两个以上不同的投标文件，但招标文件要求提交备选投标的除外</w:t>
            </w:r>
            <w:r>
              <w:rPr>
                <w:rFonts w:hint="eastAsia"/>
                <w:color w:val="auto"/>
                <w:szCs w:val="21"/>
                <w:highlight w:val="none"/>
              </w:rPr>
              <w:t>。</w:t>
            </w:r>
          </w:p>
          <w:p w14:paraId="3F836FF8">
            <w:pPr>
              <w:spacing w:line="440" w:lineRule="exact"/>
              <w:ind w:firstLine="0" w:firstLineChars="0"/>
              <w:jc w:val="left"/>
              <w:rPr>
                <w:color w:val="auto"/>
                <w:szCs w:val="21"/>
                <w:highlight w:val="none"/>
              </w:rPr>
            </w:pPr>
            <w:r>
              <w:rPr>
                <w:rFonts w:hint="eastAsia"/>
                <w:color w:val="auto"/>
                <w:szCs w:val="21"/>
                <w:highlight w:val="none"/>
              </w:rPr>
              <w:t>（</w:t>
            </w:r>
            <w:r>
              <w:rPr>
                <w:rFonts w:hint="eastAsia"/>
                <w:color w:val="auto"/>
                <w:szCs w:val="21"/>
                <w:highlight w:val="none"/>
                <w:lang w:val="en-US" w:eastAsia="zh-CN"/>
              </w:rPr>
              <w:t>8</w:t>
            </w:r>
            <w:r>
              <w:rPr>
                <w:rFonts w:hint="eastAsia"/>
                <w:color w:val="auto"/>
                <w:szCs w:val="21"/>
                <w:highlight w:val="none"/>
              </w:rPr>
              <w:t>）投标文件中未出现有关投标报价的内容。</w:t>
            </w:r>
          </w:p>
          <w:p w14:paraId="4955D511">
            <w:pPr>
              <w:spacing w:line="440" w:lineRule="exact"/>
              <w:ind w:firstLine="0" w:firstLineChars="0"/>
              <w:jc w:val="left"/>
              <w:rPr>
                <w:color w:val="auto"/>
                <w:szCs w:val="21"/>
                <w:highlight w:val="none"/>
              </w:rPr>
            </w:pPr>
            <w:r>
              <w:rPr>
                <w:color w:val="auto"/>
                <w:szCs w:val="21"/>
                <w:highlight w:val="none"/>
              </w:rPr>
              <w:t>（</w:t>
            </w:r>
            <w:r>
              <w:rPr>
                <w:rFonts w:hint="eastAsia"/>
                <w:color w:val="auto"/>
                <w:szCs w:val="21"/>
                <w:highlight w:val="none"/>
                <w:lang w:val="en-US" w:eastAsia="zh-CN"/>
              </w:rPr>
              <w:t>9</w:t>
            </w:r>
            <w:r>
              <w:rPr>
                <w:color w:val="auto"/>
                <w:szCs w:val="21"/>
                <w:highlight w:val="none"/>
              </w:rPr>
              <w:t>）投标文件载明的招标项目完成期限未超过招标文件规定的时限</w:t>
            </w:r>
            <w:r>
              <w:rPr>
                <w:rFonts w:hint="eastAsia"/>
                <w:color w:val="auto"/>
                <w:szCs w:val="21"/>
                <w:highlight w:val="none"/>
              </w:rPr>
              <w:t>。</w:t>
            </w:r>
          </w:p>
          <w:p w14:paraId="159284D5">
            <w:pPr>
              <w:spacing w:line="440" w:lineRule="exact"/>
              <w:ind w:firstLine="0" w:firstLineChars="0"/>
              <w:jc w:val="left"/>
              <w:rPr>
                <w:color w:val="auto"/>
                <w:szCs w:val="21"/>
                <w:highlight w:val="none"/>
              </w:rPr>
            </w:pPr>
            <w:r>
              <w:rPr>
                <w:color w:val="auto"/>
                <w:szCs w:val="21"/>
                <w:highlight w:val="none"/>
              </w:rPr>
              <w:t>（</w:t>
            </w:r>
            <w:r>
              <w:rPr>
                <w:rFonts w:hint="eastAsia"/>
                <w:color w:val="auto"/>
                <w:szCs w:val="21"/>
                <w:highlight w:val="none"/>
              </w:rPr>
              <w:t>1</w:t>
            </w:r>
            <w:r>
              <w:rPr>
                <w:rFonts w:hint="eastAsia"/>
                <w:color w:val="auto"/>
                <w:szCs w:val="21"/>
                <w:highlight w:val="none"/>
                <w:lang w:val="en-US" w:eastAsia="zh-CN"/>
              </w:rPr>
              <w:t>0</w:t>
            </w:r>
            <w:r>
              <w:rPr>
                <w:color w:val="auto"/>
                <w:szCs w:val="21"/>
                <w:highlight w:val="none"/>
              </w:rPr>
              <w:t>）投标文件对招标文件的实质性要求和条件作出响应</w:t>
            </w:r>
            <w:r>
              <w:rPr>
                <w:rFonts w:hint="eastAsia"/>
                <w:color w:val="auto"/>
                <w:szCs w:val="21"/>
                <w:highlight w:val="none"/>
              </w:rPr>
              <w:t>。</w:t>
            </w:r>
          </w:p>
          <w:p w14:paraId="0B92E050">
            <w:pPr>
              <w:spacing w:line="440" w:lineRule="exact"/>
              <w:ind w:firstLine="0" w:firstLineChars="0"/>
              <w:jc w:val="left"/>
              <w:rPr>
                <w:color w:val="auto"/>
                <w:szCs w:val="21"/>
                <w:highlight w:val="none"/>
              </w:rPr>
            </w:pPr>
            <w:r>
              <w:rPr>
                <w:color w:val="auto"/>
                <w:szCs w:val="21"/>
                <w:highlight w:val="none"/>
              </w:rPr>
              <w:t>（</w:t>
            </w:r>
            <w:r>
              <w:rPr>
                <w:rFonts w:hint="eastAsia"/>
                <w:color w:val="auto"/>
                <w:szCs w:val="21"/>
                <w:highlight w:val="none"/>
              </w:rPr>
              <w:t>1</w:t>
            </w:r>
            <w:r>
              <w:rPr>
                <w:rFonts w:hint="eastAsia"/>
                <w:color w:val="auto"/>
                <w:szCs w:val="21"/>
                <w:highlight w:val="none"/>
                <w:lang w:val="en-US" w:eastAsia="zh-CN"/>
              </w:rPr>
              <w:t>1</w:t>
            </w:r>
            <w:r>
              <w:rPr>
                <w:color w:val="auto"/>
                <w:szCs w:val="21"/>
                <w:highlight w:val="none"/>
              </w:rPr>
              <w:t>）权利义务符合招标文件规定：</w:t>
            </w:r>
          </w:p>
          <w:p w14:paraId="3314524B">
            <w:pPr>
              <w:spacing w:line="440" w:lineRule="exact"/>
              <w:ind w:firstLine="0" w:firstLineChars="0"/>
              <w:jc w:val="left"/>
              <w:rPr>
                <w:color w:val="auto"/>
                <w:szCs w:val="21"/>
                <w:highlight w:val="none"/>
              </w:rPr>
            </w:pPr>
            <w:r>
              <w:rPr>
                <w:color w:val="auto"/>
                <w:szCs w:val="21"/>
                <w:highlight w:val="none"/>
              </w:rPr>
              <w:t>a.投标人应接受招标文件规定的风险划分原则，未提出新的风险划分办法；</w:t>
            </w:r>
          </w:p>
          <w:p w14:paraId="724F3D07">
            <w:pPr>
              <w:spacing w:line="440" w:lineRule="exact"/>
              <w:ind w:firstLine="0" w:firstLineChars="0"/>
              <w:jc w:val="left"/>
              <w:rPr>
                <w:color w:val="auto"/>
                <w:szCs w:val="21"/>
                <w:highlight w:val="none"/>
              </w:rPr>
            </w:pPr>
            <w:r>
              <w:rPr>
                <w:color w:val="auto"/>
                <w:szCs w:val="21"/>
                <w:highlight w:val="none"/>
              </w:rPr>
              <w:t>b.投标人未增加发包人的责任范围，或减少投标人义务；</w:t>
            </w:r>
          </w:p>
          <w:p w14:paraId="26B7E44C">
            <w:pPr>
              <w:spacing w:line="440" w:lineRule="exact"/>
              <w:ind w:firstLine="0" w:firstLineChars="0"/>
              <w:jc w:val="left"/>
              <w:rPr>
                <w:color w:val="auto"/>
                <w:szCs w:val="21"/>
                <w:highlight w:val="none"/>
              </w:rPr>
            </w:pPr>
            <w:r>
              <w:rPr>
                <w:color w:val="auto"/>
                <w:szCs w:val="21"/>
                <w:highlight w:val="none"/>
              </w:rPr>
              <w:t>c.投标人未提出不同的支付办法；</w:t>
            </w:r>
          </w:p>
          <w:p w14:paraId="278C1C32">
            <w:pPr>
              <w:spacing w:line="440" w:lineRule="exact"/>
              <w:ind w:firstLine="0" w:firstLineChars="0"/>
              <w:jc w:val="left"/>
              <w:rPr>
                <w:color w:val="auto"/>
                <w:szCs w:val="21"/>
                <w:highlight w:val="none"/>
              </w:rPr>
            </w:pPr>
            <w:r>
              <w:rPr>
                <w:color w:val="auto"/>
                <w:szCs w:val="21"/>
                <w:highlight w:val="none"/>
              </w:rPr>
              <w:t>d.投标人对合同纠纷、事故处理办法未提出异议；</w:t>
            </w:r>
          </w:p>
          <w:p w14:paraId="09FC17B5">
            <w:pPr>
              <w:spacing w:line="440" w:lineRule="exact"/>
              <w:ind w:firstLine="0" w:firstLineChars="0"/>
              <w:jc w:val="left"/>
              <w:rPr>
                <w:color w:val="auto"/>
                <w:szCs w:val="21"/>
                <w:highlight w:val="none"/>
              </w:rPr>
            </w:pPr>
            <w:r>
              <w:rPr>
                <w:color w:val="auto"/>
                <w:szCs w:val="21"/>
                <w:highlight w:val="none"/>
              </w:rPr>
              <w:t>e.投标人在投标活动中无欺诈行为；</w:t>
            </w:r>
          </w:p>
          <w:p w14:paraId="2488C6E3">
            <w:pPr>
              <w:spacing w:line="440" w:lineRule="exact"/>
              <w:ind w:firstLine="0" w:firstLineChars="0"/>
              <w:jc w:val="left"/>
              <w:rPr>
                <w:color w:val="auto"/>
                <w:szCs w:val="21"/>
                <w:highlight w:val="none"/>
              </w:rPr>
            </w:pPr>
            <w:r>
              <w:rPr>
                <w:color w:val="auto"/>
                <w:szCs w:val="21"/>
                <w:highlight w:val="none"/>
              </w:rPr>
              <w:t>f.投标人未对合同条款有重要保留。</w:t>
            </w:r>
          </w:p>
          <w:p w14:paraId="06F53DA2">
            <w:pPr>
              <w:spacing w:line="440" w:lineRule="exact"/>
              <w:ind w:firstLine="0" w:firstLineChars="0"/>
              <w:jc w:val="left"/>
              <w:rPr>
                <w:color w:val="auto"/>
                <w:szCs w:val="21"/>
                <w:highlight w:val="none"/>
              </w:rPr>
            </w:pPr>
            <w:r>
              <w:rPr>
                <w:color w:val="auto"/>
                <w:szCs w:val="21"/>
                <w:highlight w:val="none"/>
              </w:rPr>
              <w:t>（</w:t>
            </w:r>
            <w:r>
              <w:rPr>
                <w:rFonts w:hint="eastAsia"/>
                <w:color w:val="auto"/>
                <w:szCs w:val="21"/>
                <w:highlight w:val="none"/>
                <w:lang w:val="en-US" w:eastAsia="zh-CN"/>
              </w:rPr>
              <w:t>12</w:t>
            </w:r>
            <w:r>
              <w:rPr>
                <w:color w:val="auto"/>
                <w:szCs w:val="21"/>
                <w:highlight w:val="none"/>
              </w:rPr>
              <w:t>）</w:t>
            </w:r>
            <w:r>
              <w:rPr>
                <w:rFonts w:hint="eastAsia"/>
                <w:color w:val="auto"/>
                <w:szCs w:val="21"/>
                <w:highlight w:val="none"/>
              </w:rPr>
              <w:t>投标</w:t>
            </w:r>
            <w:r>
              <w:rPr>
                <w:color w:val="auto"/>
                <w:szCs w:val="21"/>
                <w:highlight w:val="none"/>
              </w:rPr>
              <w:t>文件正、副本份数符合</w:t>
            </w:r>
            <w:r>
              <w:rPr>
                <w:rFonts w:hint="eastAsia"/>
                <w:color w:val="auto"/>
                <w:szCs w:val="21"/>
                <w:highlight w:val="none"/>
              </w:rPr>
              <w:t>招标</w:t>
            </w:r>
            <w:r>
              <w:rPr>
                <w:color w:val="auto"/>
                <w:szCs w:val="21"/>
                <w:highlight w:val="none"/>
              </w:rPr>
              <w:t>文件第二章“</w:t>
            </w:r>
            <w:r>
              <w:rPr>
                <w:rFonts w:hint="eastAsia"/>
                <w:color w:val="auto"/>
                <w:szCs w:val="21"/>
                <w:highlight w:val="none"/>
              </w:rPr>
              <w:t>投标</w:t>
            </w:r>
            <w:r>
              <w:rPr>
                <w:color w:val="auto"/>
                <w:szCs w:val="21"/>
                <w:highlight w:val="none"/>
              </w:rPr>
              <w:t>人须知”第3.7.4项规定</w:t>
            </w:r>
            <w:r>
              <w:rPr>
                <w:rFonts w:hint="eastAsia"/>
                <w:color w:val="auto"/>
                <w:szCs w:val="21"/>
                <w:highlight w:val="none"/>
              </w:rPr>
              <w:t>。</w:t>
            </w:r>
          </w:p>
          <w:p w14:paraId="1C1EC5B2">
            <w:pPr>
              <w:spacing w:line="440" w:lineRule="exact"/>
              <w:ind w:firstLine="0" w:firstLineChars="0"/>
              <w:jc w:val="left"/>
              <w:rPr>
                <w:rFonts w:hint="eastAsia"/>
                <w:color w:val="auto"/>
                <w:szCs w:val="21"/>
                <w:highlight w:val="none"/>
              </w:rPr>
            </w:pPr>
            <w:r>
              <w:rPr>
                <w:color w:val="auto"/>
                <w:szCs w:val="21"/>
                <w:highlight w:val="none"/>
              </w:rPr>
              <w:t>（</w:t>
            </w:r>
            <w:r>
              <w:rPr>
                <w:rFonts w:hint="eastAsia"/>
                <w:color w:val="auto"/>
                <w:szCs w:val="21"/>
                <w:highlight w:val="none"/>
              </w:rPr>
              <w:t>1</w:t>
            </w:r>
            <w:r>
              <w:rPr>
                <w:rFonts w:hint="eastAsia"/>
                <w:color w:val="auto"/>
                <w:szCs w:val="21"/>
                <w:highlight w:val="none"/>
                <w:lang w:val="en-US" w:eastAsia="zh-CN"/>
              </w:rPr>
              <w:t>3</w:t>
            </w:r>
            <w:r>
              <w:rPr>
                <w:color w:val="auto"/>
                <w:szCs w:val="21"/>
                <w:highlight w:val="none"/>
              </w:rPr>
              <w:t>）投标文件未附有招标人不能接受的条件</w:t>
            </w:r>
            <w:r>
              <w:rPr>
                <w:rFonts w:hint="eastAsia"/>
                <w:color w:val="auto"/>
                <w:szCs w:val="21"/>
                <w:highlight w:val="none"/>
              </w:rPr>
              <w:t>。</w:t>
            </w:r>
          </w:p>
          <w:p w14:paraId="368F12E7">
            <w:pPr>
              <w:spacing w:line="440" w:lineRule="exact"/>
              <w:ind w:firstLine="0" w:firstLineChars="0"/>
              <w:jc w:val="left"/>
              <w:rPr>
                <w:b/>
                <w:bCs/>
                <w:color w:val="auto"/>
                <w:szCs w:val="21"/>
                <w:highlight w:val="none"/>
              </w:rPr>
            </w:pPr>
            <w:r>
              <w:rPr>
                <w:rFonts w:hint="eastAsia"/>
                <w:b/>
                <w:bCs/>
                <w:color w:val="auto"/>
                <w:szCs w:val="21"/>
                <w:highlight w:val="none"/>
              </w:rPr>
              <w:t>第二个信封（报价文件）评审标准：</w:t>
            </w:r>
          </w:p>
          <w:p w14:paraId="2AF264AD">
            <w:pPr>
              <w:spacing w:line="440" w:lineRule="exact"/>
              <w:ind w:firstLine="0" w:firstLineChars="0"/>
              <w:jc w:val="left"/>
              <w:rPr>
                <w:color w:val="auto"/>
                <w:szCs w:val="21"/>
                <w:highlight w:val="none"/>
              </w:rPr>
            </w:pPr>
            <w:r>
              <w:rPr>
                <w:color w:val="auto"/>
                <w:szCs w:val="21"/>
                <w:highlight w:val="none"/>
              </w:rPr>
              <w:t>（1）投标文件按照招标文件规定的格式、内容填写，字迹清晰可辨</w:t>
            </w:r>
            <w:r>
              <w:rPr>
                <w:rFonts w:hint="eastAsia"/>
                <w:color w:val="auto"/>
                <w:szCs w:val="21"/>
                <w:highlight w:val="none"/>
              </w:rPr>
              <w:t>，内容齐全完整</w:t>
            </w:r>
            <w:r>
              <w:rPr>
                <w:color w:val="auto"/>
                <w:szCs w:val="21"/>
                <w:highlight w:val="none"/>
              </w:rPr>
              <w:t>：</w:t>
            </w:r>
          </w:p>
          <w:p w14:paraId="1BAA1C25">
            <w:pPr>
              <w:spacing w:line="440" w:lineRule="exact"/>
              <w:ind w:firstLine="0" w:firstLineChars="0"/>
              <w:jc w:val="left"/>
              <w:rPr>
                <w:color w:val="auto"/>
                <w:szCs w:val="21"/>
                <w:highlight w:val="none"/>
              </w:rPr>
            </w:pPr>
            <w:r>
              <w:rPr>
                <w:rFonts w:hint="eastAsia"/>
                <w:color w:val="auto"/>
                <w:szCs w:val="21"/>
                <w:highlight w:val="none"/>
              </w:rPr>
              <w:t>a.投标</w:t>
            </w:r>
            <w:r>
              <w:rPr>
                <w:color w:val="auto"/>
                <w:szCs w:val="21"/>
                <w:highlight w:val="none"/>
              </w:rPr>
              <w:t>函按招标文件规定填报了</w:t>
            </w:r>
            <w:r>
              <w:rPr>
                <w:rFonts w:hint="eastAsia"/>
                <w:color w:val="auto"/>
                <w:szCs w:val="21"/>
                <w:highlight w:val="none"/>
              </w:rPr>
              <w:t>项目名称、标段号</w:t>
            </w:r>
            <w:r>
              <w:rPr>
                <w:rFonts w:hint="eastAsia"/>
                <w:color w:val="auto"/>
                <w:szCs w:val="21"/>
                <w:highlight w:val="none"/>
                <w:lang w:eastAsia="zh-CN"/>
              </w:rPr>
              <w:t>（</w:t>
            </w:r>
            <w:r>
              <w:rPr>
                <w:rFonts w:hint="eastAsia"/>
                <w:color w:val="auto"/>
                <w:szCs w:val="21"/>
                <w:highlight w:val="none"/>
                <w:lang w:val="en-US" w:eastAsia="zh-CN"/>
              </w:rPr>
              <w:t>如有</w:t>
            </w:r>
            <w:r>
              <w:rPr>
                <w:rFonts w:hint="eastAsia"/>
                <w:color w:val="auto"/>
                <w:szCs w:val="21"/>
                <w:highlight w:val="none"/>
                <w:lang w:eastAsia="zh-CN"/>
              </w:rPr>
              <w:t>）</w:t>
            </w:r>
            <w:r>
              <w:rPr>
                <w:rFonts w:hint="eastAsia"/>
                <w:color w:val="auto"/>
                <w:szCs w:val="21"/>
                <w:highlight w:val="none"/>
              </w:rPr>
              <w:t>、</w:t>
            </w:r>
            <w:r>
              <w:rPr>
                <w:color w:val="auto"/>
                <w:szCs w:val="21"/>
                <w:highlight w:val="none"/>
              </w:rPr>
              <w:t>投标</w:t>
            </w:r>
            <w:r>
              <w:rPr>
                <w:rFonts w:hint="eastAsia"/>
                <w:color w:val="auto"/>
                <w:szCs w:val="21"/>
                <w:highlight w:val="none"/>
              </w:rPr>
              <w:t>总报</w:t>
            </w:r>
            <w:r>
              <w:rPr>
                <w:color w:val="auto"/>
                <w:szCs w:val="21"/>
                <w:highlight w:val="none"/>
              </w:rPr>
              <w:t>价</w:t>
            </w:r>
            <w:r>
              <w:rPr>
                <w:rFonts w:hint="eastAsia"/>
                <w:color w:val="auto"/>
                <w:szCs w:val="21"/>
                <w:highlight w:val="none"/>
              </w:rPr>
              <w:t>（包括大写金额和小写金额）</w:t>
            </w:r>
            <w:r>
              <w:rPr>
                <w:color w:val="auto"/>
                <w:szCs w:val="21"/>
                <w:highlight w:val="none"/>
              </w:rPr>
              <w:t>；</w:t>
            </w:r>
          </w:p>
          <w:p w14:paraId="72D3EB69">
            <w:pPr>
              <w:spacing w:line="440" w:lineRule="exact"/>
              <w:ind w:firstLine="0" w:firstLineChars="0"/>
              <w:jc w:val="left"/>
              <w:rPr>
                <w:color w:val="auto"/>
                <w:szCs w:val="21"/>
                <w:highlight w:val="none"/>
              </w:rPr>
            </w:pPr>
            <w:r>
              <w:rPr>
                <w:color w:val="auto"/>
                <w:szCs w:val="21"/>
                <w:highlight w:val="none"/>
              </w:rPr>
              <w:t>b.已标价报价清单说明文字与招标文件规定一致，</w:t>
            </w:r>
            <w:r>
              <w:rPr>
                <w:rFonts w:hint="eastAsia"/>
                <w:color w:val="auto"/>
                <w:szCs w:val="21"/>
                <w:highlight w:val="none"/>
              </w:rPr>
              <w:t>未</w:t>
            </w:r>
            <w:r>
              <w:rPr>
                <w:color w:val="auto"/>
                <w:szCs w:val="21"/>
                <w:highlight w:val="none"/>
              </w:rPr>
              <w:t>进行实质性修改和删减</w:t>
            </w:r>
            <w:r>
              <w:rPr>
                <w:rFonts w:hint="eastAsia"/>
                <w:color w:val="auto"/>
                <w:szCs w:val="21"/>
                <w:highlight w:val="none"/>
              </w:rPr>
              <w:t>；</w:t>
            </w:r>
          </w:p>
          <w:p w14:paraId="3EDD5ECA">
            <w:pPr>
              <w:spacing w:line="440" w:lineRule="exact"/>
              <w:ind w:firstLine="0" w:firstLineChars="0"/>
              <w:jc w:val="left"/>
              <w:rPr>
                <w:color w:val="auto"/>
                <w:szCs w:val="21"/>
                <w:highlight w:val="none"/>
              </w:rPr>
            </w:pPr>
            <w:r>
              <w:rPr>
                <w:color w:val="auto"/>
                <w:szCs w:val="21"/>
                <w:highlight w:val="none"/>
              </w:rPr>
              <w:t>c.投标文件组成齐全完整，内容均按规定填写</w:t>
            </w:r>
            <w:r>
              <w:rPr>
                <w:rFonts w:hint="eastAsia"/>
                <w:color w:val="auto"/>
                <w:szCs w:val="21"/>
                <w:highlight w:val="none"/>
              </w:rPr>
              <w:t>。</w:t>
            </w:r>
          </w:p>
          <w:p w14:paraId="52094FB7">
            <w:pPr>
              <w:spacing w:line="440" w:lineRule="exact"/>
              <w:ind w:firstLine="0" w:firstLineChars="0"/>
              <w:jc w:val="left"/>
              <w:rPr>
                <w:color w:val="auto"/>
                <w:szCs w:val="21"/>
                <w:highlight w:val="none"/>
              </w:rPr>
            </w:pPr>
            <w:r>
              <w:rPr>
                <w:color w:val="auto"/>
                <w:szCs w:val="21"/>
                <w:highlight w:val="none"/>
              </w:rPr>
              <w:t>（2）投标文件上法定代表人或其</w:t>
            </w:r>
            <w:r>
              <w:rPr>
                <w:rFonts w:hint="eastAsia"/>
                <w:color w:val="auto"/>
                <w:szCs w:val="21"/>
                <w:highlight w:val="none"/>
              </w:rPr>
              <w:t>委托</w:t>
            </w:r>
            <w:r>
              <w:rPr>
                <w:color w:val="auto"/>
                <w:szCs w:val="21"/>
                <w:highlight w:val="none"/>
              </w:rPr>
              <w:t>代理人的签字、投标人的单位章盖章齐全，符合招标文件规定</w:t>
            </w:r>
            <w:r>
              <w:rPr>
                <w:rFonts w:hint="eastAsia"/>
                <w:color w:val="auto"/>
                <w:szCs w:val="21"/>
                <w:highlight w:val="none"/>
              </w:rPr>
              <w:t>。</w:t>
            </w:r>
          </w:p>
          <w:p w14:paraId="14824257">
            <w:pPr>
              <w:spacing w:line="440" w:lineRule="exact"/>
              <w:ind w:firstLine="0" w:firstLineChars="0"/>
              <w:jc w:val="left"/>
              <w:rPr>
                <w:color w:val="auto"/>
                <w:szCs w:val="21"/>
                <w:highlight w:val="none"/>
              </w:rPr>
            </w:pPr>
            <w:r>
              <w:rPr>
                <w:rFonts w:hint="eastAsia"/>
                <w:color w:val="auto"/>
                <w:szCs w:val="21"/>
                <w:highlight w:val="none"/>
              </w:rPr>
              <w:t>（3）投标</w:t>
            </w:r>
            <w:r>
              <w:rPr>
                <w:rFonts w:hint="eastAsia"/>
                <w:color w:val="auto"/>
                <w:szCs w:val="21"/>
                <w:highlight w:val="none"/>
                <w:lang w:val="en-US" w:eastAsia="zh-CN"/>
              </w:rPr>
              <w:t>总</w:t>
            </w:r>
            <w:r>
              <w:rPr>
                <w:rFonts w:hint="eastAsia"/>
                <w:color w:val="auto"/>
                <w:szCs w:val="21"/>
                <w:highlight w:val="none"/>
              </w:rPr>
              <w:t>报价未超过招标文件设定的最高投标限价（如有）及最高评标限价（如有）。</w:t>
            </w:r>
          </w:p>
          <w:p w14:paraId="798B45ED">
            <w:pPr>
              <w:spacing w:line="440" w:lineRule="exact"/>
              <w:ind w:firstLine="0" w:firstLineChars="0"/>
              <w:jc w:val="left"/>
              <w:rPr>
                <w:color w:val="auto"/>
                <w:szCs w:val="21"/>
                <w:highlight w:val="none"/>
              </w:rPr>
            </w:pPr>
            <w:r>
              <w:rPr>
                <w:rFonts w:hint="eastAsia"/>
                <w:color w:val="auto"/>
                <w:szCs w:val="21"/>
                <w:highlight w:val="none"/>
              </w:rPr>
              <w:t>（4）投标总报价的</w:t>
            </w:r>
            <w:r>
              <w:rPr>
                <w:color w:val="auto"/>
                <w:szCs w:val="21"/>
                <w:highlight w:val="none"/>
              </w:rPr>
              <w:t>大写金额</w:t>
            </w:r>
            <w:r>
              <w:rPr>
                <w:rFonts w:hint="eastAsia"/>
                <w:color w:val="auto"/>
                <w:szCs w:val="21"/>
                <w:highlight w:val="none"/>
              </w:rPr>
              <w:t>能够确定</w:t>
            </w:r>
            <w:r>
              <w:rPr>
                <w:color w:val="auto"/>
                <w:szCs w:val="21"/>
                <w:highlight w:val="none"/>
              </w:rPr>
              <w:t>具体数值</w:t>
            </w:r>
            <w:r>
              <w:rPr>
                <w:rFonts w:hint="eastAsia"/>
                <w:color w:val="auto"/>
                <w:szCs w:val="21"/>
                <w:highlight w:val="none"/>
              </w:rPr>
              <w:t>。</w:t>
            </w:r>
          </w:p>
          <w:p w14:paraId="550BBAA3">
            <w:pPr>
              <w:spacing w:line="440" w:lineRule="exact"/>
              <w:ind w:firstLine="0" w:firstLineChars="0"/>
              <w:jc w:val="left"/>
              <w:rPr>
                <w:color w:val="auto"/>
                <w:szCs w:val="21"/>
                <w:highlight w:val="none"/>
              </w:rPr>
            </w:pPr>
            <w:r>
              <w:rPr>
                <w:color w:val="auto"/>
                <w:szCs w:val="21"/>
                <w:highlight w:val="none"/>
              </w:rPr>
              <w:t>（</w:t>
            </w:r>
            <w:r>
              <w:rPr>
                <w:rFonts w:hint="eastAsia"/>
                <w:color w:val="auto"/>
                <w:szCs w:val="21"/>
                <w:highlight w:val="none"/>
              </w:rPr>
              <w:t>5</w:t>
            </w:r>
            <w:r>
              <w:rPr>
                <w:color w:val="auto"/>
                <w:szCs w:val="21"/>
                <w:highlight w:val="none"/>
              </w:rPr>
              <w:t>）同一投标人</w:t>
            </w:r>
            <w:r>
              <w:rPr>
                <w:rFonts w:hint="eastAsia"/>
                <w:color w:val="auto"/>
                <w:szCs w:val="21"/>
                <w:highlight w:val="none"/>
              </w:rPr>
              <w:t>未</w:t>
            </w:r>
            <w:r>
              <w:rPr>
                <w:color w:val="auto"/>
                <w:szCs w:val="21"/>
                <w:highlight w:val="none"/>
              </w:rPr>
              <w:t>提交两个以上不同的投标报价，但招标文件要求提交备选投标的除外</w:t>
            </w:r>
            <w:r>
              <w:rPr>
                <w:rFonts w:hint="eastAsia"/>
                <w:color w:val="auto"/>
                <w:szCs w:val="21"/>
                <w:highlight w:val="none"/>
              </w:rPr>
              <w:t>。</w:t>
            </w:r>
          </w:p>
          <w:p w14:paraId="7525086D">
            <w:pPr>
              <w:spacing w:line="440" w:lineRule="exact"/>
              <w:ind w:firstLine="0" w:firstLineChars="0"/>
              <w:jc w:val="left"/>
              <w:rPr>
                <w:rFonts w:hint="eastAsia"/>
                <w:color w:val="auto"/>
                <w:szCs w:val="21"/>
                <w:highlight w:val="none"/>
              </w:rPr>
            </w:pPr>
            <w:r>
              <w:rPr>
                <w:color w:val="auto"/>
                <w:szCs w:val="21"/>
                <w:highlight w:val="none"/>
              </w:rPr>
              <w:t>（</w:t>
            </w:r>
            <w:r>
              <w:rPr>
                <w:rFonts w:hint="eastAsia"/>
                <w:color w:val="auto"/>
                <w:szCs w:val="21"/>
                <w:highlight w:val="none"/>
              </w:rPr>
              <w:t>6</w:t>
            </w:r>
            <w:r>
              <w:rPr>
                <w:color w:val="auto"/>
                <w:szCs w:val="21"/>
                <w:highlight w:val="none"/>
              </w:rPr>
              <w:t>）</w:t>
            </w:r>
            <w:r>
              <w:rPr>
                <w:rFonts w:hint="eastAsia"/>
                <w:color w:val="auto"/>
                <w:szCs w:val="21"/>
                <w:highlight w:val="none"/>
              </w:rPr>
              <w:t>投标</w:t>
            </w:r>
            <w:r>
              <w:rPr>
                <w:color w:val="auto"/>
                <w:szCs w:val="21"/>
                <w:highlight w:val="none"/>
              </w:rPr>
              <w:t>文件正、副本份数符合</w:t>
            </w:r>
            <w:r>
              <w:rPr>
                <w:rFonts w:hint="eastAsia"/>
                <w:color w:val="auto"/>
                <w:szCs w:val="21"/>
                <w:highlight w:val="none"/>
              </w:rPr>
              <w:t>招标</w:t>
            </w:r>
            <w:r>
              <w:rPr>
                <w:color w:val="auto"/>
                <w:szCs w:val="21"/>
                <w:highlight w:val="none"/>
              </w:rPr>
              <w:t>文件第二章“</w:t>
            </w:r>
            <w:r>
              <w:rPr>
                <w:rFonts w:hint="eastAsia"/>
                <w:color w:val="auto"/>
                <w:szCs w:val="21"/>
                <w:highlight w:val="none"/>
              </w:rPr>
              <w:t>投标</w:t>
            </w:r>
            <w:r>
              <w:rPr>
                <w:color w:val="auto"/>
                <w:szCs w:val="21"/>
                <w:highlight w:val="none"/>
              </w:rPr>
              <w:t>人须知”第3.7.4项规定</w:t>
            </w:r>
            <w:r>
              <w:rPr>
                <w:rFonts w:hint="eastAsia"/>
                <w:color w:val="auto"/>
                <w:szCs w:val="21"/>
                <w:highlight w:val="none"/>
              </w:rPr>
              <w:t>。</w:t>
            </w:r>
          </w:p>
        </w:tc>
      </w:tr>
      <w:tr w14:paraId="6C07FE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19" w:hRule="atLeast"/>
        </w:trPr>
        <w:tc>
          <w:tcPr>
            <w:tcW w:w="975" w:type="dxa"/>
            <w:noWrap w:val="0"/>
            <w:vAlign w:val="center"/>
          </w:tcPr>
          <w:p w14:paraId="0DF261E0">
            <w:pPr>
              <w:spacing w:line="380" w:lineRule="exact"/>
              <w:ind w:firstLine="0" w:firstLineChars="0"/>
              <w:jc w:val="center"/>
              <w:rPr>
                <w:rFonts w:hint="eastAsia"/>
                <w:color w:val="auto"/>
                <w:szCs w:val="21"/>
                <w:highlight w:val="none"/>
              </w:rPr>
            </w:pPr>
            <w:r>
              <w:rPr>
                <w:color w:val="auto"/>
                <w:szCs w:val="21"/>
                <w:highlight w:val="none"/>
              </w:rPr>
              <w:t>2.1.2</w:t>
            </w:r>
          </w:p>
        </w:tc>
        <w:tc>
          <w:tcPr>
            <w:tcW w:w="1185" w:type="dxa"/>
            <w:noWrap w:val="0"/>
            <w:vAlign w:val="center"/>
          </w:tcPr>
          <w:p w14:paraId="736AC454">
            <w:pPr>
              <w:spacing w:line="380" w:lineRule="exact"/>
              <w:ind w:firstLine="0" w:firstLineChars="0"/>
              <w:jc w:val="center"/>
              <w:rPr>
                <w:rFonts w:hint="eastAsia"/>
                <w:color w:val="auto"/>
                <w:szCs w:val="21"/>
                <w:highlight w:val="none"/>
              </w:rPr>
            </w:pPr>
            <w:r>
              <w:rPr>
                <w:color w:val="auto"/>
                <w:szCs w:val="21"/>
                <w:highlight w:val="none"/>
              </w:rPr>
              <w:t>资格评审标准</w:t>
            </w:r>
          </w:p>
        </w:tc>
        <w:tc>
          <w:tcPr>
            <w:tcW w:w="7270" w:type="dxa"/>
            <w:noWrap w:val="0"/>
            <w:vAlign w:val="center"/>
          </w:tcPr>
          <w:p w14:paraId="429D2CC1">
            <w:pPr>
              <w:spacing w:line="440" w:lineRule="exact"/>
              <w:ind w:firstLine="0" w:firstLineChars="0"/>
              <w:rPr>
                <w:color w:val="auto"/>
                <w:highlight w:val="none"/>
              </w:rPr>
            </w:pPr>
            <w:r>
              <w:rPr>
                <w:color w:val="auto"/>
                <w:highlight w:val="none"/>
              </w:rPr>
              <w:t>（1）</w:t>
            </w:r>
            <w:r>
              <w:rPr>
                <w:rFonts w:hint="eastAsia"/>
                <w:color w:val="auto"/>
                <w:highlight w:val="none"/>
              </w:rPr>
              <w:t>投标人具备有效的营业执照（或事业单位法人证书）和基本账户开户许可证（如企业所在地已取消企业银行账户许可而无法提供开户许可证的，则需附上开户银行出具的“基本存款账户信息”或“人民银行账户管理系统查询的基本账户信息截图”）。</w:t>
            </w:r>
          </w:p>
          <w:p w14:paraId="6F17449E">
            <w:pPr>
              <w:spacing w:line="440" w:lineRule="exact"/>
              <w:ind w:firstLine="0" w:firstLineChars="0"/>
              <w:rPr>
                <w:color w:val="auto"/>
                <w:highlight w:val="none"/>
              </w:rPr>
            </w:pPr>
            <w:r>
              <w:rPr>
                <w:color w:val="auto"/>
                <w:highlight w:val="none"/>
              </w:rPr>
              <w:t>（2）投标人的资质等级符合招标文件</w:t>
            </w:r>
            <w:r>
              <w:rPr>
                <w:rFonts w:hint="eastAsia"/>
                <w:color w:val="auto"/>
                <w:highlight w:val="none"/>
              </w:rPr>
              <w:t>规定。</w:t>
            </w:r>
          </w:p>
          <w:p w14:paraId="03F5239E">
            <w:pPr>
              <w:spacing w:line="440" w:lineRule="exact"/>
              <w:ind w:firstLine="0" w:firstLineChars="0"/>
              <w:rPr>
                <w:color w:val="auto"/>
                <w:highlight w:val="none"/>
              </w:rPr>
            </w:pPr>
            <w:r>
              <w:rPr>
                <w:rFonts w:hint="eastAsia"/>
                <w:color w:val="auto"/>
                <w:highlight w:val="none"/>
              </w:rPr>
              <w:t>（</w:t>
            </w:r>
            <w:r>
              <w:rPr>
                <w:color w:val="auto"/>
                <w:highlight w:val="none"/>
              </w:rPr>
              <w:t>3</w:t>
            </w:r>
            <w:r>
              <w:rPr>
                <w:rFonts w:hint="eastAsia"/>
                <w:color w:val="auto"/>
                <w:highlight w:val="none"/>
              </w:rPr>
              <w:t>）</w:t>
            </w:r>
            <w:r>
              <w:rPr>
                <w:color w:val="auto"/>
                <w:highlight w:val="none"/>
              </w:rPr>
              <w:t>投标人的业绩符合招标文件规定</w:t>
            </w:r>
            <w:r>
              <w:rPr>
                <w:rFonts w:hint="eastAsia"/>
                <w:color w:val="auto"/>
                <w:highlight w:val="none"/>
              </w:rPr>
              <w:t>。</w:t>
            </w:r>
          </w:p>
          <w:p w14:paraId="56EEBED4">
            <w:pPr>
              <w:spacing w:line="440" w:lineRule="exact"/>
              <w:ind w:firstLine="0" w:firstLineChars="0"/>
              <w:rPr>
                <w:color w:val="auto"/>
                <w:highlight w:val="none"/>
              </w:rPr>
            </w:pPr>
            <w:r>
              <w:rPr>
                <w:color w:val="auto"/>
                <w:highlight w:val="none"/>
              </w:rPr>
              <w:t>（4）投标人的信誉符合招标文件规定</w:t>
            </w:r>
            <w:r>
              <w:rPr>
                <w:rFonts w:hint="eastAsia"/>
                <w:color w:val="auto"/>
                <w:highlight w:val="none"/>
              </w:rPr>
              <w:t>。</w:t>
            </w:r>
          </w:p>
          <w:p w14:paraId="498FABBE">
            <w:pPr>
              <w:spacing w:line="440" w:lineRule="exact"/>
              <w:ind w:firstLine="0" w:firstLineChars="0"/>
              <w:rPr>
                <w:color w:val="auto"/>
                <w:highlight w:val="none"/>
              </w:rPr>
            </w:pPr>
            <w:r>
              <w:rPr>
                <w:color w:val="auto"/>
                <w:highlight w:val="none"/>
              </w:rPr>
              <w:t>（5）投标人的</w:t>
            </w:r>
            <w:r>
              <w:rPr>
                <w:rFonts w:hint="eastAsia"/>
                <w:color w:val="auto"/>
                <w:highlight w:val="none"/>
                <w:lang w:val="en-US" w:eastAsia="zh-CN"/>
              </w:rPr>
              <w:t>主要</w:t>
            </w:r>
            <w:r>
              <w:rPr>
                <w:rFonts w:hint="eastAsia"/>
                <w:color w:val="auto"/>
                <w:highlight w:val="none"/>
              </w:rPr>
              <w:t>人员</w:t>
            </w:r>
            <w:r>
              <w:rPr>
                <w:color w:val="auto"/>
                <w:highlight w:val="none"/>
              </w:rPr>
              <w:t>资格符合招标文件规定</w:t>
            </w:r>
            <w:r>
              <w:rPr>
                <w:rFonts w:hint="eastAsia"/>
                <w:color w:val="auto"/>
                <w:highlight w:val="none"/>
              </w:rPr>
              <w:t>。</w:t>
            </w:r>
          </w:p>
          <w:p w14:paraId="78249AF4">
            <w:pPr>
              <w:spacing w:line="440" w:lineRule="exact"/>
              <w:ind w:firstLine="0" w:firstLineChars="0"/>
              <w:rPr>
                <w:color w:val="auto"/>
                <w:highlight w:val="none"/>
              </w:rPr>
            </w:pPr>
            <w:r>
              <w:rPr>
                <w:color w:val="auto"/>
                <w:highlight w:val="none"/>
              </w:rPr>
              <w:t>（6）投标人的其他要求符合招标文件规定</w:t>
            </w:r>
            <w:r>
              <w:rPr>
                <w:rFonts w:hint="eastAsia"/>
                <w:color w:val="auto"/>
                <w:highlight w:val="none"/>
              </w:rPr>
              <w:t>。</w:t>
            </w:r>
          </w:p>
          <w:p w14:paraId="7E92C311">
            <w:pPr>
              <w:spacing w:line="440" w:lineRule="exact"/>
              <w:ind w:firstLine="0" w:firstLineChars="0"/>
              <w:rPr>
                <w:rFonts w:hint="eastAsia"/>
                <w:color w:val="auto"/>
                <w:highlight w:val="none"/>
              </w:rPr>
            </w:pPr>
            <w:r>
              <w:rPr>
                <w:color w:val="auto"/>
                <w:highlight w:val="none"/>
              </w:rPr>
              <w:t>（7）投标人不存在第二章</w:t>
            </w:r>
            <w:r>
              <w:rPr>
                <w:rFonts w:hint="eastAsia"/>
                <w:color w:val="auto"/>
                <w:highlight w:val="none"/>
              </w:rPr>
              <w:t>“</w:t>
            </w:r>
            <w:r>
              <w:rPr>
                <w:color w:val="auto"/>
                <w:highlight w:val="none"/>
              </w:rPr>
              <w:t>投标人须知</w:t>
            </w:r>
            <w:r>
              <w:rPr>
                <w:rFonts w:hint="eastAsia"/>
                <w:color w:val="auto"/>
                <w:highlight w:val="none"/>
              </w:rPr>
              <w:t>”</w:t>
            </w:r>
            <w:r>
              <w:rPr>
                <w:color w:val="auto"/>
                <w:highlight w:val="none"/>
              </w:rPr>
              <w:t>第1.4.3项</w:t>
            </w:r>
            <w:r>
              <w:rPr>
                <w:rFonts w:hint="eastAsia"/>
                <w:color w:val="auto"/>
                <w:highlight w:val="none"/>
              </w:rPr>
              <w:t>或第</w:t>
            </w:r>
            <w:r>
              <w:rPr>
                <w:color w:val="auto"/>
                <w:highlight w:val="none"/>
              </w:rPr>
              <w:t>1.4.</w:t>
            </w:r>
            <w:r>
              <w:rPr>
                <w:rFonts w:hint="eastAsia"/>
                <w:color w:val="auto"/>
                <w:highlight w:val="none"/>
              </w:rPr>
              <w:t>4</w:t>
            </w:r>
            <w:r>
              <w:rPr>
                <w:color w:val="auto"/>
                <w:highlight w:val="none"/>
              </w:rPr>
              <w:t>项规定的任何一种情形</w:t>
            </w:r>
            <w:r>
              <w:rPr>
                <w:rFonts w:hint="eastAsia"/>
                <w:color w:val="auto"/>
                <w:highlight w:val="none"/>
              </w:rPr>
              <w:t>。</w:t>
            </w:r>
          </w:p>
          <w:p w14:paraId="2CED58D2">
            <w:pPr>
              <w:spacing w:line="440" w:lineRule="exact"/>
              <w:ind w:firstLine="0" w:firstLineChars="0"/>
              <w:rPr>
                <w:rFonts w:hint="eastAsia"/>
                <w:color w:val="auto"/>
                <w:highlight w:val="none"/>
              </w:rPr>
            </w:pPr>
            <w:r>
              <w:rPr>
                <w:rFonts w:hint="eastAsia"/>
                <w:color w:val="auto"/>
                <w:highlight w:val="none"/>
              </w:rPr>
              <w:t>（8）以联合体形式参与投标的，联合体各方均未再以自己名义单独或参加其他联合体在同一标段中投标；独立参与投标的，投标人未同时参加联合体在同一标段中投标。</w:t>
            </w:r>
          </w:p>
        </w:tc>
      </w:tr>
      <w:tr w14:paraId="146EF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975" w:type="dxa"/>
            <w:noWrap w:val="0"/>
            <w:vAlign w:val="center"/>
          </w:tcPr>
          <w:p w14:paraId="6399DCFB">
            <w:pPr>
              <w:spacing w:line="380" w:lineRule="exact"/>
              <w:ind w:firstLine="0" w:firstLineChars="0"/>
              <w:jc w:val="center"/>
              <w:rPr>
                <w:rFonts w:hint="eastAsia"/>
                <w:color w:val="auto"/>
                <w:szCs w:val="21"/>
                <w:highlight w:val="none"/>
              </w:rPr>
            </w:pPr>
            <w:r>
              <w:rPr>
                <w:rFonts w:hint="eastAsia"/>
                <w:color w:val="auto"/>
                <w:highlight w:val="none"/>
              </w:rPr>
              <w:t>2.2.1</w:t>
            </w:r>
          </w:p>
        </w:tc>
        <w:tc>
          <w:tcPr>
            <w:tcW w:w="1185" w:type="dxa"/>
            <w:noWrap w:val="0"/>
            <w:vAlign w:val="center"/>
          </w:tcPr>
          <w:p w14:paraId="7C1F8821">
            <w:pPr>
              <w:spacing w:line="380" w:lineRule="atLeast"/>
              <w:ind w:firstLine="0" w:firstLineChars="0"/>
              <w:jc w:val="center"/>
              <w:rPr>
                <w:color w:val="auto"/>
                <w:szCs w:val="21"/>
                <w:highlight w:val="none"/>
              </w:rPr>
            </w:pPr>
            <w:r>
              <w:rPr>
                <w:color w:val="auto"/>
                <w:szCs w:val="21"/>
                <w:highlight w:val="none"/>
              </w:rPr>
              <w:t>分值构成</w:t>
            </w:r>
          </w:p>
          <w:p w14:paraId="1B17966A">
            <w:pPr>
              <w:spacing w:line="380" w:lineRule="exact"/>
              <w:ind w:firstLine="0" w:firstLineChars="0"/>
              <w:jc w:val="center"/>
              <w:rPr>
                <w:rFonts w:hint="eastAsia"/>
                <w:color w:val="auto"/>
                <w:szCs w:val="21"/>
                <w:highlight w:val="none"/>
              </w:rPr>
            </w:pPr>
            <w:r>
              <w:rPr>
                <w:color w:val="auto"/>
                <w:szCs w:val="21"/>
                <w:highlight w:val="none"/>
              </w:rPr>
              <w:t>（总分100分）</w:t>
            </w:r>
          </w:p>
        </w:tc>
        <w:tc>
          <w:tcPr>
            <w:tcW w:w="7270" w:type="dxa"/>
            <w:noWrap w:val="0"/>
            <w:vAlign w:val="center"/>
          </w:tcPr>
          <w:p w14:paraId="03C2CA30">
            <w:pPr>
              <w:spacing w:line="440" w:lineRule="exact"/>
              <w:ind w:firstLine="0" w:firstLineChars="0"/>
              <w:contextualSpacing/>
              <w:rPr>
                <w:b/>
                <w:color w:val="auto"/>
                <w:highlight w:val="none"/>
              </w:rPr>
            </w:pPr>
            <w:r>
              <w:rPr>
                <w:rFonts w:hint="eastAsia"/>
                <w:b/>
                <w:bCs/>
                <w:color w:val="auto"/>
                <w:szCs w:val="21"/>
                <w:highlight w:val="none"/>
              </w:rPr>
              <w:t>第一个信封（商务及技术文件）评分分值构成：</w:t>
            </w:r>
          </w:p>
          <w:p w14:paraId="6ED2C748">
            <w:pPr>
              <w:spacing w:line="440" w:lineRule="exact"/>
              <w:ind w:firstLine="0" w:firstLineChars="0"/>
              <w:contextualSpacing/>
              <w:rPr>
                <w:rFonts w:hint="eastAsia"/>
                <w:color w:val="auto"/>
                <w:szCs w:val="21"/>
                <w:highlight w:val="none"/>
              </w:rPr>
            </w:pPr>
            <w:r>
              <w:rPr>
                <w:rFonts w:hint="eastAsia"/>
                <w:color w:val="auto"/>
                <w:szCs w:val="21"/>
                <w:highlight w:val="none"/>
              </w:rPr>
              <w:t>分值构成：</w:t>
            </w:r>
          </w:p>
          <w:p w14:paraId="1F859EA7">
            <w:pPr>
              <w:spacing w:line="440" w:lineRule="exact"/>
              <w:ind w:firstLine="0" w:firstLineChars="0"/>
              <w:contextualSpacing/>
              <w:rPr>
                <w:color w:val="auto"/>
                <w:szCs w:val="21"/>
                <w:highlight w:val="none"/>
              </w:rPr>
            </w:pPr>
            <w:r>
              <w:rPr>
                <w:rFonts w:hint="eastAsia"/>
                <w:color w:val="auto"/>
                <w:szCs w:val="21"/>
                <w:highlight w:val="none"/>
              </w:rPr>
              <w:t>技术建议书</w:t>
            </w:r>
            <w:r>
              <w:rPr>
                <w:color w:val="auto"/>
                <w:szCs w:val="21"/>
                <w:highlight w:val="none"/>
              </w:rPr>
              <w:t>：</w:t>
            </w:r>
            <w:r>
              <w:rPr>
                <w:rFonts w:hint="eastAsia"/>
                <w:color w:val="auto"/>
                <w:szCs w:val="21"/>
                <w:highlight w:val="none"/>
                <w:u w:val="single"/>
              </w:rPr>
              <w:t xml:space="preserve"> </w:t>
            </w:r>
            <w:r>
              <w:rPr>
                <w:rFonts w:hint="eastAsia"/>
                <w:color w:val="auto"/>
                <w:szCs w:val="21"/>
                <w:highlight w:val="none"/>
                <w:u w:val="single"/>
                <w:lang w:val="en-US" w:eastAsia="zh-CN"/>
              </w:rPr>
              <w:t>30</w:t>
            </w:r>
            <w:r>
              <w:rPr>
                <w:rFonts w:hint="eastAsia"/>
                <w:color w:val="auto"/>
                <w:szCs w:val="21"/>
                <w:highlight w:val="none"/>
                <w:u w:val="single"/>
              </w:rPr>
              <w:t xml:space="preserve"> </w:t>
            </w:r>
            <w:r>
              <w:rPr>
                <w:color w:val="auto"/>
                <w:szCs w:val="21"/>
                <w:highlight w:val="none"/>
              </w:rPr>
              <w:t>分</w:t>
            </w:r>
          </w:p>
          <w:p w14:paraId="7FF37ECE">
            <w:pPr>
              <w:spacing w:line="440" w:lineRule="exact"/>
              <w:ind w:firstLine="0" w:firstLineChars="0"/>
              <w:contextualSpacing/>
              <w:rPr>
                <w:rFonts w:hint="eastAsia"/>
                <w:color w:val="auto"/>
                <w:szCs w:val="21"/>
                <w:highlight w:val="none"/>
                <w:u w:val="single"/>
              </w:rPr>
            </w:pPr>
            <w:r>
              <w:rPr>
                <w:rFonts w:hint="eastAsia"/>
                <w:color w:val="auto"/>
                <w:szCs w:val="21"/>
                <w:highlight w:val="none"/>
              </w:rPr>
              <w:t>主要人员：</w:t>
            </w:r>
            <w:r>
              <w:rPr>
                <w:rFonts w:hint="eastAsia"/>
                <w:color w:val="auto"/>
                <w:szCs w:val="21"/>
                <w:highlight w:val="none"/>
                <w:u w:val="single"/>
              </w:rPr>
              <w:t xml:space="preserve"> </w:t>
            </w:r>
            <w:r>
              <w:rPr>
                <w:rFonts w:hint="eastAsia"/>
                <w:color w:val="auto"/>
                <w:szCs w:val="21"/>
                <w:highlight w:val="none"/>
                <w:u w:val="single"/>
                <w:lang w:val="en-US" w:eastAsia="zh-CN"/>
              </w:rPr>
              <w:t>20</w:t>
            </w:r>
            <w:r>
              <w:rPr>
                <w:rFonts w:hint="eastAsia"/>
                <w:color w:val="auto"/>
                <w:szCs w:val="21"/>
                <w:highlight w:val="none"/>
                <w:u w:val="single"/>
              </w:rPr>
              <w:t xml:space="preserve"> 分</w:t>
            </w:r>
          </w:p>
          <w:p w14:paraId="7FDF645C">
            <w:pPr>
              <w:spacing w:line="440" w:lineRule="exact"/>
              <w:ind w:firstLine="0" w:firstLineChars="0"/>
              <w:contextualSpacing/>
              <w:rPr>
                <w:rFonts w:hint="eastAsia"/>
                <w:color w:val="auto"/>
                <w:szCs w:val="21"/>
                <w:highlight w:val="none"/>
              </w:rPr>
            </w:pPr>
            <w:r>
              <w:rPr>
                <w:rFonts w:hint="eastAsia"/>
                <w:color w:val="auto"/>
                <w:szCs w:val="21"/>
                <w:highlight w:val="none"/>
              </w:rPr>
              <w:t>业绩：</w:t>
            </w:r>
            <w:r>
              <w:rPr>
                <w:rFonts w:hint="eastAsia"/>
                <w:color w:val="auto"/>
                <w:szCs w:val="21"/>
                <w:highlight w:val="none"/>
                <w:u w:val="single"/>
              </w:rPr>
              <w:t xml:space="preserve"> </w:t>
            </w:r>
            <w:r>
              <w:rPr>
                <w:rFonts w:hint="eastAsia"/>
                <w:color w:val="auto"/>
                <w:szCs w:val="21"/>
                <w:highlight w:val="none"/>
                <w:u w:val="single"/>
                <w:lang w:val="en-US" w:eastAsia="zh-CN"/>
              </w:rPr>
              <w:t>15</w:t>
            </w:r>
            <w:r>
              <w:rPr>
                <w:rFonts w:hint="eastAsia"/>
                <w:color w:val="auto"/>
                <w:szCs w:val="21"/>
                <w:highlight w:val="none"/>
                <w:u w:val="single"/>
              </w:rPr>
              <w:t xml:space="preserve"> </w:t>
            </w:r>
            <w:r>
              <w:rPr>
                <w:rFonts w:hint="eastAsia"/>
                <w:color w:val="auto"/>
                <w:szCs w:val="21"/>
                <w:highlight w:val="none"/>
              </w:rPr>
              <w:t>分</w:t>
            </w:r>
          </w:p>
          <w:p w14:paraId="1B4832D2">
            <w:pPr>
              <w:spacing w:line="440" w:lineRule="exact"/>
              <w:ind w:firstLine="0" w:firstLineChars="0"/>
              <w:contextualSpacing/>
              <w:rPr>
                <w:rFonts w:hint="default" w:eastAsia="宋体"/>
                <w:color w:val="auto"/>
                <w:szCs w:val="21"/>
                <w:highlight w:val="none"/>
                <w:lang w:val="en-US" w:eastAsia="zh-CN"/>
              </w:rPr>
            </w:pPr>
            <w:r>
              <w:rPr>
                <w:rFonts w:hint="eastAsia"/>
                <w:color w:val="auto"/>
                <w:szCs w:val="21"/>
                <w:highlight w:val="none"/>
                <w:lang w:val="en-US" w:eastAsia="zh-CN"/>
              </w:rPr>
              <w:t>履约情况：</w:t>
            </w:r>
            <w:r>
              <w:rPr>
                <w:rFonts w:hint="eastAsia"/>
                <w:color w:val="auto"/>
                <w:szCs w:val="21"/>
                <w:highlight w:val="none"/>
                <w:u w:val="single"/>
              </w:rPr>
              <w:t xml:space="preserve"> </w:t>
            </w:r>
            <w:r>
              <w:rPr>
                <w:rFonts w:hint="eastAsia"/>
                <w:color w:val="auto"/>
                <w:szCs w:val="21"/>
                <w:highlight w:val="none"/>
                <w:u w:val="single"/>
                <w:lang w:val="en-US" w:eastAsia="zh-CN"/>
              </w:rPr>
              <w:t>5</w:t>
            </w:r>
            <w:r>
              <w:rPr>
                <w:rFonts w:hint="eastAsia"/>
                <w:color w:val="auto"/>
                <w:szCs w:val="21"/>
                <w:highlight w:val="none"/>
                <w:u w:val="single"/>
              </w:rPr>
              <w:t xml:space="preserve"> </w:t>
            </w:r>
            <w:r>
              <w:rPr>
                <w:rFonts w:hint="eastAsia"/>
                <w:color w:val="auto"/>
                <w:szCs w:val="21"/>
                <w:highlight w:val="none"/>
              </w:rPr>
              <w:t>分</w:t>
            </w:r>
          </w:p>
          <w:p w14:paraId="5A8FB3D0">
            <w:pPr>
              <w:spacing w:line="440" w:lineRule="exact"/>
              <w:ind w:firstLine="0" w:firstLineChars="0"/>
              <w:contextualSpacing/>
              <w:rPr>
                <w:b/>
                <w:bCs/>
                <w:color w:val="auto"/>
                <w:szCs w:val="21"/>
                <w:highlight w:val="none"/>
              </w:rPr>
            </w:pPr>
            <w:r>
              <w:rPr>
                <w:rFonts w:hint="eastAsia"/>
                <w:b/>
                <w:bCs/>
                <w:color w:val="auto"/>
                <w:szCs w:val="21"/>
                <w:highlight w:val="none"/>
              </w:rPr>
              <w:t>第二个信封（报价文件）评分分值构成：</w:t>
            </w:r>
          </w:p>
          <w:p w14:paraId="49EAB37E">
            <w:pPr>
              <w:spacing w:line="440" w:lineRule="exact"/>
              <w:ind w:firstLine="0" w:firstLineChars="0"/>
              <w:contextualSpacing/>
              <w:rPr>
                <w:rFonts w:hint="eastAsia"/>
                <w:color w:val="auto"/>
                <w:szCs w:val="21"/>
                <w:highlight w:val="none"/>
              </w:rPr>
            </w:pPr>
            <w:r>
              <w:rPr>
                <w:color w:val="auto"/>
                <w:szCs w:val="21"/>
                <w:highlight w:val="none"/>
              </w:rPr>
              <w:t>评标价：</w:t>
            </w:r>
            <w:r>
              <w:rPr>
                <w:rFonts w:hint="eastAsia"/>
                <w:color w:val="auto"/>
                <w:szCs w:val="21"/>
                <w:highlight w:val="none"/>
                <w:u w:val="single"/>
              </w:rPr>
              <w:t xml:space="preserve"> </w:t>
            </w:r>
            <w:r>
              <w:rPr>
                <w:rFonts w:hint="eastAsia"/>
                <w:color w:val="auto"/>
                <w:szCs w:val="21"/>
                <w:highlight w:val="none"/>
                <w:u w:val="single"/>
                <w:lang w:val="en-US" w:eastAsia="zh-CN"/>
              </w:rPr>
              <w:t>30</w:t>
            </w:r>
            <w:r>
              <w:rPr>
                <w:rFonts w:hint="eastAsia"/>
                <w:color w:val="auto"/>
                <w:szCs w:val="21"/>
                <w:highlight w:val="none"/>
                <w:u w:val="single"/>
              </w:rPr>
              <w:t xml:space="preserve"> </w:t>
            </w:r>
            <w:r>
              <w:rPr>
                <w:color w:val="auto"/>
                <w:szCs w:val="21"/>
                <w:highlight w:val="none"/>
              </w:rPr>
              <w:t>分</w:t>
            </w:r>
          </w:p>
        </w:tc>
      </w:tr>
      <w:tr w14:paraId="36B022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975" w:type="dxa"/>
            <w:noWrap w:val="0"/>
            <w:vAlign w:val="center"/>
          </w:tcPr>
          <w:p w14:paraId="735D984C">
            <w:pPr>
              <w:spacing w:line="380" w:lineRule="exact"/>
              <w:ind w:firstLine="0" w:firstLineChars="0"/>
              <w:jc w:val="center"/>
              <w:rPr>
                <w:rFonts w:hint="eastAsia"/>
                <w:color w:val="auto"/>
                <w:szCs w:val="21"/>
                <w:highlight w:val="none"/>
              </w:rPr>
            </w:pPr>
            <w:r>
              <w:rPr>
                <w:color w:val="auto"/>
                <w:highlight w:val="none"/>
              </w:rPr>
              <w:t>2.2.2</w:t>
            </w:r>
          </w:p>
        </w:tc>
        <w:tc>
          <w:tcPr>
            <w:tcW w:w="1185" w:type="dxa"/>
            <w:noWrap w:val="0"/>
            <w:vAlign w:val="center"/>
          </w:tcPr>
          <w:p w14:paraId="2B72E8EA">
            <w:pPr>
              <w:widowControl/>
              <w:ind w:firstLine="0" w:firstLineChars="0"/>
              <w:jc w:val="center"/>
              <w:rPr>
                <w:rFonts w:cs="宋体"/>
                <w:color w:val="auto"/>
                <w:highlight w:val="none"/>
              </w:rPr>
            </w:pPr>
            <w:r>
              <w:rPr>
                <w:color w:val="auto"/>
                <w:szCs w:val="21"/>
                <w:highlight w:val="none"/>
              </w:rPr>
              <w:t>评标基准价计算方法</w:t>
            </w:r>
          </w:p>
          <w:p w14:paraId="6A307030">
            <w:pPr>
              <w:spacing w:line="380" w:lineRule="exact"/>
              <w:ind w:firstLine="480"/>
              <w:jc w:val="center"/>
              <w:rPr>
                <w:rFonts w:hint="eastAsia"/>
                <w:color w:val="auto"/>
                <w:szCs w:val="21"/>
                <w:highlight w:val="none"/>
              </w:rPr>
            </w:pPr>
          </w:p>
        </w:tc>
        <w:tc>
          <w:tcPr>
            <w:tcW w:w="7270" w:type="dxa"/>
            <w:noWrap w:val="0"/>
            <w:vAlign w:val="center"/>
          </w:tcPr>
          <w:p w14:paraId="61FEAAEF">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评标基准价的计算：</w:t>
            </w:r>
          </w:p>
          <w:p w14:paraId="1823460A">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在开标现场，招标人将当场计算并宣布评标基准价。</w:t>
            </w:r>
          </w:p>
          <w:p w14:paraId="552BFB50">
            <w:pPr>
              <w:spacing w:line="44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（1）评标价的确定</w:t>
            </w:r>
          </w:p>
          <w:p w14:paraId="2D0E9F9A">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评标价＝投标函文字报价</w:t>
            </w:r>
          </w:p>
          <w:p w14:paraId="52ACCCAC">
            <w:pPr>
              <w:spacing w:line="440" w:lineRule="exact"/>
              <w:ind w:firstLine="482" w:firstLineChars="200"/>
              <w:rPr>
                <w:rFonts w:hint="eastAsia" w:ascii="宋体" w:hAnsi="宋体" w:cs="宋体"/>
                <w:b/>
                <w:bCs/>
                <w:dstrike/>
                <w:color w:val="auto"/>
                <w:sz w:val="24"/>
                <w:szCs w:val="24"/>
                <w:highlight w:val="none"/>
              </w:rPr>
            </w:pPr>
            <w:r>
              <w:rPr>
                <w:rFonts w:hint="eastAsia" w:ascii="宋体" w:hAnsi="宋体" w:cs="宋体"/>
                <w:b/>
                <w:bCs/>
                <w:color w:val="auto"/>
                <w:sz w:val="24"/>
                <w:szCs w:val="24"/>
                <w:highlight w:val="none"/>
              </w:rPr>
              <w:t>（2）最高评标限价的确定</w:t>
            </w:r>
          </w:p>
          <w:p w14:paraId="7B2C85EC">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①最高评标限价的确定</w:t>
            </w:r>
          </w:p>
          <w:p w14:paraId="6A01DB2B">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最高投标限价下浮率（以下简称下浮率）在开标前在开标现场采取摇珠方式确定。摇珠操作办法如下：在下浮率摇珠范围内，以0.1%为一档次增序确定摇珠号码，不少于31个球，每个标段各一次性摇出3个球（摇出的珠不放回），摇出3个球对应的下浮率的平均值即为本标段招标的下浮率。（注：三个下浮率的平均值四舍五入取整到0.001%）。</w:t>
            </w:r>
          </w:p>
          <w:p w14:paraId="644B949A">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②最高评标限价=最高投标限价×（1-下浮率）</w:t>
            </w:r>
          </w:p>
          <w:p w14:paraId="27201541">
            <w:pPr>
              <w:spacing w:line="440" w:lineRule="exact"/>
              <w:ind w:firstLine="480" w:firstLineChars="200"/>
              <w:jc w:val="left"/>
              <w:rPr>
                <w:rFonts w:hint="eastAsia" w:ascii="宋体" w:hAnsi="宋体" w:eastAsia="宋体" w:cs="宋体"/>
                <w:b/>
                <w:bCs/>
                <w:i w:val="0"/>
                <w:color w:val="000000"/>
                <w:kern w:val="0"/>
                <w:sz w:val="24"/>
                <w:szCs w:val="24"/>
                <w:highlight w:val="none"/>
                <w:u w:val="none"/>
                <w:lang w:val="en-US" w:eastAsia="zh-CN" w:bidi="ar"/>
              </w:rPr>
            </w:pPr>
            <w:r>
              <w:rPr>
                <w:rFonts w:hint="eastAsia" w:ascii="宋体" w:hAnsi="宋体"/>
                <w:color w:val="auto"/>
                <w:kern w:val="0"/>
                <w:sz w:val="24"/>
                <w:szCs w:val="24"/>
                <w:highlight w:val="none"/>
              </w:rPr>
              <w:t>注：</w:t>
            </w:r>
            <w:r>
              <w:rPr>
                <w:rFonts w:hint="eastAsia" w:ascii="宋体" w:hAnsi="宋体"/>
                <w:b/>
                <w:bCs/>
                <w:color w:val="auto"/>
                <w:kern w:val="0"/>
                <w:szCs w:val="21"/>
                <w:highlight w:val="none"/>
              </w:rPr>
              <w:t>最高投标限价</w:t>
            </w:r>
            <w:r>
              <w:rPr>
                <w:rFonts w:hint="eastAsia" w:ascii="宋体" w:hAnsi="宋体"/>
                <w:b/>
                <w:bCs/>
                <w:color w:val="auto"/>
                <w:kern w:val="0"/>
                <w:szCs w:val="21"/>
                <w:highlight w:val="none"/>
                <w:lang w:eastAsia="zh-CN"/>
              </w:rPr>
              <w:t>：</w:t>
            </w:r>
            <w:r>
              <w:rPr>
                <w:rFonts w:hint="eastAsia"/>
                <w:b/>
                <w:bCs/>
                <w:color w:val="auto"/>
                <w:kern w:val="0"/>
                <w:szCs w:val="21"/>
                <w:highlight w:val="none"/>
                <w:lang w:val="en-US" w:eastAsia="zh-CN"/>
              </w:rPr>
              <w:t>1461274</w:t>
            </w:r>
            <w:r>
              <w:rPr>
                <w:rFonts w:hint="eastAsia" w:ascii="宋体" w:hAnsi="宋体" w:eastAsia="宋体" w:cs="宋体"/>
                <w:b/>
                <w:bCs/>
                <w:i w:val="0"/>
                <w:color w:val="000000"/>
                <w:kern w:val="0"/>
                <w:sz w:val="24"/>
                <w:szCs w:val="24"/>
                <w:highlight w:val="none"/>
                <w:u w:val="none"/>
                <w:lang w:val="en-US" w:eastAsia="zh-CN" w:bidi="ar"/>
              </w:rPr>
              <w:t>元</w:t>
            </w:r>
          </w:p>
          <w:p w14:paraId="608E1FDB">
            <w:pPr>
              <w:spacing w:line="440" w:lineRule="exact"/>
              <w:ind w:firstLine="964" w:firstLineChars="400"/>
              <w:jc w:val="left"/>
              <w:rPr>
                <w:rFonts w:hint="eastAsia" w:ascii="宋体" w:hAnsi="宋体" w:cs="宋体"/>
                <w:color w:val="auto"/>
                <w:sz w:val="24"/>
                <w:szCs w:val="24"/>
                <w:highlight w:val="none"/>
              </w:rPr>
            </w:pPr>
            <w:r>
              <w:rPr>
                <w:rFonts w:hint="eastAsia" w:ascii="宋体" w:hAnsi="宋体"/>
                <w:b/>
                <w:bCs/>
                <w:color w:val="auto"/>
                <w:kern w:val="0"/>
                <w:sz w:val="24"/>
                <w:szCs w:val="24"/>
                <w:highlight w:val="none"/>
              </w:rPr>
              <w:t>下浮率范围</w:t>
            </w:r>
            <w:r>
              <w:rPr>
                <w:rFonts w:hint="eastAsia" w:ascii="宋体" w:hAnsi="宋体"/>
                <w:b/>
                <w:bCs/>
                <w:color w:val="auto"/>
                <w:kern w:val="0"/>
                <w:sz w:val="24"/>
                <w:szCs w:val="24"/>
                <w:highlight w:val="none"/>
                <w:lang w:eastAsia="zh-CN"/>
              </w:rPr>
              <w:t>：</w:t>
            </w:r>
            <w:r>
              <w:rPr>
                <w:rFonts w:hint="eastAsia"/>
                <w:b/>
                <w:bCs/>
                <w:color w:val="auto"/>
                <w:kern w:val="0"/>
                <w:sz w:val="24"/>
                <w:szCs w:val="24"/>
                <w:highlight w:val="none"/>
                <w:lang w:val="en-US" w:eastAsia="zh-CN"/>
              </w:rPr>
              <w:t>0%</w:t>
            </w:r>
            <w:r>
              <w:rPr>
                <w:rFonts w:hint="eastAsia" w:ascii="宋体" w:hAnsi="宋体"/>
                <w:b/>
                <w:bCs/>
                <w:color w:val="auto"/>
                <w:kern w:val="0"/>
                <w:sz w:val="24"/>
                <w:szCs w:val="24"/>
                <w:highlight w:val="none"/>
                <w:lang w:val="en-US" w:eastAsia="zh-CN"/>
              </w:rPr>
              <w:t>-</w:t>
            </w:r>
            <w:r>
              <w:rPr>
                <w:rFonts w:hint="eastAsia"/>
                <w:b/>
                <w:bCs/>
                <w:color w:val="auto"/>
                <w:kern w:val="0"/>
                <w:sz w:val="24"/>
                <w:szCs w:val="24"/>
                <w:highlight w:val="none"/>
                <w:lang w:val="en-US" w:eastAsia="zh-CN"/>
              </w:rPr>
              <w:t>3</w:t>
            </w:r>
            <w:r>
              <w:rPr>
                <w:rFonts w:hint="eastAsia" w:ascii="宋体" w:hAnsi="宋体"/>
                <w:b/>
                <w:bCs/>
                <w:color w:val="auto"/>
                <w:kern w:val="0"/>
                <w:sz w:val="24"/>
                <w:szCs w:val="24"/>
                <w:highlight w:val="none"/>
                <w:lang w:val="en-US" w:eastAsia="zh-CN"/>
              </w:rPr>
              <w:t>%</w:t>
            </w:r>
            <w:r>
              <w:rPr>
                <w:b/>
                <w:bCs/>
                <w:color w:val="auto"/>
                <w:sz w:val="24"/>
                <w:szCs w:val="24"/>
                <w:highlight w:val="none"/>
              </w:rPr>
              <w:t>。</w:t>
            </w:r>
          </w:p>
          <w:p w14:paraId="702C3C6B">
            <w:pPr>
              <w:spacing w:line="44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（3）有效评标价范围</w:t>
            </w:r>
          </w:p>
          <w:p w14:paraId="35C072DE">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不大于最高评标限价的评标价为有效评标价。若大于最高评标限价的评标价，其评标价得分为0分。当所有投标人评标价得分均为0分时，按否决投标处理。</w:t>
            </w:r>
          </w:p>
          <w:p w14:paraId="0C093652">
            <w:pPr>
              <w:spacing w:line="44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（4）评标基准价的确定</w:t>
            </w:r>
          </w:p>
          <w:p w14:paraId="009D679B">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将最高评标限价下浮</w:t>
            </w:r>
            <w:r>
              <w:rPr>
                <w:rFonts w:hint="eastAsia" w:ascii="宋体" w:hAnsi="宋体" w:cs="宋体"/>
                <w:color w:val="auto"/>
                <w:sz w:val="24"/>
                <w:szCs w:val="24"/>
                <w:highlight w:val="none"/>
                <w:u w:val="single"/>
              </w:rPr>
              <w:t xml:space="preserve"> 2 </w:t>
            </w:r>
            <w:r>
              <w:rPr>
                <w:rFonts w:hint="eastAsia" w:ascii="宋体" w:hAnsi="宋体" w:cs="宋体"/>
                <w:color w:val="auto"/>
                <w:sz w:val="24"/>
                <w:szCs w:val="24"/>
                <w:highlight w:val="none"/>
              </w:rPr>
              <w:t>%，作为评标基准价。</w:t>
            </w:r>
          </w:p>
          <w:p w14:paraId="37CC0D48">
            <w:pPr>
              <w:spacing w:line="440" w:lineRule="exact"/>
              <w:ind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在评标过程中，评标委员会应对招标人计算的评标基准价进行复核，存在计算错误的应予以修正。除此之外，评标基准价在整个评标期间保持不变，不随任何因素发生变化。</w:t>
            </w:r>
          </w:p>
          <w:p w14:paraId="6FD7BA76">
            <w:pPr>
              <w:spacing w:line="440" w:lineRule="exact"/>
              <w:ind w:firstLine="480" w:firstLineChars="200"/>
              <w:rPr>
                <w:rFonts w:hint="eastAsia"/>
                <w:color w:val="auto"/>
                <w:szCs w:val="21"/>
                <w:highlight w:val="none"/>
              </w:rPr>
            </w:pPr>
            <w:r>
              <w:rPr>
                <w:rFonts w:hint="eastAsia" w:ascii="宋体" w:hAnsi="宋体" w:cs="宋体"/>
                <w:color w:val="auto"/>
                <w:sz w:val="24"/>
                <w:szCs w:val="24"/>
                <w:highlight w:val="none"/>
              </w:rPr>
              <w:t>注：最高评标限价、评标基准价均四舍五入至个位整数。</w:t>
            </w:r>
          </w:p>
        </w:tc>
      </w:tr>
      <w:tr w14:paraId="65B9C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75" w:type="dxa"/>
            <w:noWrap w:val="0"/>
            <w:vAlign w:val="center"/>
          </w:tcPr>
          <w:p w14:paraId="190CB750">
            <w:pPr>
              <w:spacing w:line="380" w:lineRule="exact"/>
              <w:ind w:firstLine="0" w:firstLineChars="0"/>
              <w:jc w:val="center"/>
              <w:rPr>
                <w:color w:val="auto"/>
                <w:highlight w:val="none"/>
              </w:rPr>
            </w:pPr>
            <w:r>
              <w:rPr>
                <w:color w:val="auto"/>
                <w:highlight w:val="none"/>
              </w:rPr>
              <w:t>2.2.3</w:t>
            </w:r>
          </w:p>
        </w:tc>
        <w:tc>
          <w:tcPr>
            <w:tcW w:w="1185" w:type="dxa"/>
            <w:noWrap w:val="0"/>
            <w:vAlign w:val="center"/>
          </w:tcPr>
          <w:p w14:paraId="6588115F">
            <w:pPr>
              <w:widowControl/>
              <w:ind w:firstLine="0" w:firstLineChars="0"/>
              <w:jc w:val="center"/>
              <w:rPr>
                <w:color w:val="auto"/>
                <w:szCs w:val="21"/>
                <w:highlight w:val="none"/>
              </w:rPr>
            </w:pPr>
            <w:r>
              <w:rPr>
                <w:color w:val="auto"/>
                <w:szCs w:val="21"/>
                <w:highlight w:val="none"/>
              </w:rPr>
              <w:t>评标价的偏差率计算公式</w:t>
            </w:r>
          </w:p>
        </w:tc>
        <w:tc>
          <w:tcPr>
            <w:tcW w:w="7270" w:type="dxa"/>
            <w:noWrap w:val="0"/>
            <w:vAlign w:val="center"/>
          </w:tcPr>
          <w:p w14:paraId="39EA10E4">
            <w:pPr>
              <w:ind w:firstLine="0" w:firstLineChars="0"/>
              <w:rPr>
                <w:color w:val="auto"/>
                <w:szCs w:val="21"/>
                <w:highlight w:val="none"/>
              </w:rPr>
            </w:pPr>
            <w:r>
              <w:rPr>
                <w:color w:val="auto"/>
                <w:szCs w:val="21"/>
                <w:highlight w:val="none"/>
              </w:rPr>
              <w:t>偏差率=100% ×（投标人评标价－评标基准价）/评标基准价</w:t>
            </w:r>
          </w:p>
        </w:tc>
      </w:tr>
    </w:tbl>
    <w:p w14:paraId="0CBE28DD">
      <w:pPr>
        <w:spacing w:line="400" w:lineRule="atLeast"/>
        <w:ind w:firstLine="480"/>
        <w:rPr>
          <w:rFonts w:hint="eastAsia" w:eastAsia="隶书"/>
          <w:color w:val="auto"/>
          <w:highlight w:val="none"/>
        </w:rPr>
      </w:pPr>
    </w:p>
    <w:p w14:paraId="49890CAA">
      <w:pPr>
        <w:pStyle w:val="6"/>
        <w:ind w:left="480"/>
        <w:rPr>
          <w:rFonts w:hint="eastAsia"/>
          <w:color w:val="auto"/>
          <w:highlight w:val="none"/>
        </w:rPr>
      </w:pPr>
    </w:p>
    <w:p w14:paraId="604C2749">
      <w:pPr>
        <w:pStyle w:val="6"/>
        <w:ind w:left="480"/>
        <w:rPr>
          <w:rFonts w:hint="eastAsia"/>
          <w:color w:val="auto"/>
          <w:highlight w:val="none"/>
        </w:rPr>
      </w:pPr>
    </w:p>
    <w:p w14:paraId="084E6BE4">
      <w:pPr>
        <w:ind w:firstLine="482"/>
        <w:jc w:val="left"/>
        <w:rPr>
          <w:color w:val="auto"/>
          <w:highlight w:val="none"/>
        </w:rPr>
      </w:pPr>
      <w:r>
        <w:rPr>
          <w:rFonts w:hint="eastAsia"/>
          <w:b/>
          <w:color w:val="auto"/>
          <w:highlight w:val="none"/>
        </w:rPr>
        <w:t>续上表</w:t>
      </w:r>
    </w:p>
    <w:tbl>
      <w:tblPr>
        <w:tblStyle w:val="9"/>
        <w:tblW w:w="9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825"/>
        <w:gridCol w:w="403"/>
        <w:gridCol w:w="617"/>
        <w:gridCol w:w="1800"/>
        <w:gridCol w:w="870"/>
        <w:gridCol w:w="4521"/>
      </w:tblGrid>
      <w:tr w14:paraId="779D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301" w:type="dxa"/>
            <w:gridSpan w:val="6"/>
            <w:noWrap w:val="0"/>
            <w:vAlign w:val="center"/>
          </w:tcPr>
          <w:p w14:paraId="5FE2F288">
            <w:pPr>
              <w:spacing w:line="276" w:lineRule="auto"/>
              <w:ind w:firstLine="482"/>
              <w:jc w:val="center"/>
              <w:rPr>
                <w:rFonts w:hint="eastAsia"/>
                <w:color w:val="auto"/>
                <w:szCs w:val="21"/>
                <w:highlight w:val="none"/>
              </w:rPr>
            </w:pPr>
            <w:r>
              <w:rPr>
                <w:rFonts w:hint="eastAsia"/>
                <w:b/>
                <w:color w:val="auto"/>
                <w:szCs w:val="21"/>
                <w:highlight w:val="none"/>
              </w:rPr>
              <w:t>评审因素与评分值</w:t>
            </w:r>
          </w:p>
        </w:tc>
        <w:tc>
          <w:tcPr>
            <w:tcW w:w="4521" w:type="dxa"/>
            <w:vMerge w:val="restart"/>
            <w:noWrap w:val="0"/>
            <w:vAlign w:val="center"/>
          </w:tcPr>
          <w:p w14:paraId="5B9CB6B2">
            <w:pPr>
              <w:spacing w:line="276" w:lineRule="auto"/>
              <w:ind w:firstLine="482"/>
              <w:jc w:val="center"/>
              <w:rPr>
                <w:rFonts w:hint="eastAsia"/>
                <w:b/>
                <w:color w:val="auto"/>
                <w:szCs w:val="21"/>
                <w:highlight w:val="none"/>
              </w:rPr>
            </w:pPr>
            <w:r>
              <w:rPr>
                <w:rFonts w:hint="eastAsia"/>
                <w:b/>
                <w:color w:val="auto"/>
                <w:szCs w:val="21"/>
                <w:highlight w:val="none"/>
              </w:rPr>
              <w:t>评分标准</w:t>
            </w:r>
          </w:p>
        </w:tc>
      </w:tr>
      <w:tr w14:paraId="0C84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86" w:type="dxa"/>
            <w:tcBorders>
              <w:left w:val="single" w:color="auto" w:sz="4" w:space="0"/>
              <w:bottom w:val="single" w:color="auto" w:sz="4" w:space="0"/>
            </w:tcBorders>
            <w:noWrap w:val="0"/>
            <w:vAlign w:val="center"/>
          </w:tcPr>
          <w:p w14:paraId="154B2282">
            <w:pPr>
              <w:spacing w:line="276" w:lineRule="auto"/>
              <w:ind w:firstLine="0" w:firstLineChars="0"/>
              <w:jc w:val="center"/>
              <w:rPr>
                <w:color w:val="auto"/>
                <w:szCs w:val="21"/>
                <w:highlight w:val="none"/>
              </w:rPr>
            </w:pPr>
            <w:r>
              <w:rPr>
                <w:rFonts w:hint="eastAsia"/>
                <w:b/>
                <w:color w:val="auto"/>
                <w:szCs w:val="21"/>
                <w:highlight w:val="none"/>
              </w:rPr>
              <w:t>条款号</w:t>
            </w:r>
          </w:p>
        </w:tc>
        <w:tc>
          <w:tcPr>
            <w:tcW w:w="825" w:type="dxa"/>
            <w:tcBorders>
              <w:bottom w:val="single" w:color="auto" w:sz="4" w:space="0"/>
            </w:tcBorders>
            <w:noWrap w:val="0"/>
            <w:vAlign w:val="center"/>
          </w:tcPr>
          <w:p w14:paraId="29B8D8B0">
            <w:pPr>
              <w:spacing w:line="276" w:lineRule="auto"/>
              <w:ind w:firstLine="0" w:firstLineChars="0"/>
              <w:jc w:val="center"/>
              <w:rPr>
                <w:color w:val="auto"/>
                <w:szCs w:val="21"/>
                <w:highlight w:val="none"/>
              </w:rPr>
            </w:pPr>
            <w:r>
              <w:rPr>
                <w:rFonts w:hint="eastAsia"/>
                <w:b/>
                <w:color w:val="auto"/>
                <w:szCs w:val="21"/>
                <w:highlight w:val="none"/>
              </w:rPr>
              <w:t>评审因素</w:t>
            </w:r>
          </w:p>
        </w:tc>
        <w:tc>
          <w:tcPr>
            <w:tcW w:w="1020" w:type="dxa"/>
            <w:gridSpan w:val="2"/>
            <w:tcBorders>
              <w:bottom w:val="single" w:color="auto" w:sz="4" w:space="0"/>
              <w:right w:val="single" w:color="auto" w:sz="4" w:space="0"/>
            </w:tcBorders>
            <w:noWrap w:val="0"/>
            <w:vAlign w:val="center"/>
          </w:tcPr>
          <w:p w14:paraId="49449D86">
            <w:pPr>
              <w:spacing w:line="276" w:lineRule="auto"/>
              <w:ind w:firstLine="0" w:firstLineChars="0"/>
              <w:jc w:val="center"/>
              <w:rPr>
                <w:rFonts w:hint="eastAsia"/>
                <w:color w:val="auto"/>
                <w:szCs w:val="21"/>
                <w:highlight w:val="none"/>
                <w:u w:val="single"/>
              </w:rPr>
            </w:pPr>
            <w:r>
              <w:rPr>
                <w:rFonts w:hint="eastAsia"/>
                <w:b/>
                <w:color w:val="auto"/>
                <w:szCs w:val="21"/>
                <w:highlight w:val="none"/>
              </w:rPr>
              <w:t>评分因素权重分值</w:t>
            </w:r>
          </w:p>
        </w:tc>
        <w:tc>
          <w:tcPr>
            <w:tcW w:w="1800" w:type="dxa"/>
            <w:tcBorders>
              <w:left w:val="single" w:color="auto" w:sz="4" w:space="0"/>
            </w:tcBorders>
            <w:noWrap w:val="0"/>
            <w:vAlign w:val="center"/>
          </w:tcPr>
          <w:p w14:paraId="0A22B85B">
            <w:pPr>
              <w:spacing w:line="276" w:lineRule="auto"/>
              <w:ind w:firstLine="0" w:firstLineChars="0"/>
              <w:rPr>
                <w:rFonts w:hint="eastAsia"/>
                <w:color w:val="auto"/>
                <w:szCs w:val="21"/>
                <w:highlight w:val="none"/>
              </w:rPr>
            </w:pPr>
            <w:r>
              <w:rPr>
                <w:rFonts w:hint="eastAsia"/>
                <w:b/>
                <w:color w:val="auto"/>
                <w:szCs w:val="21"/>
                <w:highlight w:val="none"/>
              </w:rPr>
              <w:t>各评审因素细分项</w:t>
            </w:r>
          </w:p>
        </w:tc>
        <w:tc>
          <w:tcPr>
            <w:tcW w:w="870" w:type="dxa"/>
            <w:noWrap w:val="0"/>
            <w:vAlign w:val="center"/>
          </w:tcPr>
          <w:p w14:paraId="7AE5008F">
            <w:pPr>
              <w:spacing w:line="276" w:lineRule="auto"/>
              <w:ind w:firstLine="0" w:firstLineChars="0"/>
              <w:jc w:val="center"/>
              <w:rPr>
                <w:rFonts w:hint="eastAsia"/>
                <w:b/>
                <w:color w:val="auto"/>
                <w:szCs w:val="21"/>
                <w:highlight w:val="none"/>
              </w:rPr>
            </w:pPr>
            <w:r>
              <w:rPr>
                <w:rFonts w:hint="eastAsia"/>
                <w:b/>
                <w:color w:val="auto"/>
                <w:szCs w:val="21"/>
                <w:highlight w:val="none"/>
              </w:rPr>
              <w:t>分值</w:t>
            </w:r>
          </w:p>
        </w:tc>
        <w:tc>
          <w:tcPr>
            <w:tcW w:w="4521" w:type="dxa"/>
            <w:vMerge w:val="continue"/>
            <w:noWrap w:val="0"/>
            <w:vAlign w:val="center"/>
          </w:tcPr>
          <w:p w14:paraId="763307B0">
            <w:pPr>
              <w:spacing w:line="276" w:lineRule="auto"/>
              <w:ind w:firstLine="480"/>
              <w:rPr>
                <w:rFonts w:hint="eastAsia"/>
                <w:color w:val="auto"/>
                <w:szCs w:val="21"/>
                <w:highlight w:val="none"/>
              </w:rPr>
            </w:pPr>
          </w:p>
        </w:tc>
      </w:tr>
      <w:tr w14:paraId="1DBE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vMerge w:val="restart"/>
            <w:tcBorders>
              <w:top w:val="single" w:color="auto" w:sz="4" w:space="0"/>
              <w:left w:val="single" w:color="auto" w:sz="4" w:space="0"/>
              <w:bottom w:val="single" w:color="auto" w:sz="4" w:space="0"/>
            </w:tcBorders>
            <w:noWrap w:val="0"/>
            <w:vAlign w:val="center"/>
          </w:tcPr>
          <w:p w14:paraId="1DB71D4F">
            <w:pPr>
              <w:spacing w:line="276" w:lineRule="auto"/>
              <w:ind w:firstLine="0" w:firstLineChars="0"/>
              <w:jc w:val="center"/>
              <w:rPr>
                <w:rFonts w:hint="eastAsia"/>
                <w:color w:val="auto"/>
                <w:szCs w:val="21"/>
                <w:highlight w:val="none"/>
              </w:rPr>
            </w:pPr>
            <w:r>
              <w:rPr>
                <w:rFonts w:hint="eastAsia"/>
                <w:color w:val="auto"/>
                <w:szCs w:val="21"/>
                <w:highlight w:val="none"/>
              </w:rPr>
              <w:t>2.2.4(1)</w:t>
            </w:r>
          </w:p>
        </w:tc>
        <w:tc>
          <w:tcPr>
            <w:tcW w:w="825" w:type="dxa"/>
            <w:vMerge w:val="restart"/>
            <w:tcBorders>
              <w:top w:val="single" w:color="auto" w:sz="4" w:space="0"/>
              <w:bottom w:val="single" w:color="auto" w:sz="4" w:space="0"/>
            </w:tcBorders>
            <w:noWrap w:val="0"/>
            <w:vAlign w:val="center"/>
          </w:tcPr>
          <w:p w14:paraId="5155F27C">
            <w:pPr>
              <w:spacing w:line="276" w:lineRule="auto"/>
              <w:ind w:firstLine="0" w:firstLineChars="0"/>
              <w:jc w:val="center"/>
              <w:rPr>
                <w:rFonts w:hint="eastAsia"/>
                <w:color w:val="auto"/>
                <w:szCs w:val="21"/>
                <w:highlight w:val="none"/>
              </w:rPr>
            </w:pPr>
            <w:r>
              <w:rPr>
                <w:rFonts w:hint="eastAsia"/>
                <w:color w:val="auto"/>
                <w:szCs w:val="21"/>
                <w:highlight w:val="none"/>
              </w:rPr>
              <w:t>技术建议书</w:t>
            </w:r>
          </w:p>
        </w:tc>
        <w:tc>
          <w:tcPr>
            <w:tcW w:w="1020" w:type="dxa"/>
            <w:gridSpan w:val="2"/>
            <w:vMerge w:val="restart"/>
            <w:tcBorders>
              <w:top w:val="single" w:color="auto" w:sz="4" w:space="0"/>
              <w:bottom w:val="single" w:color="auto" w:sz="4" w:space="0"/>
              <w:right w:val="single" w:color="auto" w:sz="4" w:space="0"/>
            </w:tcBorders>
            <w:noWrap w:val="0"/>
            <w:vAlign w:val="center"/>
          </w:tcPr>
          <w:p w14:paraId="1C96E448">
            <w:pPr>
              <w:spacing w:line="276" w:lineRule="auto"/>
              <w:ind w:firstLine="0" w:firstLineChars="0"/>
              <w:jc w:val="center"/>
              <w:rPr>
                <w:color w:val="auto"/>
                <w:szCs w:val="21"/>
                <w:highlight w:val="none"/>
              </w:rPr>
            </w:pPr>
            <w:r>
              <w:rPr>
                <w:rFonts w:hint="eastAsia"/>
                <w:color w:val="auto"/>
                <w:szCs w:val="21"/>
                <w:highlight w:val="none"/>
                <w:u w:val="single"/>
                <w:lang w:val="en-US" w:eastAsia="zh-CN"/>
              </w:rPr>
              <w:t>30</w:t>
            </w:r>
            <w:r>
              <w:rPr>
                <w:rFonts w:hint="eastAsia"/>
                <w:color w:val="auto"/>
                <w:szCs w:val="21"/>
                <w:highlight w:val="none"/>
              </w:rPr>
              <w:t>分</w:t>
            </w:r>
          </w:p>
        </w:tc>
        <w:tc>
          <w:tcPr>
            <w:tcW w:w="1800" w:type="dxa"/>
            <w:tcBorders>
              <w:left w:val="single" w:color="auto" w:sz="4" w:space="0"/>
            </w:tcBorders>
            <w:noWrap w:val="0"/>
            <w:vAlign w:val="center"/>
          </w:tcPr>
          <w:p w14:paraId="0FE3131D">
            <w:pPr>
              <w:spacing w:line="400" w:lineRule="atLeast"/>
              <w:ind w:left="0" w:leftChars="0" w:firstLine="0" w:firstLineChars="0"/>
              <w:rPr>
                <w:color w:val="auto"/>
                <w:szCs w:val="21"/>
                <w:highlight w:val="none"/>
              </w:rPr>
            </w:pPr>
            <w:r>
              <w:rPr>
                <w:rFonts w:hAnsi="宋体"/>
                <w:snapToGrid w:val="0"/>
                <w:color w:val="auto"/>
                <w:szCs w:val="21"/>
                <w:highlight w:val="none"/>
              </w:rPr>
              <w:t>对招标项目</w:t>
            </w:r>
            <w:r>
              <w:rPr>
                <w:rFonts w:hint="eastAsia"/>
                <w:snapToGrid w:val="0"/>
                <w:color w:val="auto"/>
                <w:szCs w:val="21"/>
                <w:highlight w:val="none"/>
                <w:lang w:val="en-US" w:eastAsia="zh-CN"/>
              </w:rPr>
              <w:t>设计研究的</w:t>
            </w:r>
            <w:r>
              <w:rPr>
                <w:rFonts w:hAnsi="宋体"/>
                <w:snapToGrid w:val="0"/>
                <w:color w:val="auto"/>
                <w:szCs w:val="21"/>
                <w:highlight w:val="none"/>
              </w:rPr>
              <w:t>理解和总体</w:t>
            </w:r>
            <w:r>
              <w:rPr>
                <w:rFonts w:hint="eastAsia" w:hAnsi="宋体"/>
                <w:snapToGrid w:val="0"/>
                <w:color w:val="auto"/>
                <w:szCs w:val="21"/>
                <w:highlight w:val="none"/>
              </w:rPr>
              <w:t>工作</w:t>
            </w:r>
            <w:r>
              <w:rPr>
                <w:rFonts w:hAnsi="宋体"/>
                <w:snapToGrid w:val="0"/>
                <w:color w:val="auto"/>
                <w:szCs w:val="21"/>
                <w:highlight w:val="none"/>
              </w:rPr>
              <w:t>思路</w:t>
            </w:r>
          </w:p>
        </w:tc>
        <w:tc>
          <w:tcPr>
            <w:tcW w:w="870" w:type="dxa"/>
            <w:noWrap w:val="0"/>
            <w:vAlign w:val="center"/>
          </w:tcPr>
          <w:p w14:paraId="0AB4DCE0">
            <w:pPr>
              <w:spacing w:line="400" w:lineRule="atLeast"/>
              <w:ind w:left="0" w:leftChars="0" w:firstLine="0" w:firstLineChars="0"/>
              <w:jc w:val="center"/>
              <w:rPr>
                <w:color w:val="auto"/>
                <w:szCs w:val="21"/>
                <w:highlight w:val="none"/>
              </w:rPr>
            </w:pPr>
            <w:r>
              <w:rPr>
                <w:rFonts w:hint="eastAsia"/>
                <w:color w:val="auto"/>
                <w:szCs w:val="21"/>
                <w:highlight w:val="none"/>
                <w:u w:val="single"/>
                <w:lang w:val="en-US" w:eastAsia="zh-CN"/>
              </w:rPr>
              <w:t>10</w:t>
            </w:r>
            <w:r>
              <w:rPr>
                <w:rFonts w:hAnsi="宋体"/>
                <w:color w:val="auto"/>
                <w:szCs w:val="21"/>
                <w:highlight w:val="none"/>
              </w:rPr>
              <w:t>分</w:t>
            </w:r>
          </w:p>
        </w:tc>
        <w:tc>
          <w:tcPr>
            <w:tcW w:w="4521" w:type="dxa"/>
            <w:noWrap w:val="0"/>
            <w:vAlign w:val="center"/>
          </w:tcPr>
          <w:p w14:paraId="1598C639">
            <w:pPr>
              <w:spacing w:line="400" w:lineRule="atLeast"/>
              <w:ind w:firstLine="480" w:firstLineChars="200"/>
              <w:rPr>
                <w:color w:val="auto"/>
                <w:highlight w:val="none"/>
              </w:rPr>
            </w:pPr>
            <w:r>
              <w:rPr>
                <w:rFonts w:hint="eastAsia" w:ascii="宋体" w:hAnsi="宋体"/>
                <w:color w:val="auto"/>
                <w:szCs w:val="21"/>
                <w:highlight w:val="none"/>
              </w:rPr>
              <w:t>根据对研究工作范围描述是否完整、准确程度和总体工作思路清晰、可行程度，</w:t>
            </w:r>
            <w:r>
              <w:rPr>
                <w:rFonts w:hint="eastAsia"/>
                <w:color w:val="auto"/>
                <w:szCs w:val="21"/>
                <w:highlight w:val="none"/>
              </w:rPr>
              <w:t>一般得</w:t>
            </w:r>
            <w:r>
              <w:rPr>
                <w:rFonts w:hint="eastAsia"/>
                <w:color w:val="auto"/>
                <w:szCs w:val="21"/>
                <w:highlight w:val="none"/>
                <w:lang w:eastAsia="zh-CN"/>
              </w:rPr>
              <w:t>6</w:t>
            </w:r>
            <w:r>
              <w:rPr>
                <w:rFonts w:hint="eastAsia"/>
                <w:color w:val="auto"/>
                <w:szCs w:val="21"/>
                <w:highlight w:val="none"/>
                <w:lang w:val="en-US" w:eastAsia="zh-CN"/>
              </w:rPr>
              <w:t>.0</w:t>
            </w:r>
            <w:r>
              <w:rPr>
                <w:rFonts w:hint="eastAsia"/>
                <w:color w:val="auto"/>
                <w:szCs w:val="21"/>
                <w:highlight w:val="none"/>
              </w:rPr>
              <w:t>分，较好得</w:t>
            </w:r>
            <w:r>
              <w:rPr>
                <w:rFonts w:hint="eastAsia"/>
                <w:color w:val="auto"/>
                <w:szCs w:val="21"/>
                <w:highlight w:val="none"/>
                <w:lang w:eastAsia="zh-CN"/>
              </w:rPr>
              <w:t>6</w:t>
            </w:r>
            <w:r>
              <w:rPr>
                <w:rFonts w:hint="eastAsia"/>
                <w:color w:val="auto"/>
                <w:szCs w:val="21"/>
                <w:highlight w:val="none"/>
                <w:lang w:val="en-US" w:eastAsia="zh-CN"/>
              </w:rPr>
              <w:t>.0</w:t>
            </w:r>
            <w:r>
              <w:rPr>
                <w:rFonts w:hint="eastAsia"/>
                <w:color w:val="auto"/>
                <w:szCs w:val="21"/>
                <w:highlight w:val="none"/>
              </w:rPr>
              <w:t>-</w:t>
            </w:r>
            <w:r>
              <w:rPr>
                <w:rFonts w:hint="eastAsia"/>
                <w:color w:val="auto"/>
                <w:szCs w:val="21"/>
                <w:highlight w:val="none"/>
                <w:lang w:eastAsia="zh-CN"/>
              </w:rPr>
              <w:t>8</w:t>
            </w:r>
            <w:r>
              <w:rPr>
                <w:rFonts w:hint="eastAsia"/>
                <w:color w:val="auto"/>
                <w:szCs w:val="21"/>
                <w:highlight w:val="none"/>
              </w:rPr>
              <w:t>.</w:t>
            </w:r>
            <w:r>
              <w:rPr>
                <w:rFonts w:hint="eastAsia"/>
                <w:color w:val="auto"/>
                <w:szCs w:val="21"/>
                <w:highlight w:val="none"/>
                <w:lang w:val="en-US" w:eastAsia="zh-CN"/>
              </w:rPr>
              <w:t>0</w:t>
            </w:r>
            <w:r>
              <w:rPr>
                <w:rFonts w:hint="eastAsia"/>
                <w:color w:val="auto"/>
                <w:szCs w:val="21"/>
                <w:highlight w:val="none"/>
              </w:rPr>
              <w:t>分，</w:t>
            </w:r>
            <w:r>
              <w:rPr>
                <w:rFonts w:hint="eastAsia" w:ascii="宋体" w:hAnsi="宋体"/>
                <w:color w:val="auto"/>
                <w:szCs w:val="21"/>
                <w:highlight w:val="none"/>
              </w:rPr>
              <w:t>好</w:t>
            </w:r>
            <w:r>
              <w:rPr>
                <w:rFonts w:hint="eastAsia"/>
                <w:color w:val="auto"/>
                <w:szCs w:val="21"/>
                <w:highlight w:val="none"/>
              </w:rPr>
              <w:t>得</w:t>
            </w:r>
            <w:r>
              <w:rPr>
                <w:rFonts w:hint="eastAsia"/>
                <w:color w:val="auto"/>
                <w:szCs w:val="21"/>
                <w:highlight w:val="none"/>
                <w:lang w:eastAsia="zh-CN"/>
              </w:rPr>
              <w:t>8</w:t>
            </w:r>
            <w:r>
              <w:rPr>
                <w:rFonts w:hint="eastAsia"/>
                <w:color w:val="auto"/>
                <w:szCs w:val="21"/>
                <w:highlight w:val="none"/>
              </w:rPr>
              <w:t>.</w:t>
            </w:r>
            <w:r>
              <w:rPr>
                <w:rFonts w:hint="eastAsia"/>
                <w:color w:val="auto"/>
                <w:szCs w:val="21"/>
                <w:highlight w:val="none"/>
                <w:lang w:val="en-US" w:eastAsia="zh-CN"/>
              </w:rPr>
              <w:t>0</w:t>
            </w:r>
            <w:r>
              <w:rPr>
                <w:rFonts w:hint="eastAsia"/>
                <w:color w:val="auto"/>
                <w:szCs w:val="21"/>
                <w:highlight w:val="none"/>
              </w:rPr>
              <w:t>-</w:t>
            </w:r>
            <w:r>
              <w:rPr>
                <w:rFonts w:hint="eastAsia"/>
                <w:color w:val="auto"/>
                <w:szCs w:val="21"/>
                <w:highlight w:val="none"/>
                <w:lang w:eastAsia="zh-CN"/>
              </w:rPr>
              <w:t>1</w:t>
            </w:r>
            <w:r>
              <w:rPr>
                <w:rFonts w:hint="eastAsia"/>
                <w:color w:val="auto"/>
                <w:szCs w:val="21"/>
                <w:highlight w:val="none"/>
                <w:lang w:val="en-US" w:eastAsia="zh-CN"/>
              </w:rPr>
              <w:t>0</w:t>
            </w:r>
            <w:r>
              <w:rPr>
                <w:rFonts w:hint="eastAsia"/>
                <w:color w:val="auto"/>
                <w:szCs w:val="21"/>
                <w:highlight w:val="none"/>
              </w:rPr>
              <w:t>.0分。</w:t>
            </w:r>
          </w:p>
        </w:tc>
      </w:tr>
      <w:tr w14:paraId="03AE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86" w:type="dxa"/>
            <w:vMerge w:val="continue"/>
            <w:tcBorders>
              <w:top w:val="single" w:color="auto" w:sz="4" w:space="0"/>
              <w:left w:val="single" w:color="auto" w:sz="4" w:space="0"/>
              <w:bottom w:val="single" w:color="auto" w:sz="4" w:space="0"/>
            </w:tcBorders>
            <w:noWrap w:val="0"/>
            <w:vAlign w:val="center"/>
          </w:tcPr>
          <w:p w14:paraId="5891EC51">
            <w:pPr>
              <w:spacing w:line="276" w:lineRule="auto"/>
              <w:ind w:firstLine="480"/>
              <w:jc w:val="center"/>
              <w:rPr>
                <w:color w:val="auto"/>
                <w:szCs w:val="21"/>
                <w:highlight w:val="none"/>
              </w:rPr>
            </w:pPr>
          </w:p>
        </w:tc>
        <w:tc>
          <w:tcPr>
            <w:tcW w:w="825" w:type="dxa"/>
            <w:vMerge w:val="continue"/>
            <w:tcBorders>
              <w:top w:val="single" w:color="auto" w:sz="4" w:space="0"/>
              <w:bottom w:val="single" w:color="auto" w:sz="4" w:space="0"/>
            </w:tcBorders>
            <w:noWrap w:val="0"/>
            <w:vAlign w:val="center"/>
          </w:tcPr>
          <w:p w14:paraId="694C128C">
            <w:pPr>
              <w:spacing w:line="276" w:lineRule="auto"/>
              <w:ind w:firstLine="480"/>
              <w:jc w:val="center"/>
              <w:rPr>
                <w:rFonts w:hint="eastAsia"/>
                <w:color w:val="auto"/>
                <w:szCs w:val="21"/>
                <w:highlight w:val="none"/>
              </w:rPr>
            </w:pPr>
          </w:p>
        </w:tc>
        <w:tc>
          <w:tcPr>
            <w:tcW w:w="1020" w:type="dxa"/>
            <w:gridSpan w:val="2"/>
            <w:vMerge w:val="continue"/>
            <w:tcBorders>
              <w:top w:val="single" w:color="auto" w:sz="4" w:space="0"/>
              <w:bottom w:val="single" w:color="auto" w:sz="4" w:space="0"/>
              <w:right w:val="single" w:color="auto" w:sz="4" w:space="0"/>
            </w:tcBorders>
            <w:noWrap w:val="0"/>
            <w:vAlign w:val="center"/>
          </w:tcPr>
          <w:p w14:paraId="55CA620A">
            <w:pPr>
              <w:spacing w:line="276" w:lineRule="auto"/>
              <w:ind w:firstLine="480"/>
              <w:jc w:val="center"/>
              <w:rPr>
                <w:color w:val="auto"/>
                <w:szCs w:val="21"/>
                <w:highlight w:val="none"/>
              </w:rPr>
            </w:pPr>
          </w:p>
        </w:tc>
        <w:tc>
          <w:tcPr>
            <w:tcW w:w="1800" w:type="dxa"/>
            <w:tcBorders>
              <w:left w:val="single" w:color="auto" w:sz="4" w:space="0"/>
            </w:tcBorders>
            <w:noWrap w:val="0"/>
            <w:vAlign w:val="center"/>
          </w:tcPr>
          <w:p w14:paraId="5B3559C0">
            <w:pPr>
              <w:spacing w:line="400" w:lineRule="atLeast"/>
              <w:ind w:left="0" w:leftChars="0" w:firstLine="0" w:firstLineChars="0"/>
              <w:rPr>
                <w:rFonts w:hint="eastAsia" w:eastAsia="宋体"/>
                <w:snapToGrid w:val="0"/>
                <w:color w:val="auto"/>
                <w:szCs w:val="21"/>
                <w:highlight w:val="none"/>
                <w:lang w:val="en-US" w:eastAsia="zh-CN"/>
              </w:rPr>
            </w:pPr>
            <w:r>
              <w:rPr>
                <w:rFonts w:hint="eastAsia" w:hAnsi="宋体"/>
                <w:snapToGrid w:val="0"/>
                <w:color w:val="auto"/>
                <w:szCs w:val="21"/>
                <w:highlight w:val="none"/>
              </w:rPr>
              <w:t>对</w:t>
            </w:r>
            <w:r>
              <w:rPr>
                <w:rFonts w:hAnsi="宋体"/>
                <w:snapToGrid w:val="0"/>
                <w:color w:val="auto"/>
                <w:szCs w:val="21"/>
                <w:highlight w:val="none"/>
              </w:rPr>
              <w:t>招标项目的特点、关键技术问题的认识及其对策措施</w:t>
            </w:r>
            <w:r>
              <w:rPr>
                <w:rFonts w:hint="eastAsia"/>
                <w:snapToGrid w:val="0"/>
                <w:color w:val="auto"/>
                <w:szCs w:val="21"/>
                <w:highlight w:val="none"/>
                <w:lang w:val="en-US" w:eastAsia="zh-CN"/>
              </w:rPr>
              <w:t>,</w:t>
            </w:r>
            <w:r>
              <w:rPr>
                <w:rFonts w:hint="eastAsia"/>
                <w:color w:val="auto"/>
                <w:szCs w:val="21"/>
                <w:highlight w:val="none"/>
              </w:rPr>
              <w:t>质量、进度保证措施</w:t>
            </w:r>
          </w:p>
        </w:tc>
        <w:tc>
          <w:tcPr>
            <w:tcW w:w="870" w:type="dxa"/>
            <w:noWrap w:val="0"/>
            <w:vAlign w:val="center"/>
          </w:tcPr>
          <w:p w14:paraId="6734A922">
            <w:pPr>
              <w:spacing w:line="400" w:lineRule="atLeast"/>
              <w:ind w:left="0" w:leftChars="0" w:firstLine="0" w:firstLineChars="0"/>
              <w:jc w:val="center"/>
              <w:rPr>
                <w:color w:val="auto"/>
                <w:szCs w:val="21"/>
                <w:highlight w:val="none"/>
              </w:rPr>
            </w:pPr>
            <w:r>
              <w:rPr>
                <w:rFonts w:hint="eastAsia"/>
                <w:color w:val="auto"/>
                <w:szCs w:val="21"/>
                <w:highlight w:val="none"/>
                <w:u w:val="single"/>
                <w:lang w:val="en-US" w:eastAsia="zh-CN"/>
              </w:rPr>
              <w:t>10</w:t>
            </w:r>
            <w:r>
              <w:rPr>
                <w:rFonts w:hAnsi="宋体"/>
                <w:color w:val="auto"/>
                <w:szCs w:val="21"/>
                <w:highlight w:val="none"/>
              </w:rPr>
              <w:t>分</w:t>
            </w:r>
          </w:p>
        </w:tc>
        <w:tc>
          <w:tcPr>
            <w:tcW w:w="4521" w:type="dxa"/>
            <w:noWrap w:val="0"/>
            <w:vAlign w:val="center"/>
          </w:tcPr>
          <w:p w14:paraId="73C93400">
            <w:pPr>
              <w:spacing w:line="400" w:lineRule="atLeast"/>
              <w:ind w:firstLine="480" w:firstLineChars="200"/>
              <w:rPr>
                <w:color w:val="auto"/>
                <w:highlight w:val="none"/>
              </w:rPr>
            </w:pPr>
            <w:r>
              <w:rPr>
                <w:rFonts w:hint="eastAsia" w:ascii="宋体" w:hAnsi="宋体"/>
                <w:color w:val="auto"/>
                <w:szCs w:val="21"/>
                <w:highlight w:val="none"/>
              </w:rPr>
              <w:t>根据对项目特点、关键技术问题的把握程度和研究工作应着重解决的技术问题所提出处理措施的可行性程度、技术手段的先进性，根据进度和质量保证措施的可实施性</w:t>
            </w:r>
            <w:r>
              <w:rPr>
                <w:rFonts w:hint="eastAsia"/>
                <w:color w:val="auto"/>
                <w:szCs w:val="21"/>
                <w:highlight w:val="none"/>
                <w:lang w:val="en-US" w:eastAsia="zh-CN"/>
              </w:rPr>
              <w:t>,</w:t>
            </w:r>
            <w:r>
              <w:rPr>
                <w:rFonts w:hint="eastAsia"/>
                <w:color w:val="auto"/>
                <w:szCs w:val="21"/>
                <w:highlight w:val="none"/>
              </w:rPr>
              <w:t>一般得6.0分，较好得6.0-8.0分，好得8.0-10.0分</w:t>
            </w:r>
            <w:r>
              <w:rPr>
                <w:rFonts w:hint="eastAsia"/>
                <w:color w:val="auto"/>
                <w:szCs w:val="21"/>
                <w:highlight w:val="none"/>
                <w:lang w:val="en-US" w:eastAsia="zh-CN"/>
              </w:rPr>
              <w:t>。</w:t>
            </w:r>
          </w:p>
        </w:tc>
      </w:tr>
      <w:tr w14:paraId="2E6C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786" w:type="dxa"/>
            <w:vMerge w:val="continue"/>
            <w:tcBorders>
              <w:top w:val="single" w:color="auto" w:sz="4" w:space="0"/>
              <w:left w:val="single" w:color="auto" w:sz="4" w:space="0"/>
              <w:bottom w:val="single" w:color="auto" w:sz="4" w:space="0"/>
            </w:tcBorders>
            <w:noWrap w:val="0"/>
            <w:vAlign w:val="center"/>
          </w:tcPr>
          <w:p w14:paraId="15CBB090">
            <w:pPr>
              <w:spacing w:line="276" w:lineRule="auto"/>
              <w:ind w:firstLine="480"/>
              <w:jc w:val="center"/>
              <w:rPr>
                <w:color w:val="auto"/>
                <w:szCs w:val="21"/>
                <w:highlight w:val="none"/>
              </w:rPr>
            </w:pPr>
          </w:p>
        </w:tc>
        <w:tc>
          <w:tcPr>
            <w:tcW w:w="825" w:type="dxa"/>
            <w:vMerge w:val="continue"/>
            <w:tcBorders>
              <w:top w:val="single" w:color="auto" w:sz="4" w:space="0"/>
              <w:bottom w:val="single" w:color="auto" w:sz="4" w:space="0"/>
            </w:tcBorders>
            <w:noWrap w:val="0"/>
            <w:vAlign w:val="center"/>
          </w:tcPr>
          <w:p w14:paraId="7F87CCC6">
            <w:pPr>
              <w:spacing w:line="276" w:lineRule="auto"/>
              <w:ind w:firstLine="480"/>
              <w:jc w:val="center"/>
              <w:rPr>
                <w:rFonts w:hint="eastAsia"/>
                <w:color w:val="auto"/>
                <w:szCs w:val="21"/>
                <w:highlight w:val="none"/>
              </w:rPr>
            </w:pPr>
          </w:p>
        </w:tc>
        <w:tc>
          <w:tcPr>
            <w:tcW w:w="1020" w:type="dxa"/>
            <w:gridSpan w:val="2"/>
            <w:vMerge w:val="continue"/>
            <w:tcBorders>
              <w:top w:val="single" w:color="auto" w:sz="4" w:space="0"/>
              <w:bottom w:val="single" w:color="auto" w:sz="4" w:space="0"/>
              <w:right w:val="single" w:color="auto" w:sz="4" w:space="0"/>
            </w:tcBorders>
            <w:noWrap w:val="0"/>
            <w:vAlign w:val="center"/>
          </w:tcPr>
          <w:p w14:paraId="1DD1EDB1">
            <w:pPr>
              <w:spacing w:line="276" w:lineRule="auto"/>
              <w:ind w:firstLine="480"/>
              <w:jc w:val="center"/>
              <w:rPr>
                <w:color w:val="auto"/>
                <w:szCs w:val="21"/>
                <w:highlight w:val="none"/>
              </w:rPr>
            </w:pPr>
          </w:p>
        </w:tc>
        <w:tc>
          <w:tcPr>
            <w:tcW w:w="1800" w:type="dxa"/>
            <w:tcBorders>
              <w:left w:val="single" w:color="auto" w:sz="4" w:space="0"/>
            </w:tcBorders>
            <w:noWrap w:val="0"/>
            <w:vAlign w:val="center"/>
          </w:tcPr>
          <w:p w14:paraId="0E50F0A3">
            <w:pPr>
              <w:spacing w:line="400" w:lineRule="atLeast"/>
              <w:ind w:firstLine="0" w:firstLineChars="0"/>
              <w:rPr>
                <w:rFonts w:hint="eastAsia" w:eastAsia="宋体"/>
                <w:color w:val="auto"/>
                <w:szCs w:val="21"/>
                <w:highlight w:val="none"/>
                <w:lang w:eastAsia="zh-CN"/>
              </w:rPr>
            </w:pPr>
            <w:r>
              <w:rPr>
                <w:rFonts w:hint="eastAsia"/>
                <w:color w:val="auto"/>
                <w:szCs w:val="21"/>
                <w:highlight w:val="none"/>
              </w:rPr>
              <w:t>后续服务的安排及</w:t>
            </w:r>
            <w:r>
              <w:rPr>
                <w:rFonts w:hint="eastAsia"/>
                <w:color w:val="auto"/>
                <w:szCs w:val="21"/>
                <w:highlight w:val="none"/>
                <w:lang w:val="en-US" w:eastAsia="zh-CN"/>
              </w:rPr>
              <w:t>关键技术成果、奖项申报的</w:t>
            </w:r>
            <w:r>
              <w:rPr>
                <w:rFonts w:hint="eastAsia"/>
                <w:color w:val="auto"/>
                <w:szCs w:val="21"/>
                <w:highlight w:val="none"/>
              </w:rPr>
              <w:t>保证措施</w:t>
            </w:r>
          </w:p>
        </w:tc>
        <w:tc>
          <w:tcPr>
            <w:tcW w:w="870" w:type="dxa"/>
            <w:noWrap w:val="0"/>
            <w:vAlign w:val="center"/>
          </w:tcPr>
          <w:p w14:paraId="71A56211">
            <w:pPr>
              <w:spacing w:line="400" w:lineRule="atLeast"/>
              <w:ind w:left="0" w:leftChars="0" w:firstLine="0" w:firstLineChars="0"/>
              <w:jc w:val="center"/>
              <w:rPr>
                <w:color w:val="auto"/>
                <w:szCs w:val="21"/>
                <w:highlight w:val="none"/>
              </w:rPr>
            </w:pPr>
            <w:r>
              <w:rPr>
                <w:rFonts w:hint="eastAsia"/>
                <w:color w:val="auto"/>
                <w:szCs w:val="21"/>
                <w:highlight w:val="none"/>
                <w:u w:val="single"/>
                <w:lang w:val="en-US" w:eastAsia="zh-CN"/>
              </w:rPr>
              <w:t>10</w:t>
            </w:r>
            <w:r>
              <w:rPr>
                <w:rFonts w:hAnsi="宋体"/>
                <w:color w:val="auto"/>
                <w:szCs w:val="21"/>
                <w:highlight w:val="none"/>
              </w:rPr>
              <w:t>分</w:t>
            </w:r>
          </w:p>
        </w:tc>
        <w:tc>
          <w:tcPr>
            <w:tcW w:w="4521" w:type="dxa"/>
            <w:noWrap w:val="0"/>
            <w:vAlign w:val="center"/>
          </w:tcPr>
          <w:p w14:paraId="4C0EEFBB">
            <w:pPr>
              <w:spacing w:line="400" w:lineRule="atLeast"/>
              <w:ind w:firstLine="480" w:firstLineChars="200"/>
              <w:rPr>
                <w:color w:val="auto"/>
                <w:highlight w:val="none"/>
              </w:rPr>
            </w:pPr>
            <w:r>
              <w:rPr>
                <w:rFonts w:hint="eastAsia" w:ascii="宋体" w:hAnsi="宋体"/>
                <w:color w:val="auto"/>
                <w:szCs w:val="21"/>
                <w:highlight w:val="none"/>
              </w:rPr>
              <w:t>根据后续服务安排和保证措施的可实施性及全面性，</w:t>
            </w:r>
            <w:r>
              <w:rPr>
                <w:rFonts w:hint="eastAsia"/>
                <w:color w:val="auto"/>
                <w:szCs w:val="21"/>
                <w:highlight w:val="none"/>
              </w:rPr>
              <w:t>一般得6.0分，较好得6.0-8.0分，好得8.0-10.0分。</w:t>
            </w:r>
          </w:p>
        </w:tc>
      </w:tr>
      <w:tr w14:paraId="0277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86" w:type="dxa"/>
            <w:tcBorders>
              <w:top w:val="single" w:color="auto" w:sz="4" w:space="0"/>
            </w:tcBorders>
            <w:noWrap w:val="0"/>
            <w:vAlign w:val="center"/>
          </w:tcPr>
          <w:p w14:paraId="15746FCA">
            <w:pPr>
              <w:spacing w:line="276" w:lineRule="auto"/>
              <w:ind w:firstLine="0" w:firstLineChars="0"/>
              <w:jc w:val="center"/>
              <w:rPr>
                <w:color w:val="auto"/>
                <w:szCs w:val="21"/>
                <w:highlight w:val="none"/>
              </w:rPr>
            </w:pPr>
            <w:r>
              <w:rPr>
                <w:color w:val="auto"/>
                <w:szCs w:val="21"/>
                <w:highlight w:val="none"/>
              </w:rPr>
              <w:t>2.2.4（</w:t>
            </w:r>
            <w:r>
              <w:rPr>
                <w:rFonts w:hint="eastAsia"/>
                <w:color w:val="auto"/>
                <w:szCs w:val="21"/>
                <w:highlight w:val="none"/>
              </w:rPr>
              <w:t>2</w:t>
            </w:r>
            <w:r>
              <w:rPr>
                <w:color w:val="auto"/>
                <w:szCs w:val="21"/>
                <w:highlight w:val="none"/>
              </w:rPr>
              <w:t>）</w:t>
            </w:r>
          </w:p>
        </w:tc>
        <w:tc>
          <w:tcPr>
            <w:tcW w:w="825" w:type="dxa"/>
            <w:tcBorders>
              <w:top w:val="single" w:color="auto" w:sz="4" w:space="0"/>
            </w:tcBorders>
            <w:noWrap w:val="0"/>
            <w:vAlign w:val="center"/>
          </w:tcPr>
          <w:p w14:paraId="6C4A6E8A">
            <w:pPr>
              <w:spacing w:line="276" w:lineRule="auto"/>
              <w:ind w:firstLine="0" w:firstLineChars="0"/>
              <w:jc w:val="center"/>
              <w:rPr>
                <w:rFonts w:hint="eastAsia"/>
                <w:color w:val="auto"/>
                <w:szCs w:val="21"/>
                <w:highlight w:val="none"/>
              </w:rPr>
            </w:pPr>
            <w:r>
              <w:rPr>
                <w:rFonts w:hint="eastAsia"/>
                <w:color w:val="auto"/>
                <w:szCs w:val="21"/>
                <w:highlight w:val="none"/>
              </w:rPr>
              <w:t>主要人员</w:t>
            </w:r>
          </w:p>
        </w:tc>
        <w:tc>
          <w:tcPr>
            <w:tcW w:w="1020" w:type="dxa"/>
            <w:gridSpan w:val="2"/>
            <w:tcBorders>
              <w:top w:val="single" w:color="auto" w:sz="4" w:space="0"/>
            </w:tcBorders>
            <w:noWrap w:val="0"/>
            <w:vAlign w:val="center"/>
          </w:tcPr>
          <w:p w14:paraId="40E58805">
            <w:pPr>
              <w:spacing w:line="276" w:lineRule="auto"/>
              <w:ind w:firstLine="0" w:firstLineChars="0"/>
              <w:jc w:val="center"/>
              <w:rPr>
                <w:color w:val="auto"/>
                <w:szCs w:val="21"/>
                <w:highlight w:val="none"/>
              </w:rPr>
            </w:pPr>
            <w:r>
              <w:rPr>
                <w:rFonts w:hint="eastAsia"/>
                <w:color w:val="auto"/>
                <w:szCs w:val="21"/>
                <w:highlight w:val="none"/>
                <w:u w:val="single"/>
                <w:lang w:val="en-US" w:eastAsia="zh-CN"/>
              </w:rPr>
              <w:t>20</w:t>
            </w:r>
            <w:r>
              <w:rPr>
                <w:rFonts w:hint="eastAsia"/>
                <w:color w:val="auto"/>
                <w:szCs w:val="21"/>
                <w:highlight w:val="none"/>
              </w:rPr>
              <w:t>分</w:t>
            </w:r>
          </w:p>
        </w:tc>
        <w:tc>
          <w:tcPr>
            <w:tcW w:w="7191" w:type="dxa"/>
            <w:gridSpan w:val="3"/>
            <w:noWrap w:val="0"/>
            <w:vAlign w:val="center"/>
          </w:tcPr>
          <w:p w14:paraId="466154B8">
            <w:pPr>
              <w:topLinePunct/>
              <w:spacing w:line="276" w:lineRule="auto"/>
              <w:ind w:firstLine="0" w:firstLineChars="0"/>
              <w:rPr>
                <w:rFonts w:hint="eastAsia"/>
                <w:color w:val="auto"/>
                <w:szCs w:val="21"/>
                <w:highlight w:val="none"/>
              </w:rPr>
            </w:pPr>
            <w:r>
              <w:rPr>
                <w:rFonts w:hint="eastAsia"/>
                <w:color w:val="auto"/>
                <w:szCs w:val="21"/>
                <w:highlight w:val="none"/>
              </w:rPr>
              <w:t>拟投入本项目的项目负责人资格和能力满足资格审查条件</w:t>
            </w:r>
            <w:r>
              <w:rPr>
                <w:rFonts w:hint="eastAsia"/>
                <w:color w:val="auto"/>
                <w:szCs w:val="21"/>
                <w:highlight w:val="none"/>
                <w:lang w:eastAsia="zh-CN"/>
              </w:rPr>
              <w:t>，</w:t>
            </w:r>
            <w:r>
              <w:rPr>
                <w:rFonts w:hint="eastAsia"/>
                <w:color w:val="auto"/>
                <w:szCs w:val="21"/>
                <w:highlight w:val="none"/>
              </w:rPr>
              <w:t>得</w:t>
            </w:r>
            <w:r>
              <w:rPr>
                <w:rFonts w:hint="eastAsia"/>
                <w:color w:val="auto"/>
                <w:szCs w:val="21"/>
                <w:highlight w:val="none"/>
                <w:lang w:val="en-US" w:eastAsia="zh-CN"/>
              </w:rPr>
              <w:t>2</w:t>
            </w:r>
            <w:r>
              <w:rPr>
                <w:rFonts w:hint="eastAsia"/>
                <w:color w:val="auto"/>
                <w:szCs w:val="21"/>
                <w:highlight w:val="none"/>
              </w:rPr>
              <w:t>0分。</w:t>
            </w:r>
          </w:p>
        </w:tc>
      </w:tr>
      <w:tr w14:paraId="7154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86" w:type="dxa"/>
            <w:noWrap w:val="0"/>
            <w:vAlign w:val="center"/>
          </w:tcPr>
          <w:p w14:paraId="1B2C3003">
            <w:pPr>
              <w:spacing w:line="276" w:lineRule="auto"/>
              <w:ind w:firstLine="0" w:firstLineChars="0"/>
              <w:jc w:val="center"/>
              <w:rPr>
                <w:color w:val="auto"/>
                <w:szCs w:val="21"/>
                <w:highlight w:val="none"/>
              </w:rPr>
            </w:pPr>
            <w:r>
              <w:rPr>
                <w:color w:val="auto"/>
                <w:szCs w:val="21"/>
                <w:highlight w:val="none"/>
              </w:rPr>
              <w:t>2.2.4（3）</w:t>
            </w:r>
          </w:p>
        </w:tc>
        <w:tc>
          <w:tcPr>
            <w:tcW w:w="825" w:type="dxa"/>
            <w:noWrap w:val="0"/>
            <w:vAlign w:val="center"/>
          </w:tcPr>
          <w:p w14:paraId="4CF196CA">
            <w:pPr>
              <w:spacing w:line="276" w:lineRule="auto"/>
              <w:ind w:firstLine="0" w:firstLineChars="0"/>
              <w:jc w:val="center"/>
              <w:rPr>
                <w:color w:val="auto"/>
                <w:szCs w:val="21"/>
                <w:highlight w:val="none"/>
              </w:rPr>
            </w:pPr>
            <w:r>
              <w:rPr>
                <w:color w:val="auto"/>
                <w:szCs w:val="21"/>
                <w:highlight w:val="none"/>
              </w:rPr>
              <w:t>评标价</w:t>
            </w:r>
          </w:p>
        </w:tc>
        <w:tc>
          <w:tcPr>
            <w:tcW w:w="1020" w:type="dxa"/>
            <w:gridSpan w:val="2"/>
            <w:noWrap w:val="0"/>
            <w:vAlign w:val="center"/>
          </w:tcPr>
          <w:p w14:paraId="6956A813">
            <w:pPr>
              <w:spacing w:line="276" w:lineRule="auto"/>
              <w:ind w:firstLine="0" w:firstLineChars="0"/>
              <w:jc w:val="center"/>
              <w:rPr>
                <w:color w:val="auto"/>
                <w:szCs w:val="21"/>
                <w:highlight w:val="none"/>
              </w:rPr>
            </w:pPr>
            <w:r>
              <w:rPr>
                <w:rFonts w:hint="eastAsia"/>
                <w:color w:val="auto"/>
                <w:szCs w:val="21"/>
                <w:highlight w:val="none"/>
                <w:u w:val="single"/>
                <w:lang w:val="en-US" w:eastAsia="zh-CN"/>
              </w:rPr>
              <w:t>30</w:t>
            </w:r>
            <w:r>
              <w:rPr>
                <w:rFonts w:hint="eastAsia"/>
                <w:color w:val="auto"/>
                <w:szCs w:val="21"/>
                <w:highlight w:val="none"/>
              </w:rPr>
              <w:t>分</w:t>
            </w:r>
          </w:p>
        </w:tc>
        <w:tc>
          <w:tcPr>
            <w:tcW w:w="7191" w:type="dxa"/>
            <w:gridSpan w:val="3"/>
            <w:noWrap w:val="0"/>
            <w:vAlign w:val="center"/>
          </w:tcPr>
          <w:p w14:paraId="77B9B1F3">
            <w:pPr>
              <w:spacing w:line="380" w:lineRule="atLeast"/>
              <w:ind w:firstLine="0" w:firstLineChars="0"/>
              <w:rPr>
                <w:color w:val="auto"/>
                <w:szCs w:val="21"/>
                <w:highlight w:val="none"/>
              </w:rPr>
            </w:pPr>
            <w:r>
              <w:rPr>
                <w:color w:val="auto"/>
                <w:szCs w:val="21"/>
                <w:highlight w:val="none"/>
              </w:rPr>
              <w:t>评标价得分计算公式示例：</w:t>
            </w:r>
          </w:p>
          <w:p w14:paraId="08538B43">
            <w:pPr>
              <w:spacing w:line="380" w:lineRule="atLeast"/>
              <w:ind w:firstLine="0" w:firstLineChars="0"/>
              <w:rPr>
                <w:color w:val="auto"/>
                <w:szCs w:val="21"/>
                <w:highlight w:val="none"/>
              </w:rPr>
            </w:pPr>
            <w:r>
              <w:rPr>
                <w:color w:val="auto"/>
                <w:szCs w:val="21"/>
                <w:highlight w:val="none"/>
              </w:rPr>
              <w:t>（1）如果投标人的评标价&gt;评标基准价，则评标价得分</w:t>
            </w:r>
          </w:p>
          <w:p w14:paraId="61623E17">
            <w:pPr>
              <w:spacing w:line="380" w:lineRule="atLeast"/>
              <w:ind w:firstLine="0" w:firstLineChars="0"/>
              <w:rPr>
                <w:color w:val="auto"/>
                <w:szCs w:val="21"/>
                <w:highlight w:val="none"/>
              </w:rPr>
            </w:pPr>
            <w:r>
              <w:rPr>
                <w:color w:val="auto"/>
                <w:szCs w:val="21"/>
                <w:highlight w:val="none"/>
              </w:rPr>
              <w:t>＝</w:t>
            </w:r>
            <w:r>
              <w:rPr>
                <w:rFonts w:hint="eastAsia"/>
                <w:color w:val="auto"/>
                <w:szCs w:val="21"/>
                <w:highlight w:val="none"/>
                <w:lang w:val="en-US" w:eastAsia="zh-CN"/>
              </w:rPr>
              <w:t>30</w:t>
            </w:r>
            <w:r>
              <w:rPr>
                <w:color w:val="auto"/>
                <w:szCs w:val="21"/>
                <w:highlight w:val="none"/>
              </w:rPr>
              <w:t>－偏差率×100×</w:t>
            </w:r>
            <w:r>
              <w:rPr>
                <w:rFonts w:hint="eastAsia"/>
                <w:color w:val="auto"/>
                <w:szCs w:val="21"/>
                <w:highlight w:val="none"/>
              </w:rPr>
              <w:t>0.6</w:t>
            </w:r>
            <w:r>
              <w:rPr>
                <w:color w:val="auto"/>
                <w:szCs w:val="21"/>
                <w:highlight w:val="none"/>
              </w:rPr>
              <w:t>；</w:t>
            </w:r>
          </w:p>
          <w:p w14:paraId="1A697701">
            <w:pPr>
              <w:spacing w:line="380" w:lineRule="atLeast"/>
              <w:ind w:firstLine="0" w:firstLineChars="0"/>
              <w:rPr>
                <w:color w:val="auto"/>
                <w:highlight w:val="none"/>
              </w:rPr>
            </w:pPr>
            <w:r>
              <w:rPr>
                <w:color w:val="auto"/>
                <w:szCs w:val="21"/>
                <w:highlight w:val="none"/>
              </w:rPr>
              <w:t>（2）如果投标人的评标价≤评标基准价，则评标价得分＝</w:t>
            </w:r>
            <w:r>
              <w:rPr>
                <w:rFonts w:hint="eastAsia"/>
                <w:color w:val="auto"/>
                <w:szCs w:val="21"/>
                <w:highlight w:val="none"/>
                <w:lang w:val="en-US" w:eastAsia="zh-CN"/>
              </w:rPr>
              <w:t>30</w:t>
            </w:r>
            <w:r>
              <w:rPr>
                <w:color w:val="auto"/>
                <w:szCs w:val="21"/>
                <w:highlight w:val="none"/>
              </w:rPr>
              <w:t>＋偏差率×100×</w:t>
            </w:r>
            <w:r>
              <w:rPr>
                <w:rFonts w:hint="eastAsia"/>
                <w:color w:val="auto"/>
                <w:szCs w:val="21"/>
                <w:highlight w:val="none"/>
              </w:rPr>
              <w:t>0.3</w:t>
            </w:r>
            <w:r>
              <w:rPr>
                <w:color w:val="auto"/>
                <w:szCs w:val="21"/>
                <w:highlight w:val="none"/>
              </w:rPr>
              <w:t>。</w:t>
            </w:r>
          </w:p>
          <w:p w14:paraId="5521D367">
            <w:pPr>
              <w:topLinePunct/>
              <w:spacing w:line="276" w:lineRule="auto"/>
              <w:ind w:left="0" w:leftChars="0" w:firstLine="0" w:firstLineChars="0"/>
              <w:rPr>
                <w:color w:val="auto"/>
                <w:szCs w:val="21"/>
                <w:highlight w:val="none"/>
              </w:rPr>
            </w:pPr>
            <w:r>
              <w:rPr>
                <w:rFonts w:hint="eastAsia"/>
                <w:color w:val="auto"/>
                <w:szCs w:val="21"/>
                <w:highlight w:val="none"/>
              </w:rPr>
              <w:t>评标价得分计算保留小数点后四位，小数点后第五位“四舍五入”。</w:t>
            </w:r>
          </w:p>
        </w:tc>
      </w:tr>
      <w:tr w14:paraId="1BEB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jc w:val="center"/>
        </w:trPr>
        <w:tc>
          <w:tcPr>
            <w:tcW w:w="786" w:type="dxa"/>
            <w:vMerge w:val="restart"/>
            <w:noWrap w:val="0"/>
            <w:vAlign w:val="center"/>
          </w:tcPr>
          <w:p w14:paraId="4539D14B">
            <w:pPr>
              <w:spacing w:line="276" w:lineRule="auto"/>
              <w:ind w:firstLine="0" w:firstLineChars="0"/>
              <w:jc w:val="center"/>
              <w:rPr>
                <w:rFonts w:hint="eastAsia"/>
                <w:color w:val="auto"/>
                <w:szCs w:val="21"/>
                <w:highlight w:val="none"/>
              </w:rPr>
            </w:pPr>
            <w:r>
              <w:rPr>
                <w:color w:val="auto"/>
                <w:szCs w:val="21"/>
                <w:highlight w:val="none"/>
              </w:rPr>
              <w:t>2.2.4（</w:t>
            </w:r>
            <w:r>
              <w:rPr>
                <w:rFonts w:hint="eastAsia"/>
                <w:color w:val="auto"/>
                <w:szCs w:val="21"/>
                <w:highlight w:val="none"/>
              </w:rPr>
              <w:t>4</w:t>
            </w:r>
            <w:r>
              <w:rPr>
                <w:color w:val="auto"/>
                <w:szCs w:val="21"/>
                <w:highlight w:val="none"/>
              </w:rPr>
              <w:t>）</w:t>
            </w:r>
          </w:p>
          <w:p w14:paraId="29A826D1">
            <w:pPr>
              <w:spacing w:line="276" w:lineRule="auto"/>
              <w:ind w:firstLine="480"/>
              <w:jc w:val="center"/>
              <w:rPr>
                <w:color w:val="auto"/>
                <w:szCs w:val="21"/>
                <w:highlight w:val="none"/>
              </w:rPr>
            </w:pPr>
          </w:p>
        </w:tc>
        <w:tc>
          <w:tcPr>
            <w:tcW w:w="825" w:type="dxa"/>
            <w:vMerge w:val="restart"/>
            <w:noWrap w:val="0"/>
            <w:vAlign w:val="center"/>
          </w:tcPr>
          <w:p w14:paraId="5E664F25">
            <w:pPr>
              <w:spacing w:line="276" w:lineRule="auto"/>
              <w:ind w:firstLine="0" w:firstLineChars="0"/>
              <w:jc w:val="center"/>
              <w:rPr>
                <w:rFonts w:hint="eastAsia"/>
                <w:color w:val="auto"/>
                <w:szCs w:val="21"/>
                <w:highlight w:val="none"/>
              </w:rPr>
            </w:pPr>
            <w:r>
              <w:rPr>
                <w:rFonts w:hint="eastAsia"/>
                <w:color w:val="auto"/>
                <w:szCs w:val="21"/>
                <w:highlight w:val="none"/>
              </w:rPr>
              <w:t>其他因素</w:t>
            </w:r>
          </w:p>
          <w:p w14:paraId="10C0B024">
            <w:pPr>
              <w:spacing w:line="276" w:lineRule="auto"/>
              <w:ind w:firstLine="0" w:firstLineChars="0"/>
              <w:jc w:val="center"/>
              <w:rPr>
                <w:rFonts w:hint="eastAsia"/>
                <w:color w:val="auto"/>
                <w:szCs w:val="21"/>
                <w:highlight w:val="none"/>
              </w:rPr>
            </w:pPr>
          </w:p>
        </w:tc>
        <w:tc>
          <w:tcPr>
            <w:tcW w:w="403" w:type="dxa"/>
            <w:noWrap w:val="0"/>
            <w:vAlign w:val="center"/>
          </w:tcPr>
          <w:p w14:paraId="6D60A871">
            <w:pPr>
              <w:spacing w:line="276" w:lineRule="auto"/>
              <w:ind w:firstLine="0" w:firstLineChars="0"/>
              <w:jc w:val="center"/>
              <w:rPr>
                <w:rFonts w:hint="eastAsia"/>
                <w:color w:val="auto"/>
                <w:szCs w:val="21"/>
                <w:highlight w:val="none"/>
              </w:rPr>
            </w:pPr>
            <w:r>
              <w:rPr>
                <w:rFonts w:hint="eastAsia"/>
                <w:color w:val="auto"/>
                <w:szCs w:val="21"/>
                <w:highlight w:val="none"/>
              </w:rPr>
              <w:t>业绩</w:t>
            </w:r>
          </w:p>
        </w:tc>
        <w:tc>
          <w:tcPr>
            <w:tcW w:w="617" w:type="dxa"/>
            <w:noWrap w:val="0"/>
            <w:vAlign w:val="center"/>
          </w:tcPr>
          <w:p w14:paraId="3E90F63D">
            <w:pPr>
              <w:spacing w:line="276" w:lineRule="auto"/>
              <w:ind w:firstLine="0" w:firstLineChars="0"/>
              <w:jc w:val="center"/>
              <w:rPr>
                <w:rFonts w:hint="eastAsia"/>
                <w:color w:val="auto"/>
                <w:szCs w:val="21"/>
                <w:highlight w:val="none"/>
                <w:u w:val="single"/>
              </w:rPr>
            </w:pPr>
            <w:r>
              <w:rPr>
                <w:rFonts w:hint="eastAsia"/>
                <w:color w:val="auto"/>
                <w:szCs w:val="21"/>
                <w:highlight w:val="none"/>
                <w:u w:val="single"/>
                <w:lang w:val="en-US" w:eastAsia="zh-CN"/>
              </w:rPr>
              <w:t>15</w:t>
            </w:r>
            <w:r>
              <w:rPr>
                <w:rFonts w:hint="eastAsia"/>
                <w:color w:val="auto"/>
                <w:szCs w:val="21"/>
                <w:highlight w:val="none"/>
              </w:rPr>
              <w:t>分</w:t>
            </w:r>
          </w:p>
        </w:tc>
        <w:tc>
          <w:tcPr>
            <w:tcW w:w="7191" w:type="dxa"/>
            <w:gridSpan w:val="3"/>
            <w:noWrap w:val="0"/>
            <w:vAlign w:val="center"/>
          </w:tcPr>
          <w:p w14:paraId="7DA339C6">
            <w:pPr>
              <w:ind w:left="0" w:leftChars="0" w:firstLine="0" w:firstLineChars="0"/>
              <w:rPr>
                <w:rFonts w:hint="eastAsia"/>
                <w:color w:val="auto"/>
                <w:highlight w:val="none"/>
              </w:rPr>
            </w:pPr>
            <w:r>
              <w:rPr>
                <w:rFonts w:hint="eastAsia"/>
                <w:color w:val="auto"/>
                <w:highlight w:val="none"/>
              </w:rPr>
              <w:t>满足资格审查条件(业绩最低要求)，得</w:t>
            </w:r>
            <w:r>
              <w:rPr>
                <w:rFonts w:hint="eastAsia"/>
                <w:color w:val="auto"/>
                <w:highlight w:val="none"/>
                <w:lang w:val="en-US" w:eastAsia="zh-CN"/>
              </w:rPr>
              <w:t>9</w:t>
            </w:r>
            <w:r>
              <w:rPr>
                <w:rFonts w:hint="eastAsia"/>
                <w:color w:val="auto"/>
                <w:highlight w:val="none"/>
              </w:rPr>
              <w:t>分</w:t>
            </w:r>
            <w:r>
              <w:rPr>
                <w:rFonts w:hint="eastAsia"/>
                <w:color w:val="auto"/>
                <w:highlight w:val="none"/>
                <w:lang w:eastAsia="zh-CN"/>
              </w:rPr>
              <w:t>；</w:t>
            </w:r>
            <w:r>
              <w:rPr>
                <w:rFonts w:hint="eastAsia"/>
                <w:color w:val="auto"/>
                <w:highlight w:val="none"/>
              </w:rPr>
              <w:t>在</w:t>
            </w:r>
            <w:r>
              <w:rPr>
                <w:rFonts w:hint="eastAsia"/>
                <w:color w:val="auto"/>
                <w:highlight w:val="none"/>
                <w:lang w:val="en-US" w:eastAsia="zh-CN"/>
              </w:rPr>
              <w:t>此</w:t>
            </w:r>
            <w:r>
              <w:rPr>
                <w:rFonts w:hint="eastAsia"/>
                <w:color w:val="auto"/>
                <w:highlight w:val="none"/>
              </w:rPr>
              <w:t>基础上：</w:t>
            </w:r>
          </w:p>
          <w:p w14:paraId="0B6E54CA">
            <w:pPr>
              <w:numPr>
                <w:ilvl w:val="0"/>
                <w:numId w:val="1"/>
              </w:numPr>
              <w:spacing w:line="360" w:lineRule="auto"/>
              <w:rPr>
                <w:rFonts w:hint="eastAsia"/>
                <w:color w:val="auto"/>
                <w:highlight w:val="none"/>
              </w:rPr>
            </w:pPr>
            <w:r>
              <w:rPr>
                <w:rFonts w:hint="eastAsia"/>
                <w:strike w:val="0"/>
                <w:dstrike w:val="0"/>
                <w:color w:val="auto"/>
                <w:highlight w:val="none"/>
              </w:rPr>
              <w:t>近5年内每增加</w:t>
            </w:r>
            <w:r>
              <w:rPr>
                <w:bCs/>
                <w:color w:val="auto"/>
                <w:sz w:val="24"/>
                <w:highlight w:val="none"/>
              </w:rPr>
              <w:t>1项</w:t>
            </w:r>
            <w:r>
              <w:rPr>
                <w:rFonts w:hint="eastAsia"/>
                <w:bCs/>
                <w:color w:val="auto"/>
                <w:sz w:val="24"/>
                <w:highlight w:val="none"/>
                <w:lang w:val="en-US" w:eastAsia="zh-CN"/>
              </w:rPr>
              <w:t>类似工程的科研课题或设计指南或标准</w:t>
            </w:r>
            <w:r>
              <w:rPr>
                <w:bCs/>
                <w:color w:val="auto"/>
                <w:sz w:val="24"/>
                <w:highlight w:val="none"/>
              </w:rPr>
              <w:t>的</w:t>
            </w:r>
            <w:r>
              <w:rPr>
                <w:rFonts w:hint="eastAsia"/>
                <w:bCs/>
                <w:color w:val="auto"/>
                <w:sz w:val="24"/>
                <w:highlight w:val="none"/>
                <w:lang w:val="en-US" w:eastAsia="zh-CN"/>
              </w:rPr>
              <w:t>编制</w:t>
            </w:r>
            <w:r>
              <w:rPr>
                <w:bCs/>
                <w:color w:val="auto"/>
                <w:sz w:val="24"/>
                <w:highlight w:val="none"/>
              </w:rPr>
              <w:t>研究工作</w:t>
            </w:r>
            <w:r>
              <w:rPr>
                <w:strike w:val="0"/>
                <w:dstrike w:val="0"/>
                <w:color w:val="auto"/>
                <w:highlight w:val="none"/>
              </w:rPr>
              <w:t>的加</w:t>
            </w:r>
            <w:r>
              <w:rPr>
                <w:rFonts w:hint="eastAsia"/>
                <w:strike w:val="0"/>
                <w:dstrike w:val="0"/>
                <w:color w:val="auto"/>
                <w:highlight w:val="none"/>
                <w:lang w:val="en-US" w:eastAsia="zh-CN"/>
              </w:rPr>
              <w:t>3</w:t>
            </w:r>
            <w:r>
              <w:rPr>
                <w:rFonts w:hint="eastAsia"/>
                <w:strike w:val="0"/>
                <w:dstrike w:val="0"/>
                <w:color w:val="auto"/>
                <w:highlight w:val="none"/>
              </w:rPr>
              <w:t>分</w:t>
            </w:r>
            <w:r>
              <w:rPr>
                <w:strike w:val="0"/>
                <w:dstrike w:val="0"/>
                <w:color w:val="auto"/>
                <w:highlight w:val="none"/>
              </w:rPr>
              <w:t>，最多加</w:t>
            </w:r>
            <w:r>
              <w:rPr>
                <w:rFonts w:hint="eastAsia"/>
                <w:strike w:val="0"/>
                <w:dstrike w:val="0"/>
                <w:color w:val="auto"/>
                <w:highlight w:val="none"/>
                <w:lang w:val="en-US" w:eastAsia="zh-CN"/>
              </w:rPr>
              <w:t>6</w:t>
            </w:r>
            <w:r>
              <w:rPr>
                <w:rFonts w:hint="eastAsia"/>
                <w:strike w:val="0"/>
                <w:dstrike w:val="0"/>
                <w:color w:val="auto"/>
                <w:highlight w:val="none"/>
              </w:rPr>
              <w:t>分</w:t>
            </w:r>
            <w:r>
              <w:rPr>
                <w:rFonts w:hint="eastAsia"/>
                <w:strike w:val="0"/>
                <w:dstrike w:val="0"/>
                <w:color w:val="auto"/>
                <w:highlight w:val="none"/>
                <w:lang w:eastAsia="zh-CN"/>
              </w:rPr>
              <w:t>。</w:t>
            </w:r>
          </w:p>
        </w:tc>
      </w:tr>
      <w:tr w14:paraId="5FBF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jc w:val="center"/>
        </w:trPr>
        <w:tc>
          <w:tcPr>
            <w:tcW w:w="786" w:type="dxa"/>
            <w:vMerge w:val="continue"/>
            <w:noWrap w:val="0"/>
            <w:vAlign w:val="center"/>
          </w:tcPr>
          <w:p w14:paraId="36D0991B">
            <w:pPr>
              <w:spacing w:line="276" w:lineRule="auto"/>
              <w:ind w:firstLine="480"/>
              <w:jc w:val="center"/>
              <w:rPr>
                <w:color w:val="auto"/>
                <w:szCs w:val="21"/>
                <w:highlight w:val="none"/>
              </w:rPr>
            </w:pPr>
          </w:p>
        </w:tc>
        <w:tc>
          <w:tcPr>
            <w:tcW w:w="825" w:type="dxa"/>
            <w:vMerge w:val="continue"/>
            <w:noWrap w:val="0"/>
            <w:vAlign w:val="center"/>
          </w:tcPr>
          <w:p w14:paraId="0F3BC81B">
            <w:pPr>
              <w:spacing w:line="276" w:lineRule="auto"/>
              <w:ind w:firstLine="0" w:firstLineChars="0"/>
              <w:jc w:val="center"/>
              <w:rPr>
                <w:rFonts w:hint="eastAsia"/>
                <w:color w:val="auto"/>
                <w:szCs w:val="21"/>
                <w:highlight w:val="none"/>
              </w:rPr>
            </w:pPr>
          </w:p>
        </w:tc>
        <w:tc>
          <w:tcPr>
            <w:tcW w:w="403" w:type="dxa"/>
            <w:noWrap w:val="0"/>
            <w:vAlign w:val="center"/>
          </w:tcPr>
          <w:p w14:paraId="04DD06B8">
            <w:pPr>
              <w:spacing w:line="276" w:lineRule="auto"/>
              <w:ind w:firstLine="0" w:firstLineChars="0"/>
              <w:jc w:val="center"/>
              <w:rPr>
                <w:rFonts w:hint="default" w:eastAsia="宋体"/>
                <w:color w:val="auto"/>
                <w:szCs w:val="21"/>
                <w:highlight w:val="none"/>
                <w:lang w:val="en-US" w:eastAsia="zh-CN"/>
              </w:rPr>
            </w:pPr>
            <w:r>
              <w:rPr>
                <w:rFonts w:hint="eastAsia"/>
                <w:color w:val="auto"/>
                <w:szCs w:val="21"/>
                <w:highlight w:val="none"/>
                <w:lang w:val="en-US" w:eastAsia="zh-CN"/>
              </w:rPr>
              <w:t>履约情况</w:t>
            </w:r>
          </w:p>
        </w:tc>
        <w:tc>
          <w:tcPr>
            <w:tcW w:w="617" w:type="dxa"/>
            <w:noWrap w:val="0"/>
            <w:vAlign w:val="center"/>
          </w:tcPr>
          <w:p w14:paraId="7D973E74">
            <w:pPr>
              <w:spacing w:line="276" w:lineRule="auto"/>
              <w:ind w:firstLine="0" w:firstLineChars="0"/>
              <w:jc w:val="center"/>
              <w:rPr>
                <w:rFonts w:hint="eastAsia"/>
                <w:color w:val="auto"/>
                <w:szCs w:val="21"/>
                <w:highlight w:val="none"/>
                <w:u w:val="single"/>
              </w:rPr>
            </w:pPr>
            <w:r>
              <w:rPr>
                <w:rFonts w:hint="eastAsia"/>
                <w:color w:val="auto"/>
                <w:szCs w:val="21"/>
                <w:highlight w:val="none"/>
                <w:u w:val="single"/>
                <w:lang w:val="en-US" w:eastAsia="zh-CN"/>
              </w:rPr>
              <w:t>5</w:t>
            </w:r>
            <w:r>
              <w:rPr>
                <w:rFonts w:hint="eastAsia"/>
                <w:color w:val="auto"/>
                <w:szCs w:val="21"/>
                <w:highlight w:val="none"/>
              </w:rPr>
              <w:t>分</w:t>
            </w:r>
          </w:p>
        </w:tc>
        <w:tc>
          <w:tcPr>
            <w:tcW w:w="7191" w:type="dxa"/>
            <w:gridSpan w:val="3"/>
            <w:noWrap w:val="0"/>
            <w:vAlign w:val="center"/>
          </w:tcPr>
          <w:p w14:paraId="7FD8F524">
            <w:pPr>
              <w:adjustRightInd/>
              <w:spacing w:line="400" w:lineRule="exact"/>
              <w:ind w:left="0" w:leftChars="0" w:firstLine="0" w:firstLineChars="0"/>
              <w:textAlignment w:val="auto"/>
              <w:rPr>
                <w:rFonts w:hint="eastAsia" w:ascii="宋体" w:hAnsi="宋体" w:cs="MingLiU_HKSCS"/>
                <w:color w:val="auto"/>
                <w:sz w:val="24"/>
                <w:szCs w:val="24"/>
                <w:highlight w:val="none"/>
                <w:lang w:val="zh-CN"/>
              </w:rPr>
            </w:pPr>
            <w:r>
              <w:rPr>
                <w:rFonts w:hint="eastAsia" w:ascii="宋体" w:hAnsi="宋体" w:cs="MingLiU_HKSCS"/>
                <w:color w:val="auto"/>
                <w:sz w:val="24"/>
                <w:szCs w:val="24"/>
                <w:highlight w:val="none"/>
                <w:lang w:val="zh-CN"/>
              </w:rPr>
              <w:t>履约情况（5分）</w:t>
            </w:r>
          </w:p>
          <w:p w14:paraId="413EB256">
            <w:pPr>
              <w:adjustRightInd/>
              <w:spacing w:line="360" w:lineRule="auto"/>
              <w:textAlignment w:val="auto"/>
              <w:rPr>
                <w:rFonts w:hint="eastAsia" w:ascii="宋体" w:hAnsi="宋体" w:cs="MingLiU_HKSCS"/>
                <w:color w:val="auto"/>
                <w:szCs w:val="24"/>
                <w:highlight w:val="none"/>
                <w:lang w:val="zh-CN"/>
              </w:rPr>
            </w:pPr>
            <w:r>
              <w:rPr>
                <w:rFonts w:hint="eastAsia" w:ascii="宋体" w:hAnsi="宋体" w:cs="MingLiU_HKSCS"/>
                <w:color w:val="auto"/>
                <w:szCs w:val="24"/>
                <w:highlight w:val="none"/>
                <w:lang w:val="zh-CN"/>
              </w:rPr>
              <w:t>若没出现下述情形得满分；</w:t>
            </w:r>
          </w:p>
          <w:p w14:paraId="59ED7D73">
            <w:pPr>
              <w:adjustRightInd/>
              <w:spacing w:line="360" w:lineRule="auto"/>
              <w:textAlignment w:val="auto"/>
              <w:rPr>
                <w:rFonts w:hint="eastAsia" w:ascii="宋体" w:hAnsi="宋体" w:cs="MingLiU_HKSCS"/>
                <w:color w:val="auto"/>
                <w:szCs w:val="24"/>
                <w:highlight w:val="none"/>
                <w:lang w:val="zh-CN"/>
              </w:rPr>
            </w:pPr>
            <w:r>
              <w:rPr>
                <w:rFonts w:hint="eastAsia" w:ascii="宋体" w:hAnsi="宋体" w:cs="MingLiU_HKSCS"/>
                <w:color w:val="auto"/>
                <w:szCs w:val="24"/>
                <w:highlight w:val="none"/>
                <w:lang w:val="zh-CN"/>
              </w:rPr>
              <w:t>投标文件递交截止日前1年内，投标人因公路工程（含附属设施）质量、安全、履约或招标投标问题等原因被：</w:t>
            </w:r>
          </w:p>
          <w:p w14:paraId="2CC264FE">
            <w:pPr>
              <w:adjustRightInd/>
              <w:spacing w:line="360" w:lineRule="auto"/>
              <w:textAlignment w:val="auto"/>
              <w:rPr>
                <w:rFonts w:hint="eastAsia" w:ascii="宋体" w:hAnsi="宋体" w:cs="MingLiU_HKSCS"/>
                <w:color w:val="auto"/>
                <w:szCs w:val="24"/>
                <w:highlight w:val="none"/>
                <w:lang w:val="zh-CN"/>
              </w:rPr>
            </w:pPr>
            <w:r>
              <w:rPr>
                <w:rFonts w:hint="eastAsia" w:ascii="宋体" w:hAnsi="宋体" w:cs="MingLiU_HKSCS"/>
                <w:color w:val="auto"/>
                <w:szCs w:val="24"/>
                <w:highlight w:val="none"/>
                <w:lang w:val="zh-CN"/>
              </w:rPr>
              <w:t>（1）交通运输部行政处罚的，扣5分/次。</w:t>
            </w:r>
          </w:p>
          <w:p w14:paraId="47A6D708">
            <w:pPr>
              <w:adjustRightInd/>
              <w:spacing w:line="360" w:lineRule="auto"/>
              <w:textAlignment w:val="auto"/>
              <w:rPr>
                <w:rFonts w:hint="eastAsia" w:ascii="宋体" w:hAnsi="宋体" w:cs="MingLiU_HKSCS"/>
                <w:color w:val="auto"/>
                <w:szCs w:val="24"/>
                <w:highlight w:val="none"/>
                <w:lang w:val="zh-CN"/>
              </w:rPr>
            </w:pPr>
            <w:r>
              <w:rPr>
                <w:rFonts w:hint="eastAsia" w:ascii="宋体" w:hAnsi="宋体" w:cs="MingLiU_HKSCS"/>
                <w:color w:val="auto"/>
                <w:szCs w:val="24"/>
                <w:highlight w:val="none"/>
                <w:lang w:val="zh-CN"/>
              </w:rPr>
              <w:t>（2）广东省交通运输厅行政处罚的，扣3分/次。</w:t>
            </w:r>
          </w:p>
          <w:p w14:paraId="520A4796">
            <w:pPr>
              <w:adjustRightInd/>
              <w:spacing w:line="360" w:lineRule="auto"/>
              <w:rPr>
                <w:rFonts w:hint="eastAsia" w:ascii="宋体" w:hAnsi="宋体" w:eastAsia="宋体" w:cs="MingLiU_HKSCS"/>
                <w:color w:val="auto"/>
                <w:szCs w:val="24"/>
                <w:highlight w:val="none"/>
                <w:lang w:val="zh-CN"/>
              </w:rPr>
            </w:pPr>
            <w:r>
              <w:rPr>
                <w:rFonts w:hint="eastAsia" w:ascii="宋体" w:hAnsi="宋体" w:eastAsia="宋体" w:cs="MingLiU_HKSCS"/>
                <w:color w:val="auto"/>
                <w:szCs w:val="24"/>
                <w:highlight w:val="none"/>
                <w:lang w:val="zh-CN"/>
              </w:rPr>
              <w:t>（</w:t>
            </w:r>
            <w:r>
              <w:rPr>
                <w:rFonts w:hint="eastAsia" w:ascii="宋体" w:hAnsi="宋体" w:eastAsia="宋体" w:cs="MingLiU_HKSCS"/>
                <w:color w:val="auto"/>
                <w:szCs w:val="24"/>
                <w:highlight w:val="none"/>
                <w:lang w:val="zh-CN" w:eastAsia="zh-CN"/>
              </w:rPr>
              <w:t>3）</w:t>
            </w:r>
            <w:r>
              <w:rPr>
                <w:rFonts w:hint="eastAsia" w:ascii="宋体" w:hAnsi="宋体" w:eastAsia="宋体" w:cs="MingLiU_HKSCS"/>
                <w:color w:val="auto"/>
                <w:szCs w:val="24"/>
                <w:highlight w:val="none"/>
                <w:lang w:val="zh-CN"/>
              </w:rPr>
              <w:t>广东省交通运输厅正式约谈的，扣0.1分/次。</w:t>
            </w:r>
          </w:p>
          <w:p w14:paraId="7BA9EF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trike w:val="0"/>
                <w:dstrike w:val="0"/>
                <w:color w:val="auto"/>
                <w:highlight w:val="none"/>
              </w:rPr>
            </w:pPr>
            <w:r>
              <w:rPr>
                <w:rFonts w:hint="eastAsia" w:ascii="宋体" w:hAnsi="宋体" w:cs="MingLiU_HKSCS"/>
                <w:color w:val="auto"/>
                <w:sz w:val="24"/>
                <w:szCs w:val="24"/>
                <w:highlight w:val="none"/>
                <w:lang w:val="zh-CN"/>
              </w:rPr>
              <w:t>同一事项同时被多个部门行政处罚</w:t>
            </w:r>
            <w:r>
              <w:rPr>
                <w:rFonts w:hint="eastAsia" w:ascii="宋体" w:hAnsi="宋体" w:cs="MingLiU_HKSCS"/>
                <w:color w:val="auto"/>
                <w:sz w:val="24"/>
                <w:szCs w:val="24"/>
                <w:highlight w:val="none"/>
                <w:lang w:val="en-US" w:eastAsia="zh-CN"/>
              </w:rPr>
              <w:t>或正式约谈</w:t>
            </w:r>
            <w:r>
              <w:rPr>
                <w:rFonts w:hint="eastAsia" w:ascii="宋体" w:hAnsi="宋体" w:cs="MingLiU_HKSCS"/>
                <w:color w:val="auto"/>
                <w:sz w:val="24"/>
                <w:szCs w:val="24"/>
                <w:highlight w:val="none"/>
                <w:lang w:val="zh-CN"/>
              </w:rPr>
              <w:t>只按最高的扣分计算1次。如果扣完本项分值，可以从总分中扣。以联合体形式投标的，若各联合体成员任何一方或均存在上述情形的，对联合体各成员进行累计扣分。</w:t>
            </w:r>
          </w:p>
        </w:tc>
      </w:tr>
    </w:tbl>
    <w:tbl>
      <w:tblPr>
        <w:tblStyle w:val="9"/>
        <w:tblpPr w:leftFromText="180" w:rightFromText="180" w:vertAnchor="text" w:horzAnchor="page" w:tblpX="1157" w:tblpY="278"/>
        <w:tblOverlap w:val="never"/>
        <w:tblW w:w="9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8750"/>
      </w:tblGrid>
      <w:tr w14:paraId="11BA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9777" w:type="dxa"/>
            <w:gridSpan w:val="2"/>
            <w:noWrap w:val="0"/>
            <w:vAlign w:val="center"/>
          </w:tcPr>
          <w:p w14:paraId="55B52AFB">
            <w:pPr>
              <w:spacing w:line="276" w:lineRule="auto"/>
              <w:ind w:firstLine="0" w:firstLineChars="0"/>
              <w:rPr>
                <w:rFonts w:hint="eastAsia"/>
                <w:color w:val="auto"/>
                <w:szCs w:val="21"/>
                <w:highlight w:val="none"/>
              </w:rPr>
            </w:pPr>
            <w:r>
              <w:rPr>
                <w:b/>
                <w:color w:val="auto"/>
                <w:szCs w:val="21"/>
                <w:highlight w:val="none"/>
              </w:rPr>
              <w:t>需要补充的其他内容：</w:t>
            </w:r>
          </w:p>
        </w:tc>
      </w:tr>
      <w:tr w14:paraId="29A4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027" w:type="dxa"/>
            <w:noWrap w:val="0"/>
            <w:vAlign w:val="center"/>
          </w:tcPr>
          <w:p w14:paraId="1056011C">
            <w:pPr>
              <w:spacing w:line="276" w:lineRule="auto"/>
              <w:ind w:firstLine="0" w:firstLineChars="0"/>
              <w:rPr>
                <w:rFonts w:hint="eastAsia"/>
                <w:color w:val="auto"/>
                <w:szCs w:val="21"/>
                <w:highlight w:val="none"/>
              </w:rPr>
            </w:pPr>
            <w:r>
              <w:rPr>
                <w:rFonts w:hint="eastAsia"/>
                <w:b/>
                <w:color w:val="auto"/>
                <w:szCs w:val="21"/>
                <w:highlight w:val="none"/>
              </w:rPr>
              <w:t>条款号</w:t>
            </w:r>
          </w:p>
        </w:tc>
        <w:tc>
          <w:tcPr>
            <w:tcW w:w="8750" w:type="dxa"/>
            <w:noWrap w:val="0"/>
            <w:vAlign w:val="center"/>
          </w:tcPr>
          <w:p w14:paraId="4E1B991C">
            <w:pPr>
              <w:spacing w:line="276" w:lineRule="auto"/>
              <w:ind w:firstLine="482"/>
              <w:jc w:val="center"/>
              <w:rPr>
                <w:rFonts w:hint="eastAsia"/>
                <w:color w:val="auto"/>
                <w:szCs w:val="21"/>
                <w:highlight w:val="none"/>
              </w:rPr>
            </w:pPr>
            <w:r>
              <w:rPr>
                <w:rFonts w:hint="eastAsia"/>
                <w:b/>
                <w:color w:val="auto"/>
                <w:szCs w:val="21"/>
                <w:highlight w:val="none"/>
              </w:rPr>
              <w:t>补充或修改的内容</w:t>
            </w:r>
          </w:p>
        </w:tc>
      </w:tr>
      <w:tr w14:paraId="2287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027" w:type="dxa"/>
            <w:noWrap w:val="0"/>
            <w:vAlign w:val="center"/>
          </w:tcPr>
          <w:p w14:paraId="221EAA1D">
            <w:pPr>
              <w:spacing w:line="276" w:lineRule="auto"/>
              <w:ind w:firstLine="0" w:firstLineChars="0"/>
              <w:rPr>
                <w:rFonts w:hint="eastAsia"/>
                <w:color w:val="auto"/>
                <w:szCs w:val="21"/>
                <w:highlight w:val="none"/>
              </w:rPr>
            </w:pPr>
            <w:r>
              <w:rPr>
                <w:rFonts w:hint="eastAsia"/>
                <w:color w:val="auto"/>
                <w:szCs w:val="21"/>
                <w:highlight w:val="none"/>
              </w:rPr>
              <w:t>1</w:t>
            </w:r>
          </w:p>
        </w:tc>
        <w:tc>
          <w:tcPr>
            <w:tcW w:w="8750" w:type="dxa"/>
            <w:noWrap w:val="0"/>
            <w:vAlign w:val="center"/>
          </w:tcPr>
          <w:p w14:paraId="1CAD3E38">
            <w:pPr>
              <w:spacing w:line="4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将评标办法范本原文第1条“评标方法”改为“评标方法、组织及工作程序”，并且原文内容修改如下：</w:t>
            </w:r>
          </w:p>
          <w:p w14:paraId="0351D947">
            <w:pPr>
              <w:spacing w:line="4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1.1评标方法</w:t>
            </w:r>
          </w:p>
          <w:p w14:paraId="05CF31F0">
            <w:pPr>
              <w:spacing w:line="4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评标采用综合评估法。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w:t>
            </w:r>
          </w:p>
          <w:p w14:paraId="774A5136">
            <w:pPr>
              <w:spacing w:line="4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1.2评标组织</w:t>
            </w:r>
          </w:p>
          <w:p w14:paraId="4AAC8F08">
            <w:pPr>
              <w:spacing w:line="4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1.2.1协助工作组</w:t>
            </w:r>
          </w:p>
          <w:p w14:paraId="4B54452A">
            <w:pPr>
              <w:spacing w:line="4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招标人可在评标工作开始前成立协助工作组，选派熟悉招标工作、政治素质高的人员组成，协助评标委员会工作。协助工作组人员的具体数量由招标人视评标工作量确定。</w:t>
            </w:r>
          </w:p>
          <w:p w14:paraId="133DD035">
            <w:pPr>
              <w:spacing w:line="4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招标人可以协助评标委员会开展下列工作并提供相关信息：</w:t>
            </w:r>
          </w:p>
          <w:p w14:paraId="473C9646">
            <w:pPr>
              <w:autoSpaceDE w:val="0"/>
              <w:autoSpaceDN w:val="0"/>
              <w:adjustRightInd w:val="0"/>
              <w:spacing w:line="440" w:lineRule="exact"/>
              <w:ind w:left="-120" w:leftChars="-50" w:firstLine="48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（1）根据招标文件，编制评标使用的相应表格；</w:t>
            </w:r>
          </w:p>
          <w:p w14:paraId="3325B770">
            <w:pPr>
              <w:autoSpaceDE w:val="0"/>
              <w:autoSpaceDN w:val="0"/>
              <w:adjustRightInd w:val="0"/>
              <w:spacing w:line="440" w:lineRule="exact"/>
              <w:ind w:left="-120" w:leftChars="-50" w:firstLine="48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（2）对投标报价进行算术性校核（如采用固化工程量清单，本步骤省略）；</w:t>
            </w:r>
          </w:p>
          <w:p w14:paraId="55EF3E4D">
            <w:pPr>
              <w:autoSpaceDE w:val="0"/>
              <w:autoSpaceDN w:val="0"/>
              <w:adjustRightInd w:val="0"/>
              <w:spacing w:line="440" w:lineRule="exact"/>
              <w:ind w:firstLine="360" w:firstLineChars="15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（3）以评标标准和方法为依据，列出投标文件相对于招标文件的所有偏差，并进行归类汇总；</w:t>
            </w:r>
          </w:p>
          <w:p w14:paraId="7DCA9417">
            <w:pPr>
              <w:autoSpaceDE w:val="0"/>
              <w:autoSpaceDN w:val="0"/>
              <w:adjustRightInd w:val="0"/>
              <w:spacing w:line="440" w:lineRule="exact"/>
              <w:ind w:left="-120" w:leftChars="-50" w:firstLine="48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（4）对投标人的资质、业绩、人员、信誉等进行核实。</w:t>
            </w:r>
          </w:p>
          <w:p w14:paraId="1089C0C4">
            <w:pPr>
              <w:spacing w:line="440" w:lineRule="exact"/>
              <w:ind w:firstLine="48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招标人不得对投标文件作出任何评价，不得故意遗漏或者片面摘录，不得在评标委员会对所有偏差定性之前透露存有偏差的投标人名称。</w:t>
            </w:r>
          </w:p>
          <w:p w14:paraId="73DC756C">
            <w:pPr>
              <w:spacing w:line="4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1.2.2评标委员会</w:t>
            </w:r>
          </w:p>
          <w:p w14:paraId="2F93F300">
            <w:pPr>
              <w:spacing w:line="4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评标委员会的组建按投标人须知第6.1.1项执行。评标委员会的主要工作内容包括：</w:t>
            </w:r>
          </w:p>
          <w:p w14:paraId="2ED770C9">
            <w:pPr>
              <w:spacing w:line="4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（1）评标委员会开始评标工作之前，首先听取招标人、协助工作组关于工程情况和辅助工作的说明，并认真研读招标文件，获取评标所需的重要信息和数据；</w:t>
            </w:r>
          </w:p>
          <w:p w14:paraId="1D2AF6C6">
            <w:pPr>
              <w:spacing w:line="4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（2）对协助工作组提供的评标工作用表和评标内容进行核查。</w:t>
            </w:r>
          </w:p>
          <w:p w14:paraId="17C59C70">
            <w:pPr>
              <w:spacing w:line="440" w:lineRule="exact"/>
              <w:ind w:firstLine="480"/>
              <w:jc w:val="left"/>
              <w:rPr>
                <w:rFonts w:hint="eastAsia"/>
                <w:color w:val="auto"/>
                <w:szCs w:val="21"/>
                <w:highlight w:val="none"/>
              </w:rPr>
            </w:pPr>
            <w:r>
              <w:rPr>
                <w:rFonts w:hint="eastAsia" w:ascii="宋体" w:hAnsi="宋体" w:eastAsia="宋体" w:cs="宋体"/>
                <w:color w:val="auto"/>
                <w:szCs w:val="21"/>
                <w:highlight w:val="none"/>
              </w:rPr>
              <w:t>（3）按照评标程序进行各项评审工作。</w:t>
            </w:r>
          </w:p>
        </w:tc>
      </w:tr>
      <w:tr w14:paraId="4A81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027" w:type="dxa"/>
            <w:noWrap w:val="0"/>
            <w:vAlign w:val="center"/>
          </w:tcPr>
          <w:p w14:paraId="464BB5D5">
            <w:pPr>
              <w:spacing w:line="276" w:lineRule="auto"/>
              <w:ind w:firstLine="0" w:firstLineChars="0"/>
              <w:rPr>
                <w:rFonts w:hint="default" w:eastAsia="宋体"/>
                <w:color w:val="auto"/>
                <w:szCs w:val="21"/>
                <w:highlight w:val="none"/>
                <w:lang w:val="en-US" w:eastAsia="zh-CN"/>
              </w:rPr>
            </w:pPr>
            <w:r>
              <w:rPr>
                <w:rFonts w:hint="eastAsia"/>
                <w:color w:val="auto"/>
                <w:szCs w:val="21"/>
                <w:highlight w:val="none"/>
                <w:lang w:val="en-US" w:eastAsia="zh-CN"/>
              </w:rPr>
              <w:t>3.2.2</w:t>
            </w:r>
          </w:p>
        </w:tc>
        <w:tc>
          <w:tcPr>
            <w:tcW w:w="8750" w:type="dxa"/>
            <w:noWrap w:val="0"/>
            <w:vAlign w:val="center"/>
          </w:tcPr>
          <w:p w14:paraId="534EBA4B">
            <w:pPr>
              <w:spacing w:line="440" w:lineRule="exact"/>
              <w:ind w:left="0" w:leftChars="0" w:firstLine="480" w:firstLineChars="200"/>
              <w:jc w:val="both"/>
              <w:rPr>
                <w:rFonts w:hint="default" w:eastAsia="宋体"/>
                <w:color w:val="auto"/>
                <w:szCs w:val="21"/>
                <w:highlight w:val="none"/>
                <w:lang w:val="en-US" w:eastAsia="zh-CN"/>
              </w:rPr>
            </w:pPr>
            <w:r>
              <w:rPr>
                <w:rFonts w:hint="eastAsia"/>
                <w:color w:val="auto"/>
                <w:szCs w:val="21"/>
                <w:highlight w:val="none"/>
                <w:lang w:val="en-US" w:eastAsia="zh-CN"/>
              </w:rPr>
              <w:t>将评标办法原文第3.2.2项修改如下：</w:t>
            </w:r>
          </w:p>
          <w:p w14:paraId="325D6006">
            <w:pPr>
              <w:spacing w:line="440" w:lineRule="exact"/>
              <w:ind w:firstLine="480"/>
              <w:jc w:val="left"/>
              <w:rPr>
                <w:rFonts w:hint="eastAsia" w:ascii="Calibri" w:hAnsi="Calibri"/>
                <w:color w:val="auto"/>
                <w:szCs w:val="21"/>
                <w:highlight w:val="none"/>
                <w:lang w:val="zh-CN"/>
              </w:rPr>
            </w:pPr>
            <w:r>
              <w:rPr>
                <w:rFonts w:hint="eastAsia"/>
                <w:color w:val="auto"/>
                <w:szCs w:val="21"/>
                <w:highlight w:val="none"/>
              </w:rPr>
              <w:t>投标人的商务和技术得分分值计算保留小数点后三位，小数点后第四位“四舍五入”。</w:t>
            </w:r>
          </w:p>
        </w:tc>
      </w:tr>
      <w:tr w14:paraId="4367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027" w:type="dxa"/>
            <w:noWrap w:val="0"/>
            <w:vAlign w:val="center"/>
          </w:tcPr>
          <w:p w14:paraId="40DCCFBE">
            <w:pPr>
              <w:spacing w:line="276" w:lineRule="auto"/>
              <w:ind w:firstLine="0" w:firstLineChars="0"/>
              <w:rPr>
                <w:rFonts w:hint="eastAsia" w:eastAsia="宋体"/>
                <w:color w:val="auto"/>
                <w:szCs w:val="21"/>
                <w:highlight w:val="none"/>
                <w:lang w:eastAsia="zh-CN"/>
              </w:rPr>
            </w:pPr>
            <w:r>
              <w:rPr>
                <w:color w:val="auto"/>
                <w:szCs w:val="21"/>
                <w:highlight w:val="none"/>
              </w:rPr>
              <w:t>3.2.</w:t>
            </w:r>
            <w:r>
              <w:rPr>
                <w:rFonts w:hint="eastAsia"/>
                <w:color w:val="auto"/>
                <w:szCs w:val="21"/>
                <w:highlight w:val="none"/>
                <w:lang w:val="en-US" w:eastAsia="zh-CN"/>
              </w:rPr>
              <w:t>3</w:t>
            </w:r>
          </w:p>
        </w:tc>
        <w:tc>
          <w:tcPr>
            <w:tcW w:w="8750" w:type="dxa"/>
            <w:noWrap w:val="0"/>
            <w:vAlign w:val="center"/>
          </w:tcPr>
          <w:p w14:paraId="5500C339">
            <w:pPr>
              <w:spacing w:line="440" w:lineRule="exact"/>
              <w:ind w:firstLine="48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将评标办法范本原文第3.2.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项细化如下：</w:t>
            </w:r>
          </w:p>
          <w:p w14:paraId="7E977FAB">
            <w:pPr>
              <w:spacing w:line="440" w:lineRule="exact"/>
              <w:ind w:firstLine="48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投标人的商务和技术得分=A+B+D。</w:t>
            </w:r>
          </w:p>
          <w:p w14:paraId="1E3B5A01">
            <w:pPr>
              <w:spacing w:line="440" w:lineRule="exact"/>
              <w:ind w:firstLine="48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各评分因素（</w:t>
            </w:r>
            <w:r>
              <w:rPr>
                <w:rFonts w:hint="eastAsia" w:ascii="宋体" w:hAnsi="宋体" w:eastAsia="宋体" w:cs="宋体"/>
                <w:color w:val="auto"/>
                <w:szCs w:val="21"/>
                <w:highlight w:val="none"/>
                <w:lang w:val="en-US" w:eastAsia="zh-CN"/>
              </w:rPr>
              <w:t>评标价、履约信誉评分项</w:t>
            </w:r>
            <w:r>
              <w:rPr>
                <w:rFonts w:hint="eastAsia" w:ascii="宋体" w:hAnsi="宋体" w:eastAsia="宋体" w:cs="宋体"/>
                <w:color w:val="auto"/>
                <w:szCs w:val="21"/>
                <w:highlight w:val="none"/>
                <w:lang w:val="zh-CN"/>
              </w:rPr>
              <w:t>除外）及其各评审因素细分项</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rPr>
              <w:t>得分一般不得低于</w:t>
            </w:r>
            <w:r>
              <w:rPr>
                <w:rFonts w:hint="eastAsia" w:ascii="宋体" w:hAnsi="宋体" w:eastAsia="宋体" w:cs="宋体"/>
                <w:color w:val="auto"/>
                <w:szCs w:val="21"/>
                <w:highlight w:val="none"/>
                <w:lang w:val="en-US" w:eastAsia="zh-CN"/>
              </w:rPr>
              <w:t>其</w:t>
            </w:r>
            <w:r>
              <w:rPr>
                <w:rFonts w:hint="eastAsia" w:ascii="宋体" w:hAnsi="宋体" w:eastAsia="宋体" w:cs="宋体"/>
                <w:color w:val="auto"/>
                <w:szCs w:val="21"/>
                <w:highlight w:val="none"/>
                <w:lang w:val="zh-CN"/>
              </w:rPr>
              <w:t>权重分值的60%，评分低于上述权重分值百分比的，评标委员会成员应当在评标报告中作出说明。</w:t>
            </w:r>
          </w:p>
          <w:p w14:paraId="065AA5CF">
            <w:pPr>
              <w:spacing w:line="440" w:lineRule="exact"/>
              <w:ind w:firstLine="48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评标委员会人数为9人时，计算投标人技术得分时：首先在评委技术评分中，采用取消同一评委对同一标段各投标人评分总分的差值最大的1名评委评分分值（若有2名或以上评委技术评分总分差值最大值相等时，则取消其中1名评委的所有评分，具体办法如下），再对各评分因素细分项中取消一个最高、一个最低分后计算其算术平均值的和为投标人的最终技术得分，平均值计算保留小数点后三位，小数点后第四位“四舍五入”。</w:t>
            </w:r>
          </w:p>
          <w:p w14:paraId="42BB881F">
            <w:pPr>
              <w:spacing w:line="440" w:lineRule="exact"/>
              <w:ind w:firstLine="48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取消其中1名评委所有评分的办法（依次按照以下流程）：①对比上述出现技术评分总分差值最大值相等的评委的次分差值（次分差值＝某一评委技术评分总分的最高分－该评委技术评分总分的次低分），取消次分差值最大的评委所有评分；②如次分差值仍相同，则按随机抽取的方式选定取消1名评委评分。</w:t>
            </w:r>
          </w:p>
          <w:p w14:paraId="5DD08D23">
            <w:pPr>
              <w:spacing w:line="440" w:lineRule="exact"/>
              <w:ind w:firstLine="48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评标委员会人数为7人时，计算投标人技术得分时：各评分因素细分项中取消一个最高、一个最低分后计算算术平均值的和为投标人的最终技术得分，平均值计算保留小数点后三位，小数点后第四位“四舍五入”。</w:t>
            </w:r>
          </w:p>
          <w:p w14:paraId="674D57A0">
            <w:pPr>
              <w:spacing w:line="440" w:lineRule="exact"/>
              <w:ind w:firstLine="480"/>
              <w:jc w:val="left"/>
              <w:rPr>
                <w:rFonts w:hint="eastAsia"/>
                <w:color w:val="auto"/>
                <w:szCs w:val="21"/>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）评标委员会人数为5人时，计算投标人技术得分时：各评分因素细分项的算术平均值的和为投标人的最终技术得分，平均值计算保留小数点后三位，小数点后第四位“四舍五入”。</w:t>
            </w:r>
          </w:p>
        </w:tc>
      </w:tr>
      <w:tr w14:paraId="04D4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027" w:type="dxa"/>
            <w:noWrap w:val="0"/>
            <w:vAlign w:val="center"/>
          </w:tcPr>
          <w:p w14:paraId="0E663C93">
            <w:pPr>
              <w:spacing w:line="276" w:lineRule="auto"/>
              <w:ind w:left="0" w:leftChars="0" w:firstLine="0" w:firstLineChars="0"/>
              <w:jc w:val="both"/>
              <w:rPr>
                <w:rFonts w:hint="eastAsia" w:ascii="宋体" w:hAnsi="宋体" w:eastAsia="宋体" w:cs="宋体"/>
                <w:color w:val="auto"/>
                <w:szCs w:val="21"/>
              </w:rPr>
            </w:pPr>
            <w:r>
              <w:rPr>
                <w:rFonts w:hint="eastAsia" w:ascii="宋体" w:hAnsi="宋体"/>
                <w:color w:val="auto"/>
                <w:szCs w:val="21"/>
                <w:highlight w:val="none"/>
              </w:rPr>
              <w:t>3.5.2</w:t>
            </w:r>
          </w:p>
        </w:tc>
        <w:tc>
          <w:tcPr>
            <w:tcW w:w="8750" w:type="dxa"/>
            <w:noWrap w:val="0"/>
            <w:vAlign w:val="center"/>
          </w:tcPr>
          <w:p w14:paraId="042C75F6">
            <w:pPr>
              <w:spacing w:line="440" w:lineRule="exact"/>
              <w:rPr>
                <w:rFonts w:hint="eastAsia"/>
                <w:color w:val="auto"/>
                <w:szCs w:val="21"/>
                <w:highlight w:val="none"/>
              </w:rPr>
            </w:pPr>
            <w:r>
              <w:rPr>
                <w:rFonts w:hint="eastAsia"/>
                <w:color w:val="auto"/>
                <w:szCs w:val="21"/>
                <w:highlight w:val="none"/>
              </w:rPr>
              <w:t>将评标办法原文第3.5.2项细化如下：</w:t>
            </w:r>
          </w:p>
          <w:p w14:paraId="6D61B20B">
            <w:pPr>
              <w:spacing w:line="440" w:lineRule="exact"/>
              <w:ind w:firstLine="480" w:firstLineChars="200"/>
              <w:rPr>
                <w:rFonts w:hint="eastAsia" w:ascii="宋体" w:hAnsi="宋体" w:eastAsia="宋体"/>
                <w:color w:val="auto"/>
                <w:szCs w:val="21"/>
              </w:rPr>
            </w:pPr>
            <w:r>
              <w:rPr>
                <w:rFonts w:hint="eastAsia"/>
                <w:color w:val="auto"/>
                <w:szCs w:val="21"/>
                <w:highlight w:val="none"/>
              </w:rPr>
              <w:t>投标人综合得分=投标人的商务和技术得分+C。（计算保留小数点后四位，小数点后第五位“四舍五入”）</w:t>
            </w:r>
          </w:p>
        </w:tc>
      </w:tr>
      <w:tr w14:paraId="180D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027" w:type="dxa"/>
            <w:noWrap w:val="0"/>
            <w:vAlign w:val="center"/>
          </w:tcPr>
          <w:p w14:paraId="6A7084D1">
            <w:pPr>
              <w:widowControl/>
              <w:spacing w:before="240" w:after="240" w:line="360" w:lineRule="auto"/>
              <w:ind w:left="0" w:leftChars="0" w:firstLine="0" w:firstLineChars="0"/>
              <w:jc w:val="both"/>
              <w:rPr>
                <w:rFonts w:ascii="宋体" w:hAnsi="宋体" w:eastAsia="宋体" w:cs="宋体"/>
                <w:color w:val="auto"/>
                <w:kern w:val="2"/>
                <w:sz w:val="24"/>
                <w:szCs w:val="21"/>
                <w:lang w:val="zh-CN" w:eastAsia="zh-CN" w:bidi="ar-SA"/>
              </w:rPr>
            </w:pPr>
            <w:r>
              <w:rPr>
                <w:rFonts w:hint="eastAsia" w:ascii="宋体" w:hAnsi="宋体" w:eastAsia="宋体" w:cs="宋体"/>
                <w:color w:val="auto"/>
                <w:szCs w:val="21"/>
              </w:rPr>
              <w:t>3.6.1</w:t>
            </w:r>
          </w:p>
        </w:tc>
        <w:tc>
          <w:tcPr>
            <w:tcW w:w="8750" w:type="dxa"/>
            <w:noWrap w:val="0"/>
            <w:vAlign w:val="top"/>
          </w:tcPr>
          <w:p w14:paraId="440E6E03">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ascii="宋体" w:hAnsi="宋体" w:eastAsia="宋体"/>
                <w:color w:val="auto"/>
              </w:rPr>
            </w:pPr>
            <w:r>
              <w:rPr>
                <w:rFonts w:hint="eastAsia" w:ascii="宋体" w:hAnsi="宋体" w:eastAsia="宋体"/>
                <w:color w:val="auto"/>
              </w:rPr>
              <w:t>将评标办法原文3.6.1项（2）目末增加以下条款：</w:t>
            </w:r>
          </w:p>
          <w:p w14:paraId="623B8707">
            <w:pPr>
              <w:spacing w:line="440" w:lineRule="exact"/>
              <w:ind w:firstLine="432" w:firstLineChars="180"/>
              <w:rPr>
                <w:rFonts w:hint="eastAsia" w:ascii="宋体" w:hAnsi="宋体" w:eastAsia="宋体" w:cs="宋体"/>
                <w:color w:val="auto"/>
                <w:kern w:val="2"/>
                <w:sz w:val="24"/>
                <w:szCs w:val="21"/>
                <w:lang w:val="zh-CN" w:eastAsia="zh-CN" w:bidi="ar-SA"/>
              </w:rPr>
            </w:pPr>
            <w:r>
              <w:rPr>
                <w:rFonts w:hint="eastAsia" w:ascii="宋体" w:hAnsi="宋体" w:eastAsia="宋体"/>
                <w:color w:val="auto"/>
                <w:szCs w:val="21"/>
              </w:rPr>
              <w:t>g.广东省实施《中华人民共和国招标投标法》办法第十六条规定的情形。</w:t>
            </w:r>
          </w:p>
        </w:tc>
      </w:tr>
      <w:tr w14:paraId="2F32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027" w:type="dxa"/>
            <w:noWrap w:val="0"/>
            <w:vAlign w:val="center"/>
          </w:tcPr>
          <w:p w14:paraId="5BDCABAF">
            <w:pPr>
              <w:spacing w:line="276" w:lineRule="auto"/>
              <w:ind w:firstLine="0" w:firstLineChars="0"/>
              <w:rPr>
                <w:rFonts w:hint="default" w:eastAsia="宋体"/>
                <w:color w:val="auto"/>
                <w:szCs w:val="21"/>
                <w:highlight w:val="none"/>
                <w:lang w:val="en-US" w:eastAsia="zh-CN"/>
              </w:rPr>
            </w:pPr>
            <w:r>
              <w:rPr>
                <w:rFonts w:cs="MingLiU_HKSCS"/>
                <w:color w:val="auto"/>
                <w:szCs w:val="21"/>
                <w:highlight w:val="none"/>
                <w:lang w:val="zh-CN"/>
              </w:rPr>
              <w:t>3.6</w:t>
            </w:r>
            <w:r>
              <w:rPr>
                <w:rFonts w:hint="eastAsia" w:cs="MingLiU_HKSCS"/>
                <w:color w:val="auto"/>
                <w:szCs w:val="21"/>
                <w:highlight w:val="none"/>
                <w:lang w:val="en-US" w:eastAsia="zh-CN"/>
              </w:rPr>
              <w:t>.3</w:t>
            </w:r>
          </w:p>
        </w:tc>
        <w:tc>
          <w:tcPr>
            <w:tcW w:w="8750" w:type="dxa"/>
            <w:noWrap w:val="0"/>
            <w:vAlign w:val="center"/>
          </w:tcPr>
          <w:p w14:paraId="10DE9F87">
            <w:pPr>
              <w:spacing w:line="440" w:lineRule="exact"/>
              <w:ind w:firstLine="48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将评标办法原文增加3.6.3项：</w:t>
            </w:r>
          </w:p>
          <w:p w14:paraId="1E8B92B2">
            <w:pPr>
              <w:spacing w:line="4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3.6.3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tc>
      </w:tr>
      <w:tr w14:paraId="6AA3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1027" w:type="dxa"/>
            <w:noWrap w:val="0"/>
            <w:vAlign w:val="center"/>
          </w:tcPr>
          <w:p w14:paraId="7B84388D">
            <w:pPr>
              <w:spacing w:line="276" w:lineRule="auto"/>
              <w:ind w:firstLine="0" w:firstLineChars="0"/>
              <w:rPr>
                <w:rFonts w:hint="eastAsia"/>
                <w:color w:val="auto"/>
                <w:szCs w:val="21"/>
                <w:highlight w:val="none"/>
              </w:rPr>
            </w:pPr>
            <w:r>
              <w:rPr>
                <w:color w:val="auto"/>
                <w:szCs w:val="21"/>
                <w:highlight w:val="none"/>
              </w:rPr>
              <w:t>3.9</w:t>
            </w:r>
          </w:p>
        </w:tc>
        <w:tc>
          <w:tcPr>
            <w:tcW w:w="8750" w:type="dxa"/>
            <w:noWrap w:val="0"/>
            <w:vAlign w:val="center"/>
          </w:tcPr>
          <w:p w14:paraId="01F235C3">
            <w:pPr>
              <w:spacing w:line="4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评标办法范本原文</w:t>
            </w:r>
            <w:r>
              <w:rPr>
                <w:rFonts w:hint="eastAsia" w:ascii="宋体" w:hAnsi="宋体" w:eastAsia="宋体" w:cs="宋体"/>
                <w:color w:val="auto"/>
                <w:szCs w:val="21"/>
                <w:highlight w:val="none"/>
              </w:rPr>
              <w:t>增加3.9.3-3.9.6款：</w:t>
            </w:r>
          </w:p>
          <w:p w14:paraId="3BE1509A">
            <w:pPr>
              <w:spacing w:line="440" w:lineRule="exact"/>
              <w:ind w:firstLine="48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3.9.3</w:t>
            </w:r>
            <w:r>
              <w:rPr>
                <w:rFonts w:hint="eastAsia" w:ascii="宋体" w:hAnsi="宋体" w:eastAsia="宋体" w:cs="宋体"/>
                <w:color w:val="auto"/>
                <w:szCs w:val="21"/>
                <w:highlight w:val="none"/>
                <w:lang w:val="en-US" w:eastAsia="zh-CN"/>
              </w:rPr>
              <w:t xml:space="preserve"> 推荐中标候选人方式：按照综合得分排名次序依次推荐出第一、二、三中标候选人（若不足3名，则按实际数量选取）。</w:t>
            </w:r>
          </w:p>
          <w:p w14:paraId="7F650BC8">
            <w:pPr>
              <w:spacing w:line="4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3.9.4 </w:t>
            </w:r>
            <w:r>
              <w:rPr>
                <w:rFonts w:hint="eastAsia" w:ascii="宋体" w:hAnsi="宋体" w:eastAsia="宋体" w:cs="宋体"/>
                <w:color w:val="auto"/>
                <w:szCs w:val="21"/>
                <w:highlight w:val="none"/>
              </w:rPr>
              <w:t>通过第一个信封商务文件和技术文件评审的投标人少于3个的，评标委员会可以否决全部投标；未否决全部投标的，评标委员会应当在评标报告中阐明理由，招标人应当按照招标文件规定的程序进行第二个信封报价文件开标，但评标委员会在进行报价文件评审时仍有权否决全部投标；评标委员会未在报价文件评审时否决全部投标的，应当在评标报告中阐明理由并推荐中标候选人。</w:t>
            </w:r>
          </w:p>
          <w:p w14:paraId="0FC2BD93">
            <w:pPr>
              <w:spacing w:line="4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3.9.</w:t>
            </w:r>
            <w:r>
              <w:rPr>
                <w:rFonts w:hint="eastAsia" w:ascii="宋体" w:hAnsi="宋体" w:eastAsia="宋体" w:cs="宋体"/>
                <w:color w:val="auto"/>
                <w:szCs w:val="21"/>
                <w:highlight w:val="none"/>
                <w:lang w:val="en-US" w:eastAsia="zh-CN"/>
              </w:rPr>
              <w:t xml:space="preserve">5 </w:t>
            </w:r>
            <w:r>
              <w:rPr>
                <w:rFonts w:hint="eastAsia" w:ascii="宋体" w:hAnsi="宋体" w:eastAsia="宋体" w:cs="宋体"/>
                <w:color w:val="auto"/>
                <w:szCs w:val="21"/>
                <w:highlight w:val="none"/>
              </w:rPr>
              <w:t>通过第一个信封商务文件和技术文件评审的投标人在3个及以上的，招标人应当按照招标文件规定的程序进行第二个信封报价文件开标；在对报价文件进行评审后，有效投标不足3个的，评标委员会可以否决全部投标。未否决全部投标的，评标委员会应当在评标报告中阐明理由并推荐中标候选人。</w:t>
            </w:r>
          </w:p>
          <w:p w14:paraId="27FD4681">
            <w:pPr>
              <w:spacing w:line="4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3.9.5</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如果发生无法确定推荐中标候选人的其它意外情况，评标委员会可建议招标人重新招标。</w:t>
            </w:r>
          </w:p>
          <w:p w14:paraId="31F44187">
            <w:pPr>
              <w:spacing w:line="440" w:lineRule="exact"/>
              <w:ind w:firstLine="48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3.9.6 本招标文件规定的否决投标条款包含在以下条款：</w:t>
            </w:r>
          </w:p>
          <w:p w14:paraId="0C04763C">
            <w:pPr>
              <w:spacing w:line="440" w:lineRule="exact"/>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（1）招标公告第3点投标人资格要求；</w:t>
            </w:r>
          </w:p>
          <w:p w14:paraId="59689CB0">
            <w:pPr>
              <w:spacing w:line="440" w:lineRule="exact"/>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（2）投标人须知1.4.3款、1.4.4款、1.12</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款、3.4</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款、3.5款</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3.6.1项</w:t>
            </w:r>
            <w:r>
              <w:rPr>
                <w:rFonts w:hint="eastAsia" w:ascii="宋体" w:hAnsi="宋体" w:eastAsia="宋体" w:cs="宋体"/>
                <w:b/>
                <w:bCs/>
                <w:color w:val="auto"/>
                <w:highlight w:val="none"/>
              </w:rPr>
              <w:t>；</w:t>
            </w:r>
          </w:p>
          <w:p w14:paraId="5C2F7654">
            <w:pPr>
              <w:spacing w:line="440" w:lineRule="exact"/>
              <w:ind w:firstLine="482"/>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（3）本评标办法否决条款</w:t>
            </w:r>
            <w:r>
              <w:rPr>
                <w:rFonts w:hint="eastAsia" w:ascii="宋体" w:hAnsi="宋体" w:eastAsia="宋体" w:cs="宋体"/>
                <w:b/>
                <w:bCs/>
                <w:color w:val="auto"/>
                <w:highlight w:val="none"/>
                <w:lang w:eastAsia="zh-CN"/>
              </w:rPr>
              <w:t>；</w:t>
            </w:r>
          </w:p>
          <w:p w14:paraId="611E6CB8">
            <w:pPr>
              <w:spacing w:line="440" w:lineRule="exact"/>
              <w:ind w:firstLine="482"/>
              <w:rPr>
                <w:rFonts w:hint="eastAsia" w:ascii="宋体" w:hAnsi="宋体" w:eastAsia="宋体" w:cs="宋体"/>
                <w:color w:val="auto"/>
                <w:szCs w:val="21"/>
                <w:highlight w:val="none"/>
              </w:rPr>
            </w:pPr>
            <w:r>
              <w:rPr>
                <w:rFonts w:hint="eastAsia" w:ascii="宋体" w:hAnsi="宋体" w:eastAsia="宋体" w:cs="宋体"/>
                <w:b/>
                <w:bCs/>
                <w:color w:val="auto"/>
                <w:highlight w:val="none"/>
                <w:lang w:eastAsia="zh-CN"/>
              </w:rPr>
              <w:t>（4）法律、法规及招标文件等规定的其它否决投标的情形。</w:t>
            </w:r>
          </w:p>
        </w:tc>
      </w:tr>
    </w:tbl>
    <w:p w14:paraId="6C349472">
      <w:pPr>
        <w:ind w:firstLine="0" w:firstLineChars="0"/>
        <w:rPr>
          <w:rFonts w:hint="eastAsia"/>
          <w:color w:val="auto"/>
          <w:highlight w:val="none"/>
        </w:rPr>
      </w:pPr>
    </w:p>
    <w:p w14:paraId="326572AD">
      <w:pPr>
        <w:ind w:firstLine="480"/>
        <w:rPr>
          <w:rFonts w:hint="eastAsia"/>
          <w:color w:val="auto"/>
          <w:highlight w:val="none"/>
        </w:rPr>
      </w:pPr>
    </w:p>
    <w:p w14:paraId="45FCE8E5">
      <w:pPr>
        <w:pStyle w:val="3"/>
        <w:pageBreakBefore w:val="0"/>
        <w:widowControl w:val="0"/>
        <w:kinsoku/>
        <w:wordWrap/>
        <w:overflowPunct/>
        <w:topLinePunct w:val="0"/>
        <w:autoSpaceDE/>
        <w:autoSpaceDN/>
        <w:bidi w:val="0"/>
        <w:adjustRightInd/>
        <w:snapToGrid/>
        <w:spacing w:before="0" w:beforeLines="0" w:after="0" w:afterLines="0"/>
        <w:ind w:left="0" w:leftChars="0" w:firstLine="0" w:firstLineChars="0"/>
        <w:jc w:val="both"/>
        <w:textAlignment w:val="auto"/>
        <w:rPr>
          <w:rFonts w:hint="eastAsia"/>
          <w:color w:val="auto"/>
          <w:highlight w:val="none"/>
        </w:rPr>
      </w:pPr>
      <w:r>
        <w:rPr>
          <w:color w:val="auto"/>
          <w:highlight w:val="none"/>
        </w:rPr>
        <w:br w:type="page"/>
      </w:r>
      <w:r>
        <w:rPr>
          <w:rFonts w:hint="eastAsia" w:ascii="宋体" w:hAnsi="宋体"/>
          <w:b w:val="0"/>
          <w:bCs w:val="0"/>
          <w:color w:val="auto"/>
          <w:kern w:val="2"/>
          <w:sz w:val="24"/>
          <w:szCs w:val="22"/>
          <w:highlight w:val="none"/>
          <w:lang w:val="en-US" w:eastAsia="zh-CN" w:bidi="ar-SA"/>
        </w:rPr>
        <w:t>1.评标方法</w:t>
      </w:r>
    </w:p>
    <w:p w14:paraId="0DCE434D">
      <w:pPr>
        <w:pageBreakBefore w:val="0"/>
        <w:widowControl w:val="0"/>
        <w:kinsoku/>
        <w:wordWrap/>
        <w:overflowPunct/>
        <w:topLinePunct w:val="0"/>
        <w:autoSpaceDE/>
        <w:autoSpaceDN/>
        <w:bidi w:val="0"/>
        <w:adjustRightInd/>
        <w:snapToGrid/>
        <w:ind w:firstLine="480"/>
        <w:textAlignment w:val="auto"/>
        <w:rPr>
          <w:rFonts w:hint="eastAsia"/>
          <w:color w:val="auto"/>
          <w:highlight w:val="none"/>
        </w:rPr>
      </w:pPr>
      <w:r>
        <w:rPr>
          <w:rFonts w:hint="eastAsia"/>
          <w:color w:val="auto"/>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30A1E940">
      <w:pPr>
        <w:ind w:firstLine="480"/>
        <w:rPr>
          <w:rFonts w:hint="eastAsia"/>
          <w:color w:val="auto"/>
          <w:highlight w:val="none"/>
        </w:rPr>
      </w:pPr>
      <w:r>
        <w:rPr>
          <w:rFonts w:hint="eastAsia"/>
          <w:color w:val="auto"/>
          <w:highlight w:val="none"/>
        </w:rPr>
        <w:t>2. 评审标准</w:t>
      </w:r>
    </w:p>
    <w:p w14:paraId="3CCFE0B9">
      <w:pPr>
        <w:ind w:firstLine="480"/>
        <w:rPr>
          <w:rFonts w:hint="eastAsia"/>
          <w:color w:val="auto"/>
          <w:highlight w:val="none"/>
        </w:rPr>
      </w:pPr>
      <w:r>
        <w:rPr>
          <w:rFonts w:hint="eastAsia"/>
          <w:color w:val="auto"/>
          <w:highlight w:val="none"/>
        </w:rPr>
        <w:t>2.1 初步评审标准</w:t>
      </w:r>
    </w:p>
    <w:p w14:paraId="2767825C">
      <w:pPr>
        <w:ind w:firstLine="480"/>
        <w:rPr>
          <w:rFonts w:hint="eastAsia"/>
          <w:color w:val="auto"/>
          <w:highlight w:val="none"/>
        </w:rPr>
      </w:pPr>
      <w:r>
        <w:rPr>
          <w:rFonts w:hint="eastAsia"/>
          <w:color w:val="auto"/>
          <w:highlight w:val="none"/>
        </w:rPr>
        <w:t>2.1.1 形式评审标准：见评标办法前附表。</w:t>
      </w:r>
    </w:p>
    <w:p w14:paraId="6323ECC2">
      <w:pPr>
        <w:ind w:firstLine="480"/>
        <w:rPr>
          <w:rFonts w:hint="eastAsia"/>
          <w:color w:val="auto"/>
          <w:highlight w:val="none"/>
        </w:rPr>
      </w:pPr>
      <w:r>
        <w:rPr>
          <w:rFonts w:hint="eastAsia"/>
          <w:color w:val="auto"/>
          <w:highlight w:val="none"/>
        </w:rPr>
        <w:t>2.1.2 资格评审标准：见评标办法前附表（适用于未进行资格预审的）。</w:t>
      </w:r>
    </w:p>
    <w:p w14:paraId="07D581D1">
      <w:pPr>
        <w:ind w:firstLine="480"/>
        <w:rPr>
          <w:rFonts w:hint="eastAsia"/>
          <w:color w:val="auto"/>
          <w:highlight w:val="none"/>
        </w:rPr>
      </w:pPr>
      <w:r>
        <w:rPr>
          <w:rFonts w:hint="eastAsia"/>
          <w:color w:val="auto"/>
          <w:highlight w:val="none"/>
        </w:rPr>
        <w:t>2.1.2 资格评审标准：见资格预审文件第三章“资格审查办法”详细审查标准（适用于已进行资格预审的）。</w:t>
      </w:r>
    </w:p>
    <w:p w14:paraId="4B3AFC08">
      <w:pPr>
        <w:ind w:firstLine="480"/>
        <w:rPr>
          <w:rFonts w:hint="eastAsia"/>
          <w:color w:val="auto"/>
          <w:highlight w:val="none"/>
        </w:rPr>
      </w:pPr>
      <w:r>
        <w:rPr>
          <w:rFonts w:hint="eastAsia"/>
          <w:color w:val="auto"/>
          <w:highlight w:val="none"/>
        </w:rPr>
        <w:t>2.1.3 响应性评审标准：见评标办法前附表。</w:t>
      </w:r>
    </w:p>
    <w:p w14:paraId="512416E1">
      <w:pPr>
        <w:ind w:firstLine="480"/>
        <w:rPr>
          <w:rFonts w:hint="eastAsia"/>
          <w:color w:val="auto"/>
          <w:highlight w:val="none"/>
        </w:rPr>
      </w:pPr>
      <w:r>
        <w:rPr>
          <w:rFonts w:hint="eastAsia"/>
          <w:color w:val="auto"/>
          <w:highlight w:val="none"/>
        </w:rPr>
        <w:t>2.2 分值构成与评分标准</w:t>
      </w:r>
    </w:p>
    <w:p w14:paraId="764ABE5D">
      <w:pPr>
        <w:ind w:firstLine="480"/>
        <w:rPr>
          <w:rFonts w:hint="eastAsia"/>
          <w:color w:val="auto"/>
          <w:highlight w:val="none"/>
        </w:rPr>
      </w:pPr>
      <w:r>
        <w:rPr>
          <w:rFonts w:hint="eastAsia"/>
          <w:color w:val="auto"/>
          <w:highlight w:val="none"/>
        </w:rPr>
        <w:t>2.2.1 分值构成</w:t>
      </w:r>
    </w:p>
    <w:p w14:paraId="7B8BD5A7">
      <w:pPr>
        <w:ind w:firstLine="480"/>
        <w:rPr>
          <w:rFonts w:hint="eastAsia"/>
          <w:color w:val="auto"/>
          <w:highlight w:val="none"/>
        </w:rPr>
      </w:pPr>
      <w:r>
        <w:rPr>
          <w:rFonts w:hint="eastAsia"/>
          <w:color w:val="auto"/>
          <w:highlight w:val="none"/>
        </w:rPr>
        <w:t>（1）工作方案：见评标办法前附表；</w:t>
      </w:r>
    </w:p>
    <w:p w14:paraId="146DE029">
      <w:pPr>
        <w:ind w:firstLine="480"/>
        <w:rPr>
          <w:rFonts w:hint="eastAsia"/>
          <w:color w:val="auto"/>
          <w:highlight w:val="none"/>
        </w:rPr>
      </w:pPr>
      <w:r>
        <w:rPr>
          <w:rFonts w:hint="eastAsia"/>
          <w:color w:val="auto"/>
          <w:highlight w:val="none"/>
        </w:rPr>
        <w:t>（2）主要人员：见评标办法前附表；</w:t>
      </w:r>
    </w:p>
    <w:p w14:paraId="2A24F5E7">
      <w:pPr>
        <w:ind w:firstLine="480"/>
        <w:rPr>
          <w:rFonts w:hint="eastAsia"/>
          <w:color w:val="auto"/>
          <w:highlight w:val="none"/>
        </w:rPr>
      </w:pPr>
      <w:r>
        <w:rPr>
          <w:rFonts w:hint="eastAsia"/>
          <w:color w:val="auto"/>
          <w:highlight w:val="none"/>
        </w:rPr>
        <w:t>（3）评标价：见评标办法前附表；</w:t>
      </w:r>
    </w:p>
    <w:p w14:paraId="438053C8">
      <w:pPr>
        <w:ind w:firstLine="480"/>
        <w:rPr>
          <w:rFonts w:hint="eastAsia"/>
          <w:color w:val="auto"/>
          <w:highlight w:val="none"/>
        </w:rPr>
      </w:pPr>
      <w:r>
        <w:rPr>
          <w:rFonts w:hint="eastAsia"/>
          <w:color w:val="auto"/>
          <w:highlight w:val="none"/>
        </w:rPr>
        <w:t>（4）其他评分因素：见评标办法前附表。</w:t>
      </w:r>
    </w:p>
    <w:p w14:paraId="77176886">
      <w:pPr>
        <w:ind w:firstLine="480"/>
        <w:rPr>
          <w:rFonts w:hint="eastAsia"/>
          <w:color w:val="auto"/>
          <w:highlight w:val="none"/>
        </w:rPr>
      </w:pPr>
      <w:r>
        <w:rPr>
          <w:rFonts w:hint="eastAsia"/>
          <w:color w:val="auto"/>
          <w:highlight w:val="none"/>
        </w:rPr>
        <w:t>2.2.2 评标基准价计算</w:t>
      </w:r>
    </w:p>
    <w:p w14:paraId="2D55D4E5">
      <w:pPr>
        <w:ind w:firstLine="480"/>
        <w:rPr>
          <w:rFonts w:hint="eastAsia"/>
          <w:color w:val="auto"/>
          <w:highlight w:val="none"/>
        </w:rPr>
      </w:pPr>
      <w:r>
        <w:rPr>
          <w:rFonts w:hint="eastAsia"/>
          <w:color w:val="auto"/>
          <w:highlight w:val="none"/>
        </w:rPr>
        <w:t>评标基准价计算方法：见评标办法前附表。</w:t>
      </w:r>
    </w:p>
    <w:p w14:paraId="3F1BFB28">
      <w:pPr>
        <w:ind w:firstLine="480"/>
        <w:rPr>
          <w:rFonts w:hint="eastAsia"/>
          <w:color w:val="auto"/>
          <w:highlight w:val="none"/>
        </w:rPr>
      </w:pPr>
      <w:r>
        <w:rPr>
          <w:rFonts w:hint="eastAsia"/>
          <w:color w:val="auto"/>
          <w:highlight w:val="none"/>
        </w:rPr>
        <w:t>2.2.3 评标价的偏差率计算</w:t>
      </w:r>
    </w:p>
    <w:p w14:paraId="2D3D1E4E">
      <w:pPr>
        <w:ind w:firstLine="480"/>
        <w:rPr>
          <w:rFonts w:hint="eastAsia"/>
          <w:color w:val="auto"/>
          <w:highlight w:val="none"/>
        </w:rPr>
      </w:pPr>
      <w:r>
        <w:rPr>
          <w:rFonts w:hint="eastAsia"/>
          <w:color w:val="auto"/>
          <w:highlight w:val="none"/>
        </w:rPr>
        <w:t>评标价的偏差率计算公式：见评标办法前附表。</w:t>
      </w:r>
    </w:p>
    <w:p w14:paraId="1B845528">
      <w:pPr>
        <w:ind w:firstLine="480"/>
        <w:rPr>
          <w:rFonts w:hint="eastAsia"/>
          <w:color w:val="auto"/>
          <w:highlight w:val="none"/>
        </w:rPr>
      </w:pPr>
      <w:r>
        <w:rPr>
          <w:rFonts w:hint="eastAsia"/>
          <w:color w:val="auto"/>
          <w:highlight w:val="none"/>
        </w:rPr>
        <w:t>2.2.4 评分标准</w:t>
      </w:r>
    </w:p>
    <w:p w14:paraId="2672CEFF">
      <w:pPr>
        <w:ind w:firstLine="480"/>
        <w:rPr>
          <w:rFonts w:hint="eastAsia"/>
          <w:color w:val="auto"/>
          <w:highlight w:val="none"/>
        </w:rPr>
      </w:pPr>
      <w:r>
        <w:rPr>
          <w:rFonts w:hint="eastAsia"/>
          <w:color w:val="auto"/>
          <w:highlight w:val="none"/>
        </w:rPr>
        <w:t>（1）技术建议书评分标准：见评标办法前附表；</w:t>
      </w:r>
    </w:p>
    <w:p w14:paraId="7EEE4D26">
      <w:pPr>
        <w:ind w:firstLine="480"/>
        <w:rPr>
          <w:rFonts w:hint="eastAsia"/>
          <w:color w:val="auto"/>
          <w:highlight w:val="none"/>
        </w:rPr>
      </w:pPr>
      <w:r>
        <w:rPr>
          <w:rFonts w:hint="eastAsia"/>
          <w:color w:val="auto"/>
          <w:highlight w:val="none"/>
        </w:rPr>
        <w:t>（2）主要人员评分标准：见评标办法前附表；</w:t>
      </w:r>
    </w:p>
    <w:p w14:paraId="5F1586B1">
      <w:pPr>
        <w:ind w:firstLine="480"/>
        <w:rPr>
          <w:rFonts w:hint="eastAsia"/>
          <w:color w:val="auto"/>
          <w:highlight w:val="none"/>
        </w:rPr>
      </w:pPr>
      <w:r>
        <w:rPr>
          <w:rFonts w:hint="eastAsia"/>
          <w:color w:val="auto"/>
          <w:highlight w:val="none"/>
        </w:rPr>
        <w:t>（3）评标价评分标准：见评标办法前附表；</w:t>
      </w:r>
    </w:p>
    <w:p w14:paraId="18782701">
      <w:pPr>
        <w:ind w:firstLine="480"/>
        <w:rPr>
          <w:rFonts w:hint="eastAsia"/>
          <w:color w:val="auto"/>
          <w:highlight w:val="none"/>
        </w:rPr>
      </w:pPr>
      <w:r>
        <w:rPr>
          <w:rFonts w:hint="eastAsia"/>
          <w:color w:val="auto"/>
          <w:highlight w:val="none"/>
        </w:rPr>
        <w:t>（4）其他因素评分标准：见评标办法前附表。</w:t>
      </w:r>
    </w:p>
    <w:p w14:paraId="217F9D95">
      <w:pPr>
        <w:ind w:firstLine="480"/>
        <w:rPr>
          <w:rFonts w:hint="eastAsia"/>
          <w:color w:val="auto"/>
          <w:highlight w:val="none"/>
        </w:rPr>
      </w:pPr>
      <w:r>
        <w:rPr>
          <w:rFonts w:hint="eastAsia"/>
          <w:color w:val="auto"/>
          <w:highlight w:val="none"/>
        </w:rPr>
        <w:t>3. 评标程序</w:t>
      </w:r>
    </w:p>
    <w:p w14:paraId="3327F019">
      <w:pPr>
        <w:ind w:firstLine="480"/>
        <w:rPr>
          <w:rFonts w:hint="eastAsia"/>
          <w:color w:val="auto"/>
          <w:highlight w:val="none"/>
        </w:rPr>
      </w:pPr>
      <w:r>
        <w:rPr>
          <w:rFonts w:hint="eastAsia"/>
          <w:color w:val="auto"/>
          <w:highlight w:val="none"/>
        </w:rPr>
        <w:t>3.1 第一个信封初步评审</w:t>
      </w:r>
    </w:p>
    <w:p w14:paraId="7951C18F">
      <w:pPr>
        <w:ind w:firstLine="480"/>
        <w:rPr>
          <w:rFonts w:hint="eastAsia"/>
          <w:color w:val="auto"/>
          <w:highlight w:val="none"/>
        </w:rPr>
      </w:pPr>
      <w:r>
        <w:rPr>
          <w:rFonts w:hint="eastAsia"/>
          <w:color w:val="auto"/>
          <w:highlight w:val="none"/>
        </w:rPr>
        <w:t>3.1.1 评标委员会可以要求投标人提交第二章“投标人须知”第3.5.1项至第3.5.5项规定的有关证明和证件的原件，以便核验。评标委员会依据本章第2.1款规定的标准对投标文件第一个信封（商务及技术文件）进行初步评审。有一项不符合评审标准的，评标委员会应否决其投标。（适用于未进行资格预审的）</w:t>
      </w:r>
    </w:p>
    <w:p w14:paraId="48575AC1">
      <w:pPr>
        <w:ind w:firstLine="480"/>
        <w:rPr>
          <w:rFonts w:hint="eastAsia"/>
          <w:color w:val="auto"/>
          <w:highlight w:val="none"/>
        </w:rPr>
      </w:pPr>
      <w:r>
        <w:rPr>
          <w:rFonts w:hint="eastAsia"/>
          <w:color w:val="auto"/>
          <w:highlight w:val="none"/>
        </w:rPr>
        <w:t>3.1.1 评标委员会依据本章第2.1.1项、第2.1.3项规定的评审标准对投标文件第一个信封（商务及技术文件）进行初步评审。有一项不符合评审标准的，评标委员会应否决其投标。当投标人资格预审申请文件的内容发生重大变化时，评标委员会依据本章第2.1.2项规定的标准对其更新资料进行评审。（适用于已进行资格预审的）</w:t>
      </w:r>
    </w:p>
    <w:p w14:paraId="32889963">
      <w:pPr>
        <w:ind w:firstLine="480"/>
        <w:rPr>
          <w:rFonts w:hint="eastAsia"/>
          <w:color w:val="auto"/>
          <w:highlight w:val="none"/>
        </w:rPr>
      </w:pPr>
      <w:r>
        <w:rPr>
          <w:rFonts w:hint="eastAsia"/>
          <w:color w:val="auto"/>
          <w:highlight w:val="none"/>
        </w:rPr>
        <w:t>3.2 第一个信封详细评审</w:t>
      </w:r>
    </w:p>
    <w:p w14:paraId="4F89AB00">
      <w:pPr>
        <w:ind w:firstLine="480"/>
        <w:rPr>
          <w:rFonts w:hint="eastAsia"/>
          <w:color w:val="auto"/>
          <w:highlight w:val="none"/>
        </w:rPr>
      </w:pPr>
      <w:r>
        <w:rPr>
          <w:rFonts w:hint="eastAsia"/>
          <w:color w:val="auto"/>
          <w:highlight w:val="none"/>
        </w:rPr>
        <w:t>3.2.1 评标委员会按本章第2.2款规定的量化因素和分值进行打分，并计算出各投标人的商务和技术得分。</w:t>
      </w:r>
    </w:p>
    <w:p w14:paraId="7FD46D31">
      <w:pPr>
        <w:ind w:firstLine="480"/>
        <w:rPr>
          <w:rFonts w:hint="eastAsia"/>
          <w:color w:val="auto"/>
          <w:highlight w:val="none"/>
        </w:rPr>
      </w:pPr>
      <w:r>
        <w:rPr>
          <w:rFonts w:hint="eastAsia"/>
          <w:color w:val="auto"/>
          <w:highlight w:val="none"/>
        </w:rPr>
        <w:t>（1）按本章第2.2.4项（1）目规定的评审因素和分值对技术建议书部分计算出得分A；</w:t>
      </w:r>
    </w:p>
    <w:p w14:paraId="142FEA62">
      <w:pPr>
        <w:ind w:firstLine="480"/>
        <w:rPr>
          <w:rFonts w:hint="eastAsia"/>
          <w:color w:val="auto"/>
          <w:highlight w:val="none"/>
        </w:rPr>
      </w:pPr>
      <w:r>
        <w:rPr>
          <w:rFonts w:hint="eastAsia"/>
          <w:color w:val="auto"/>
          <w:highlight w:val="none"/>
        </w:rPr>
        <w:t>（2）按本章第2.2.4项（2）目规定的评审因素和分值对主要人员部分计算出得分B；</w:t>
      </w:r>
    </w:p>
    <w:p w14:paraId="0FBD4B66">
      <w:pPr>
        <w:ind w:firstLine="480"/>
        <w:rPr>
          <w:rFonts w:hint="eastAsia"/>
          <w:color w:val="auto"/>
          <w:highlight w:val="none"/>
        </w:rPr>
      </w:pPr>
      <w:r>
        <w:rPr>
          <w:rFonts w:hint="eastAsia"/>
          <w:color w:val="auto"/>
          <w:highlight w:val="none"/>
        </w:rPr>
        <w:t>（3）按本章第2.2.4项（4）目规定的评审因素和分值对其他部分计算出得分D。</w:t>
      </w:r>
    </w:p>
    <w:p w14:paraId="3AFBCD6B">
      <w:pPr>
        <w:ind w:firstLine="480"/>
        <w:rPr>
          <w:rFonts w:hint="eastAsia"/>
          <w:color w:val="auto"/>
          <w:highlight w:val="none"/>
        </w:rPr>
      </w:pPr>
      <w:r>
        <w:rPr>
          <w:rFonts w:hint="eastAsia"/>
          <w:color w:val="auto"/>
          <w:highlight w:val="none"/>
        </w:rPr>
        <w:t>3.2.2 投标人的商务和技术得分分值计算保留小数点后两位，小数点后第三位“四舍五入”。</w:t>
      </w:r>
    </w:p>
    <w:p w14:paraId="3E61A2F1">
      <w:pPr>
        <w:ind w:firstLine="480"/>
        <w:rPr>
          <w:rFonts w:hint="eastAsia"/>
          <w:color w:val="auto"/>
          <w:highlight w:val="none"/>
        </w:rPr>
      </w:pPr>
      <w:r>
        <w:rPr>
          <w:rFonts w:hint="eastAsia"/>
          <w:color w:val="auto"/>
          <w:highlight w:val="none"/>
        </w:rPr>
        <w:t xml:space="preserve">3.2.3 投标人的商务和技术得分=A+B+D。 </w:t>
      </w:r>
    </w:p>
    <w:p w14:paraId="58BAC375">
      <w:pPr>
        <w:ind w:firstLine="480"/>
        <w:rPr>
          <w:rFonts w:hint="eastAsia"/>
          <w:color w:val="auto"/>
          <w:highlight w:val="none"/>
        </w:rPr>
      </w:pPr>
      <w:r>
        <w:rPr>
          <w:rFonts w:hint="eastAsia"/>
          <w:color w:val="auto"/>
          <w:highlight w:val="none"/>
        </w:rPr>
        <w:t>3.3 第二个信封开标</w:t>
      </w:r>
    </w:p>
    <w:p w14:paraId="161F0488">
      <w:pPr>
        <w:ind w:firstLine="480"/>
        <w:rPr>
          <w:rFonts w:hint="eastAsia"/>
          <w:color w:val="auto"/>
          <w:highlight w:val="none"/>
        </w:rPr>
      </w:pPr>
      <w:r>
        <w:rPr>
          <w:rFonts w:hint="eastAsia"/>
          <w:color w:val="auto"/>
          <w:highlight w:val="none"/>
        </w:rPr>
        <w:t>第一个信封（商务及技术文件）评审结束后，招标人将按照第二章“投标人须知”第5.1款规定的时间和地点对通过投标文件第一个信封（商务及技术文件）评审的投标文件第二个信封（报价文件）进行开标。</w:t>
      </w:r>
    </w:p>
    <w:p w14:paraId="3A86B380">
      <w:pPr>
        <w:ind w:firstLine="480"/>
        <w:rPr>
          <w:rFonts w:hint="eastAsia"/>
          <w:color w:val="auto"/>
          <w:highlight w:val="none"/>
        </w:rPr>
      </w:pPr>
      <w:r>
        <w:rPr>
          <w:rFonts w:hint="eastAsia"/>
          <w:color w:val="auto"/>
          <w:highlight w:val="none"/>
        </w:rPr>
        <w:t>3.4 第二个信封初步评审</w:t>
      </w:r>
    </w:p>
    <w:p w14:paraId="73E7A522">
      <w:pPr>
        <w:ind w:firstLine="480"/>
        <w:rPr>
          <w:rFonts w:hint="eastAsia"/>
          <w:color w:val="auto"/>
          <w:highlight w:val="none"/>
        </w:rPr>
      </w:pPr>
      <w:r>
        <w:rPr>
          <w:rFonts w:hint="eastAsia"/>
          <w:color w:val="auto"/>
          <w:highlight w:val="none"/>
        </w:rPr>
        <w:t>3.4.1 评标委员会依据本章第2.1.1项、第2.1.3项规定的评审标准对投标文件第二个信封（报价文件）进行初步评审。有一项不符合评审标准的，评标委员会应否决其投标。</w:t>
      </w:r>
    </w:p>
    <w:p w14:paraId="08CD4620">
      <w:pPr>
        <w:ind w:firstLine="480"/>
        <w:rPr>
          <w:rFonts w:hint="eastAsia"/>
          <w:color w:val="auto"/>
          <w:highlight w:val="none"/>
        </w:rPr>
      </w:pPr>
      <w:r>
        <w:rPr>
          <w:rFonts w:hint="eastAsia"/>
          <w:color w:val="auto"/>
          <w:highlight w:val="none"/>
        </w:rPr>
        <w:t>3.4.2 投标报价有算术错误的，评标委员会按以下原则对投标报价进行修正，修正的价格经投标人书面确认后具有约束力。投标人不接受修正价格的，评标委员会应否决其投标。</w:t>
      </w:r>
    </w:p>
    <w:p w14:paraId="15CA4330">
      <w:pPr>
        <w:ind w:firstLine="480"/>
        <w:rPr>
          <w:rFonts w:hint="eastAsia"/>
          <w:color w:val="auto"/>
          <w:highlight w:val="none"/>
        </w:rPr>
      </w:pPr>
      <w:r>
        <w:rPr>
          <w:rFonts w:hint="eastAsia"/>
          <w:color w:val="auto"/>
          <w:highlight w:val="none"/>
        </w:rPr>
        <w:t>（1）投标文件中的大写金额与小写金额不一致的，以大写金额为准；</w:t>
      </w:r>
    </w:p>
    <w:p w14:paraId="738742FD">
      <w:pPr>
        <w:ind w:firstLine="480"/>
        <w:rPr>
          <w:rFonts w:hint="eastAsia"/>
          <w:color w:val="auto"/>
          <w:highlight w:val="none"/>
        </w:rPr>
      </w:pPr>
      <w:r>
        <w:rPr>
          <w:rFonts w:hint="eastAsia"/>
          <w:color w:val="auto"/>
          <w:highlight w:val="none"/>
        </w:rPr>
        <w:t>（2）总价金额与依据单价计算出的结果不一致的，以单价金额为准修正总价，但单价金额小数点有明显错误的除外；</w:t>
      </w:r>
    </w:p>
    <w:p w14:paraId="27433259">
      <w:pPr>
        <w:ind w:firstLine="480"/>
        <w:rPr>
          <w:rFonts w:hint="eastAsia"/>
          <w:color w:val="auto"/>
          <w:highlight w:val="none"/>
        </w:rPr>
      </w:pPr>
      <w:r>
        <w:rPr>
          <w:rFonts w:hint="eastAsia"/>
          <w:color w:val="auto"/>
          <w:highlight w:val="none"/>
        </w:rPr>
        <w:t>（3）当单价与数量相乘不等于合价时，以单价计算为准，如果单价有明显的小数点位置差错，应以标出的合价为准，同时对单价予以修正；</w:t>
      </w:r>
    </w:p>
    <w:p w14:paraId="1B5908BD">
      <w:pPr>
        <w:ind w:firstLine="480"/>
        <w:rPr>
          <w:rFonts w:hint="eastAsia"/>
          <w:color w:val="auto"/>
          <w:highlight w:val="none"/>
        </w:rPr>
      </w:pPr>
      <w:r>
        <w:rPr>
          <w:rFonts w:hint="eastAsia"/>
          <w:color w:val="auto"/>
          <w:highlight w:val="none"/>
        </w:rPr>
        <w:t>（4）当各子目的合价累计不等于总价时，应以各子目合价累计数为准，修正总价。</w:t>
      </w:r>
    </w:p>
    <w:p w14:paraId="465DB522">
      <w:pPr>
        <w:ind w:firstLine="480"/>
        <w:rPr>
          <w:rFonts w:hint="eastAsia"/>
          <w:color w:val="auto"/>
          <w:highlight w:val="none"/>
        </w:rPr>
      </w:pPr>
      <w:r>
        <w:rPr>
          <w:rFonts w:hint="eastAsia"/>
          <w:color w:val="auto"/>
          <w:highlight w:val="none"/>
        </w:rPr>
        <w:t>3.4.3 修正后的最终投标报价若超过最高投标限价（如有），评标委员会应否决其投标。</w:t>
      </w:r>
    </w:p>
    <w:p w14:paraId="2D5DF826">
      <w:pPr>
        <w:ind w:firstLine="480"/>
        <w:rPr>
          <w:rFonts w:hint="eastAsia"/>
          <w:color w:val="auto"/>
          <w:highlight w:val="none"/>
        </w:rPr>
      </w:pPr>
      <w:r>
        <w:rPr>
          <w:rFonts w:hint="eastAsia"/>
          <w:color w:val="auto"/>
          <w:highlight w:val="none"/>
        </w:rPr>
        <w:t>3.4.4 修正后的最终投标报价仅作为签订合同的一个依据，不参与评标价得分的计算。</w:t>
      </w:r>
    </w:p>
    <w:p w14:paraId="712009DD">
      <w:pPr>
        <w:ind w:firstLine="480"/>
        <w:rPr>
          <w:rFonts w:hint="eastAsia"/>
          <w:color w:val="auto"/>
          <w:highlight w:val="none"/>
        </w:rPr>
      </w:pPr>
      <w:r>
        <w:rPr>
          <w:rFonts w:hint="eastAsia"/>
          <w:color w:val="auto"/>
          <w:highlight w:val="none"/>
        </w:rPr>
        <w:t>3.5 第二个信封详细评审</w:t>
      </w:r>
    </w:p>
    <w:p w14:paraId="3AB67760">
      <w:pPr>
        <w:ind w:firstLine="480"/>
        <w:rPr>
          <w:rFonts w:hint="eastAsia"/>
          <w:color w:val="auto"/>
          <w:highlight w:val="none"/>
        </w:rPr>
      </w:pPr>
      <w:r>
        <w:rPr>
          <w:rFonts w:hint="eastAsia"/>
          <w:color w:val="auto"/>
          <w:highlight w:val="none"/>
        </w:rPr>
        <w:t>3.5.1 评标委员会按本章第2.2.4项（3）目规定的评审因素和分值对评标价计算出得分C。评标价得分分值计算保留小数点后两位，小数点后第三位“四舍五入”。</w:t>
      </w:r>
    </w:p>
    <w:p w14:paraId="40891EB7">
      <w:pPr>
        <w:ind w:firstLine="480"/>
        <w:rPr>
          <w:rFonts w:hint="eastAsia"/>
          <w:color w:val="auto"/>
          <w:highlight w:val="none"/>
        </w:rPr>
      </w:pPr>
      <w:r>
        <w:rPr>
          <w:rFonts w:hint="eastAsia"/>
          <w:color w:val="auto"/>
          <w:highlight w:val="none"/>
        </w:rPr>
        <w:t>3.5.2 投标人综合得分=投标人的商务和技术得分+C。</w:t>
      </w:r>
    </w:p>
    <w:p w14:paraId="545590A2">
      <w:pPr>
        <w:ind w:firstLine="480"/>
        <w:rPr>
          <w:rFonts w:hint="eastAsia"/>
          <w:color w:val="auto"/>
          <w:highlight w:val="none"/>
        </w:rPr>
      </w:pPr>
      <w:r>
        <w:rPr>
          <w:rFonts w:hint="eastAsia"/>
          <w:color w:val="auto"/>
          <w:highlight w:val="none"/>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1A86596A">
      <w:pPr>
        <w:ind w:firstLine="480"/>
        <w:rPr>
          <w:rFonts w:hint="eastAsia"/>
          <w:color w:val="auto"/>
          <w:highlight w:val="none"/>
        </w:rPr>
      </w:pPr>
      <w:r>
        <w:rPr>
          <w:rFonts w:hint="eastAsia"/>
          <w:color w:val="auto"/>
          <w:highlight w:val="none"/>
        </w:rPr>
        <w:t>3.6 投标文件相关信息的核查</w:t>
      </w:r>
    </w:p>
    <w:p w14:paraId="52ED71AA">
      <w:pPr>
        <w:ind w:firstLine="480"/>
        <w:rPr>
          <w:rFonts w:hint="eastAsia"/>
          <w:color w:val="auto"/>
          <w:highlight w:val="none"/>
        </w:rPr>
      </w:pPr>
      <w:r>
        <w:rPr>
          <w:rFonts w:hint="eastAsia"/>
          <w:color w:val="auto"/>
          <w:highlight w:val="none"/>
        </w:rPr>
        <w:t>3.6.1 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14:paraId="75B4924F">
      <w:pPr>
        <w:ind w:firstLine="480"/>
        <w:rPr>
          <w:rFonts w:hint="eastAsia"/>
          <w:color w:val="auto"/>
          <w:highlight w:val="none"/>
        </w:rPr>
      </w:pPr>
      <w:r>
        <w:rPr>
          <w:rFonts w:hint="eastAsia"/>
          <w:color w:val="auto"/>
          <w:highlight w:val="none"/>
        </w:rPr>
        <w:t>3.6.2 评标委员会应对在评标过程中发现的投标人与投标人之间、投标人与招标人之间存在的串通投标的情形进行评审和认定。投标人存在串通投标、弄虚作假、行贿等违法行为的，评标委员会应否决其投标。</w:t>
      </w:r>
    </w:p>
    <w:p w14:paraId="06614679">
      <w:pPr>
        <w:ind w:firstLine="480"/>
        <w:rPr>
          <w:rFonts w:hint="eastAsia"/>
          <w:color w:val="auto"/>
          <w:highlight w:val="none"/>
        </w:rPr>
      </w:pPr>
      <w:r>
        <w:rPr>
          <w:rFonts w:hint="eastAsia"/>
          <w:color w:val="auto"/>
          <w:highlight w:val="none"/>
        </w:rPr>
        <w:t>（1）有下列情形之一的，属于投标人相互串通投标：</w:t>
      </w:r>
    </w:p>
    <w:p w14:paraId="297B9FBC">
      <w:pPr>
        <w:ind w:firstLine="480"/>
        <w:rPr>
          <w:rFonts w:hint="eastAsia"/>
          <w:color w:val="auto"/>
          <w:highlight w:val="none"/>
        </w:rPr>
      </w:pPr>
      <w:r>
        <w:rPr>
          <w:rFonts w:hint="eastAsia"/>
          <w:color w:val="auto"/>
          <w:highlight w:val="none"/>
        </w:rPr>
        <w:t>a.投标人之间协商投标报价等投标文件的实质性内容；</w:t>
      </w:r>
    </w:p>
    <w:p w14:paraId="6F72D355">
      <w:pPr>
        <w:ind w:firstLine="480"/>
        <w:rPr>
          <w:rFonts w:hint="eastAsia"/>
          <w:color w:val="auto"/>
          <w:highlight w:val="none"/>
        </w:rPr>
      </w:pPr>
      <w:r>
        <w:rPr>
          <w:rFonts w:hint="eastAsia"/>
          <w:color w:val="auto"/>
          <w:highlight w:val="none"/>
        </w:rPr>
        <w:t>b.投标人之间约定中标人；</w:t>
      </w:r>
    </w:p>
    <w:p w14:paraId="1CEC92AB">
      <w:pPr>
        <w:ind w:firstLine="480"/>
        <w:rPr>
          <w:rFonts w:hint="eastAsia"/>
          <w:color w:val="auto"/>
          <w:highlight w:val="none"/>
        </w:rPr>
      </w:pPr>
      <w:r>
        <w:rPr>
          <w:rFonts w:hint="eastAsia"/>
          <w:color w:val="auto"/>
          <w:highlight w:val="none"/>
        </w:rPr>
        <w:t>c.投标人之间约定部分投标人放弃投标或中标；</w:t>
      </w:r>
    </w:p>
    <w:p w14:paraId="694B7221">
      <w:pPr>
        <w:ind w:firstLine="480"/>
        <w:rPr>
          <w:rFonts w:hint="eastAsia"/>
          <w:color w:val="auto"/>
          <w:highlight w:val="none"/>
        </w:rPr>
      </w:pPr>
      <w:r>
        <w:rPr>
          <w:rFonts w:hint="eastAsia"/>
          <w:color w:val="auto"/>
          <w:highlight w:val="none"/>
        </w:rPr>
        <w:t>d.属于同一集团、协会、商会等组织成员的投标人按照该组织要求协同投标；</w:t>
      </w:r>
    </w:p>
    <w:p w14:paraId="152E2116">
      <w:pPr>
        <w:ind w:firstLine="480"/>
        <w:rPr>
          <w:rFonts w:hint="eastAsia"/>
          <w:color w:val="auto"/>
          <w:highlight w:val="none"/>
        </w:rPr>
      </w:pPr>
      <w:r>
        <w:rPr>
          <w:rFonts w:hint="eastAsia"/>
          <w:color w:val="auto"/>
          <w:highlight w:val="none"/>
        </w:rPr>
        <w:t>e.投标人之间为谋取中标或排斥特定投标人而采取的其他联合行动。</w:t>
      </w:r>
    </w:p>
    <w:p w14:paraId="0D6DD0CD">
      <w:pPr>
        <w:ind w:firstLine="480"/>
        <w:rPr>
          <w:rFonts w:hint="eastAsia"/>
          <w:color w:val="auto"/>
          <w:highlight w:val="none"/>
        </w:rPr>
      </w:pPr>
      <w:r>
        <w:rPr>
          <w:rFonts w:hint="eastAsia"/>
          <w:color w:val="auto"/>
          <w:highlight w:val="none"/>
        </w:rPr>
        <w:t>（2）有下列情形之一的，视为投标人相互串通投标：</w:t>
      </w:r>
    </w:p>
    <w:p w14:paraId="36D5ACE2">
      <w:pPr>
        <w:ind w:firstLine="480"/>
        <w:rPr>
          <w:rFonts w:hint="eastAsia"/>
          <w:color w:val="auto"/>
          <w:highlight w:val="none"/>
        </w:rPr>
      </w:pPr>
      <w:r>
        <w:rPr>
          <w:rFonts w:hint="eastAsia"/>
          <w:color w:val="auto"/>
          <w:highlight w:val="none"/>
        </w:rPr>
        <w:t>a.不同投标人的投标文件由同一单位或个人编制；</w:t>
      </w:r>
    </w:p>
    <w:p w14:paraId="6A002708">
      <w:pPr>
        <w:ind w:firstLine="480"/>
        <w:rPr>
          <w:rFonts w:hint="eastAsia"/>
          <w:color w:val="auto"/>
          <w:highlight w:val="none"/>
        </w:rPr>
      </w:pPr>
      <w:r>
        <w:rPr>
          <w:rFonts w:hint="eastAsia"/>
          <w:color w:val="auto"/>
          <w:highlight w:val="none"/>
        </w:rPr>
        <w:t>b.不同投标人委托同一单位或个人办理投标事宜；</w:t>
      </w:r>
    </w:p>
    <w:p w14:paraId="5EDE210E">
      <w:pPr>
        <w:ind w:firstLine="480"/>
        <w:rPr>
          <w:rFonts w:hint="eastAsia"/>
          <w:color w:val="auto"/>
          <w:highlight w:val="none"/>
        </w:rPr>
      </w:pPr>
      <w:r>
        <w:rPr>
          <w:rFonts w:hint="eastAsia"/>
          <w:color w:val="auto"/>
          <w:highlight w:val="none"/>
        </w:rPr>
        <w:t>c.不同投标人的投标文件载明的项目管理成员为同一人；</w:t>
      </w:r>
    </w:p>
    <w:p w14:paraId="6DBBCA9F">
      <w:pPr>
        <w:ind w:firstLine="480"/>
        <w:rPr>
          <w:rFonts w:hint="eastAsia"/>
          <w:color w:val="auto"/>
          <w:highlight w:val="none"/>
        </w:rPr>
      </w:pPr>
      <w:r>
        <w:rPr>
          <w:rFonts w:hint="eastAsia"/>
          <w:color w:val="auto"/>
          <w:highlight w:val="none"/>
        </w:rPr>
        <w:t>d.不同投标人的投标文件异常一致或投标报价呈规律性差异；</w:t>
      </w:r>
    </w:p>
    <w:p w14:paraId="5D2EF22F">
      <w:pPr>
        <w:ind w:firstLine="480"/>
        <w:rPr>
          <w:rFonts w:hint="eastAsia"/>
          <w:color w:val="auto"/>
          <w:highlight w:val="none"/>
        </w:rPr>
      </w:pPr>
      <w:r>
        <w:rPr>
          <w:rFonts w:hint="eastAsia"/>
          <w:color w:val="auto"/>
          <w:highlight w:val="none"/>
        </w:rPr>
        <w:t>e.不同投标人的投标文件相互混装；</w:t>
      </w:r>
    </w:p>
    <w:p w14:paraId="285BB483">
      <w:pPr>
        <w:ind w:firstLine="480"/>
        <w:rPr>
          <w:rFonts w:hint="eastAsia"/>
          <w:color w:val="auto"/>
          <w:highlight w:val="none"/>
        </w:rPr>
      </w:pPr>
      <w:r>
        <w:rPr>
          <w:rFonts w:hint="eastAsia"/>
          <w:color w:val="auto"/>
          <w:highlight w:val="none"/>
        </w:rPr>
        <w:t>f.不同投标人的投标保证金从同一单位或个人的账户转出。</w:t>
      </w:r>
    </w:p>
    <w:p w14:paraId="567FAC80">
      <w:pPr>
        <w:ind w:firstLine="480"/>
        <w:rPr>
          <w:rFonts w:hint="eastAsia"/>
          <w:color w:val="auto"/>
          <w:highlight w:val="none"/>
        </w:rPr>
      </w:pPr>
      <w:r>
        <w:rPr>
          <w:rFonts w:hint="eastAsia"/>
          <w:color w:val="auto"/>
          <w:highlight w:val="none"/>
        </w:rPr>
        <w:t>（3）有下列情形之一的，属于招标人与投标人串通投标：</w:t>
      </w:r>
    </w:p>
    <w:p w14:paraId="5A50AC41">
      <w:pPr>
        <w:ind w:firstLine="480"/>
        <w:rPr>
          <w:rFonts w:hint="eastAsia"/>
          <w:color w:val="auto"/>
          <w:highlight w:val="none"/>
        </w:rPr>
      </w:pPr>
      <w:r>
        <w:rPr>
          <w:rFonts w:hint="eastAsia"/>
          <w:color w:val="auto"/>
          <w:highlight w:val="none"/>
        </w:rPr>
        <w:t>a.招标人在开标前开启投标文件并将有关信息泄露给其他投标人;</w:t>
      </w:r>
    </w:p>
    <w:p w14:paraId="70BA3982">
      <w:pPr>
        <w:ind w:firstLine="480"/>
        <w:rPr>
          <w:rFonts w:hint="eastAsia"/>
          <w:color w:val="auto"/>
          <w:highlight w:val="none"/>
        </w:rPr>
      </w:pPr>
      <w:r>
        <w:rPr>
          <w:rFonts w:hint="eastAsia"/>
          <w:color w:val="auto"/>
          <w:highlight w:val="none"/>
        </w:rPr>
        <w:t>b.招标人直接或间接向投标人泄露标底、评标委员会成员等信息；</w:t>
      </w:r>
    </w:p>
    <w:p w14:paraId="62D5593E">
      <w:pPr>
        <w:ind w:firstLine="480"/>
        <w:rPr>
          <w:rFonts w:hint="eastAsia"/>
          <w:color w:val="auto"/>
          <w:highlight w:val="none"/>
        </w:rPr>
      </w:pPr>
      <w:r>
        <w:rPr>
          <w:rFonts w:hint="eastAsia"/>
          <w:color w:val="auto"/>
          <w:highlight w:val="none"/>
        </w:rPr>
        <w:t>c.招标人明示或暗示投标人压低或抬高投标报价；</w:t>
      </w:r>
    </w:p>
    <w:p w14:paraId="2909C659">
      <w:pPr>
        <w:ind w:firstLine="480"/>
        <w:rPr>
          <w:rFonts w:hint="eastAsia"/>
          <w:color w:val="auto"/>
          <w:highlight w:val="none"/>
        </w:rPr>
      </w:pPr>
      <w:r>
        <w:rPr>
          <w:rFonts w:hint="eastAsia"/>
          <w:color w:val="auto"/>
          <w:highlight w:val="none"/>
        </w:rPr>
        <w:t>d.招标人授意投标人撤换、修改投标文件；</w:t>
      </w:r>
    </w:p>
    <w:p w14:paraId="51B0A47D">
      <w:pPr>
        <w:ind w:firstLine="480"/>
        <w:rPr>
          <w:rFonts w:hint="eastAsia"/>
          <w:color w:val="auto"/>
          <w:highlight w:val="none"/>
        </w:rPr>
      </w:pPr>
      <w:r>
        <w:rPr>
          <w:rFonts w:hint="eastAsia"/>
          <w:color w:val="auto"/>
          <w:highlight w:val="none"/>
        </w:rPr>
        <w:t>e.招标人明示或暗示投标人为特定投标人中标提供方便；</w:t>
      </w:r>
    </w:p>
    <w:p w14:paraId="10C501C2">
      <w:pPr>
        <w:ind w:firstLine="480"/>
        <w:rPr>
          <w:rFonts w:hint="eastAsia"/>
          <w:color w:val="auto"/>
          <w:highlight w:val="none"/>
        </w:rPr>
      </w:pPr>
      <w:r>
        <w:rPr>
          <w:rFonts w:hint="eastAsia"/>
          <w:color w:val="auto"/>
          <w:highlight w:val="none"/>
        </w:rPr>
        <w:t>f.招标人与投标人为谋求特定投标人中标而采取的其他串通行为。</w:t>
      </w:r>
    </w:p>
    <w:p w14:paraId="15A89386">
      <w:pPr>
        <w:ind w:firstLine="480"/>
        <w:rPr>
          <w:rFonts w:hint="eastAsia"/>
          <w:color w:val="auto"/>
          <w:highlight w:val="none"/>
        </w:rPr>
      </w:pPr>
      <w:r>
        <w:rPr>
          <w:rFonts w:hint="eastAsia"/>
          <w:color w:val="auto"/>
          <w:highlight w:val="none"/>
        </w:rPr>
        <w:t>（4）投标人有下列情形之一的，属于弄虚作假的行为：</w:t>
      </w:r>
    </w:p>
    <w:p w14:paraId="3E27B71E">
      <w:pPr>
        <w:ind w:firstLine="480"/>
        <w:rPr>
          <w:rFonts w:hint="eastAsia"/>
          <w:color w:val="auto"/>
          <w:highlight w:val="none"/>
        </w:rPr>
      </w:pPr>
      <w:r>
        <w:rPr>
          <w:rFonts w:hint="eastAsia"/>
          <w:color w:val="auto"/>
          <w:highlight w:val="none"/>
        </w:rPr>
        <w:t>a.使用通过受让或租借等方式获取的资格投标；</w:t>
      </w:r>
    </w:p>
    <w:p w14:paraId="2F75C873">
      <w:pPr>
        <w:ind w:firstLine="480"/>
        <w:rPr>
          <w:rFonts w:hint="eastAsia"/>
          <w:color w:val="auto"/>
          <w:highlight w:val="none"/>
        </w:rPr>
      </w:pPr>
      <w:r>
        <w:rPr>
          <w:rFonts w:hint="eastAsia"/>
          <w:color w:val="auto"/>
          <w:highlight w:val="none"/>
        </w:rPr>
        <w:t>b.使用伪造、变造的许可证件；</w:t>
      </w:r>
    </w:p>
    <w:p w14:paraId="59D70A1D">
      <w:pPr>
        <w:ind w:firstLine="480"/>
        <w:rPr>
          <w:rFonts w:hint="eastAsia"/>
          <w:color w:val="auto"/>
          <w:highlight w:val="none"/>
        </w:rPr>
      </w:pPr>
      <w:r>
        <w:rPr>
          <w:rFonts w:hint="eastAsia"/>
          <w:color w:val="auto"/>
          <w:highlight w:val="none"/>
        </w:rPr>
        <w:t>c.提供虚假的业绩；</w:t>
      </w:r>
    </w:p>
    <w:p w14:paraId="1333DB0B">
      <w:pPr>
        <w:ind w:firstLine="480"/>
        <w:rPr>
          <w:rFonts w:hint="eastAsia"/>
          <w:color w:val="auto"/>
          <w:highlight w:val="none"/>
        </w:rPr>
      </w:pPr>
      <w:r>
        <w:rPr>
          <w:rFonts w:hint="eastAsia"/>
          <w:color w:val="auto"/>
          <w:highlight w:val="none"/>
        </w:rPr>
        <w:t>d.提供虚假的项目负责人或主要技术人员简历、劳动关系证明；</w:t>
      </w:r>
    </w:p>
    <w:p w14:paraId="6D610415">
      <w:pPr>
        <w:ind w:firstLine="480"/>
        <w:rPr>
          <w:rFonts w:hint="eastAsia"/>
          <w:color w:val="auto"/>
          <w:highlight w:val="none"/>
        </w:rPr>
      </w:pPr>
      <w:r>
        <w:rPr>
          <w:rFonts w:hint="eastAsia"/>
          <w:color w:val="auto"/>
          <w:highlight w:val="none"/>
        </w:rPr>
        <w:t>e.提供虚假的信用状况；</w:t>
      </w:r>
    </w:p>
    <w:p w14:paraId="7E4F4DCF">
      <w:pPr>
        <w:ind w:firstLine="480"/>
        <w:rPr>
          <w:rFonts w:hint="eastAsia"/>
          <w:color w:val="auto"/>
          <w:highlight w:val="none"/>
        </w:rPr>
      </w:pPr>
      <w:r>
        <w:rPr>
          <w:rFonts w:hint="eastAsia"/>
          <w:color w:val="auto"/>
          <w:highlight w:val="none"/>
        </w:rPr>
        <w:t>f.其他弄虚作假的行为。</w:t>
      </w:r>
    </w:p>
    <w:p w14:paraId="08878EE5">
      <w:pPr>
        <w:ind w:firstLine="480"/>
        <w:rPr>
          <w:rFonts w:hint="eastAsia"/>
          <w:color w:val="auto"/>
          <w:highlight w:val="none"/>
        </w:rPr>
      </w:pPr>
      <w:r>
        <w:rPr>
          <w:rFonts w:hint="eastAsia"/>
          <w:color w:val="auto"/>
          <w:highlight w:val="none"/>
        </w:rPr>
        <w:t>3.7 投标文件的澄清和说明</w:t>
      </w:r>
    </w:p>
    <w:p w14:paraId="5A5EA590">
      <w:pPr>
        <w:ind w:firstLine="480"/>
        <w:rPr>
          <w:rFonts w:hint="eastAsia"/>
          <w:color w:val="auto"/>
          <w:highlight w:val="none"/>
        </w:rPr>
      </w:pPr>
      <w:r>
        <w:rPr>
          <w:rFonts w:hint="eastAsia"/>
          <w:color w:val="auto"/>
          <w:highlight w:val="none"/>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7A3B6F1A">
      <w:pPr>
        <w:ind w:firstLine="480"/>
        <w:rPr>
          <w:rFonts w:hint="eastAsia"/>
          <w:color w:val="auto"/>
          <w:highlight w:val="none"/>
        </w:rPr>
      </w:pPr>
      <w:r>
        <w:rPr>
          <w:rFonts w:hint="eastAsia"/>
          <w:color w:val="auto"/>
          <w:highlight w:val="none"/>
        </w:rPr>
        <w:t>3.7.2 澄清和说明不得超出投标文件的范围或改变投标文件的实质性内容（算术性错误的修正除外）。投标人的书面澄清、说明属于投标文件的组成部分。</w:t>
      </w:r>
    </w:p>
    <w:p w14:paraId="50249439">
      <w:pPr>
        <w:ind w:firstLine="480"/>
        <w:rPr>
          <w:rFonts w:hint="eastAsia"/>
          <w:color w:val="auto"/>
          <w:highlight w:val="none"/>
        </w:rPr>
      </w:pPr>
      <w:r>
        <w:rPr>
          <w:rFonts w:hint="eastAsia"/>
          <w:color w:val="auto"/>
          <w:highlight w:val="none"/>
        </w:rPr>
        <w:t>3.7.3 评标委员会不得暗示或诱导投标人作出澄清、说明，对投标人提交的澄清、说明有疑问的，可以要求投标人进一步澄清或说明，直至满足评标委员会的要求。</w:t>
      </w:r>
    </w:p>
    <w:p w14:paraId="67566419">
      <w:pPr>
        <w:ind w:firstLine="480"/>
        <w:rPr>
          <w:rFonts w:hint="eastAsia"/>
          <w:color w:val="auto"/>
          <w:highlight w:val="none"/>
        </w:rPr>
      </w:pPr>
      <w:r>
        <w:rPr>
          <w:rFonts w:hint="eastAsia"/>
          <w:color w:val="auto"/>
          <w:highlight w:val="none"/>
        </w:rPr>
        <w:t>3.7.4 凡超出招标文件规定的或给发包人带来未曾要求的利益的变化、偏差或其他因素在评标时不予考虑。</w:t>
      </w:r>
    </w:p>
    <w:p w14:paraId="4B80AF3B">
      <w:pPr>
        <w:ind w:firstLine="480"/>
        <w:rPr>
          <w:rFonts w:hint="eastAsia"/>
          <w:color w:val="auto"/>
          <w:highlight w:val="none"/>
        </w:rPr>
      </w:pPr>
      <w:r>
        <w:rPr>
          <w:rFonts w:hint="eastAsia"/>
          <w:color w:val="auto"/>
          <w:highlight w:val="none"/>
        </w:rPr>
        <w:t>3.8 不得否决投标的情形</w:t>
      </w:r>
    </w:p>
    <w:p w14:paraId="7A3F03A8">
      <w:pPr>
        <w:ind w:firstLine="480"/>
        <w:rPr>
          <w:rFonts w:hint="eastAsia"/>
          <w:color w:val="auto"/>
          <w:highlight w:val="none"/>
        </w:rPr>
      </w:pPr>
      <w:r>
        <w:rPr>
          <w:rFonts w:hint="eastAsia"/>
          <w:color w:val="auto"/>
          <w:highlight w:val="none"/>
        </w:rPr>
        <w:t>投标文件存在第二章“投标人须知”第1.12.3项所列情形的，均视为细微偏差，评标委员会不得否决投标人的投标，应按照第二章“投标人须知”第1.12.4项规定的原则处理。</w:t>
      </w:r>
    </w:p>
    <w:p w14:paraId="6BAC7ADA">
      <w:pPr>
        <w:ind w:firstLine="480"/>
        <w:rPr>
          <w:rFonts w:hint="eastAsia"/>
          <w:color w:val="auto"/>
          <w:highlight w:val="none"/>
        </w:rPr>
      </w:pPr>
      <w:r>
        <w:rPr>
          <w:rFonts w:hint="eastAsia"/>
          <w:color w:val="auto"/>
          <w:highlight w:val="none"/>
        </w:rPr>
        <w:t>3.9 评标结果</w:t>
      </w:r>
    </w:p>
    <w:p w14:paraId="05C513DB">
      <w:pPr>
        <w:ind w:firstLine="480"/>
        <w:rPr>
          <w:rFonts w:hint="eastAsia"/>
          <w:color w:val="auto"/>
          <w:highlight w:val="none"/>
        </w:rPr>
      </w:pPr>
      <w:r>
        <w:rPr>
          <w:rFonts w:hint="eastAsia"/>
          <w:color w:val="auto"/>
          <w:highlight w:val="none"/>
        </w:rPr>
        <w:t>3.9.1 除第二章“投标人须知”前附表授权直接确定中标人外，评标委员会按照得分由高到低的顺序推荐中标候选人，并标明排序。</w:t>
      </w:r>
    </w:p>
    <w:p w14:paraId="76E556E4">
      <w:pPr>
        <w:ind w:firstLine="480"/>
        <w:rPr>
          <w:color w:val="auto"/>
          <w:highlight w:val="none"/>
        </w:rPr>
      </w:pPr>
      <w:r>
        <w:rPr>
          <w:rFonts w:hint="eastAsia"/>
          <w:color w:val="auto"/>
          <w:highlight w:val="none"/>
        </w:rPr>
        <w:t>3.9.2 评标委员会完成评标后，应向招标人提交书面评标报告。</w:t>
      </w:r>
    </w:p>
    <w:p w14:paraId="6E6A2DA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8A1B9">
    <w:pPr>
      <w:pStyle w:val="8"/>
      <w:spacing w:line="360" w:lineRule="exact"/>
      <w:ind w:firstLine="360"/>
      <w:jc w:val="center"/>
      <w:rPr>
        <w:rFonts w:ascii="Times New Roman" w:hAns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F65FC5">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FF65FC5">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57597D44">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427A2"/>
    <w:multiLevelType w:val="singleLevel"/>
    <w:tmpl w:val="1DE427A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Fmt w:val="decimalEnclosedCircleChinese"/>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17220"/>
    <w:rsid w:val="26644B8A"/>
    <w:rsid w:val="29E7300B"/>
    <w:rsid w:val="2EA67A80"/>
    <w:rsid w:val="3B345984"/>
    <w:rsid w:val="3F517220"/>
    <w:rsid w:val="41B817E1"/>
    <w:rsid w:val="48951252"/>
    <w:rsid w:val="4C6C1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200" w:firstLineChars="200"/>
      <w:jc w:val="both"/>
    </w:pPr>
    <w:rPr>
      <w:rFonts w:ascii="宋体" w:hAnsi="宋体" w:eastAsia="宋体" w:cs="Times New Roman"/>
      <w:kern w:val="2"/>
      <w:sz w:val="24"/>
      <w:szCs w:val="22"/>
      <w:lang w:val="en-US" w:eastAsia="zh-CN" w:bidi="ar-SA"/>
    </w:rPr>
  </w:style>
  <w:style w:type="paragraph" w:styleId="3">
    <w:name w:val="heading 2"/>
    <w:basedOn w:val="1"/>
    <w:next w:val="1"/>
    <w:semiHidden/>
    <w:unhideWhenUsed/>
    <w:qFormat/>
    <w:uiPriority w:val="0"/>
    <w:pPr>
      <w:keepNext/>
      <w:spacing w:before="1800" w:beforeLines="1800" w:after="2000" w:afterLines="2000"/>
      <w:jc w:val="center"/>
      <w:outlineLvl w:val="1"/>
    </w:pPr>
    <w:rPr>
      <w:rFonts w:ascii="Times New Roman" w:hAnsi="Times New Roman" w:eastAsia="黑体" w:cs="Times New Roman"/>
      <w:b/>
      <w:sz w:val="44"/>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spacing w:line="240" w:lineRule="auto"/>
      <w:ind w:firstLine="0" w:firstLineChars="0"/>
    </w:pPr>
    <w:rPr>
      <w:rFonts w:hAnsi="Courier New"/>
      <w:sz w:val="21"/>
      <w:szCs w:val="20"/>
    </w:rPr>
  </w:style>
  <w:style w:type="paragraph" w:styleId="4">
    <w:name w:val="Normal Indent"/>
    <w:basedOn w:val="1"/>
    <w:qFormat/>
    <w:uiPriority w:val="0"/>
    <w:pPr>
      <w:ind w:firstLine="420" w:firstLineChars="200"/>
    </w:pPr>
  </w:style>
  <w:style w:type="paragraph" w:styleId="5">
    <w:name w:val="Body Text"/>
    <w:basedOn w:val="1"/>
    <w:next w:val="1"/>
    <w:qFormat/>
    <w:uiPriority w:val="0"/>
    <w:pPr>
      <w:spacing w:after="120" w:afterLines="0" w:line="240" w:lineRule="auto"/>
      <w:ind w:firstLine="0" w:firstLineChars="0"/>
    </w:pPr>
    <w:rPr>
      <w:rFonts w:ascii="Times New Roman" w:hAnsi="Times New Roman"/>
      <w:sz w:val="21"/>
      <w:szCs w:val="24"/>
    </w:rPr>
  </w:style>
  <w:style w:type="paragraph" w:styleId="6">
    <w:name w:val="Body Text Indent"/>
    <w:basedOn w:val="5"/>
    <w:next w:val="1"/>
    <w:qFormat/>
    <w:uiPriority w:val="0"/>
    <w:pPr>
      <w:spacing w:after="120" w:line="240" w:lineRule="auto"/>
      <w:ind w:left="420" w:leftChars="200" w:firstLine="0" w:firstLineChars="0"/>
    </w:pPr>
    <w:rPr>
      <w:rFonts w:ascii="Calibri" w:hAnsi="Calibri"/>
      <w:sz w:val="21"/>
      <w:szCs w:val="24"/>
    </w:rPr>
  </w:style>
  <w:style w:type="paragraph" w:styleId="7">
    <w:name w:val="Body Text Indent 2"/>
    <w:basedOn w:val="1"/>
    <w:qFormat/>
    <w:uiPriority w:val="0"/>
    <w:pPr>
      <w:spacing w:line="500" w:lineRule="exact"/>
      <w:ind w:firstLine="540"/>
    </w:pPr>
    <w:rPr>
      <w:sz w:val="27"/>
      <w:szCs w:val="27"/>
    </w:rPr>
  </w:style>
  <w:style w:type="paragraph" w:styleId="8">
    <w:name w:val="footer"/>
    <w:basedOn w:val="1"/>
    <w:qFormat/>
    <w:uiPriority w:val="0"/>
    <w:pPr>
      <w:tabs>
        <w:tab w:val="center" w:pos="4153"/>
        <w:tab w:val="right" w:pos="8306"/>
      </w:tabs>
      <w:snapToGrid w:val="0"/>
      <w:jc w:val="left"/>
    </w:pPr>
    <w:rPr>
      <w:rFonts w:ascii="Calibri" w:hAnsi="Calibri"/>
      <w:kern w:val="0"/>
      <w:sz w:val="18"/>
      <w:szCs w:val="18"/>
    </w:rPr>
  </w:style>
  <w:style w:type="paragraph" w:customStyle="1" w:styleId="11">
    <w:name w:val="小标3"/>
    <w:basedOn w:val="1"/>
    <w:autoRedefine/>
    <w:qFormat/>
    <w:uiPriority w:val="0"/>
    <w:pPr>
      <w:spacing w:beforeLines="100" w:after="100" w:afterLines="100" w:line="500" w:lineRule="exact"/>
    </w:pPr>
    <w:rPr>
      <w:rFonts w:ascii="Times New Roman" w:hAnsi="Times New Roman" w:eastAsia="黑体" w:cs="宋体"/>
      <w:b/>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2025-12-04T05:46:00Z</dcterms:created>
  <dc:creator>郑晓晖</dc:creator>
  <cp:lastModifiedBy>郑晓晖</cp:lastModifiedBy>
  <dcterms:modified xsi:type="dcterms:W3CDTF">2025-12-04T05:53:01Z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A1E3E2DD1E2743CB972EA288141F41AC_11</vt:lpwstr>
  </property>
  <property fmtid="{D5CDD505-2E9C-101B-9397-08002B2CF9AE}" pid="4" name="KSOTemplateDocerSaveRecord">
    <vt:lpwstr>eyJoZGlkIjoiOTFlMzY1MGNkNTdhMTI1NTU2MjA4MDc1OGIxNzU0OGYiLCJ1c2VySWQiOiI2Mzg2MDI0MTcifQ==</vt:lpwstr>
  </property>
</Properties>
</file>