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宋体" w:hAnsi="宋体" w:eastAsia="宋体" w:cs="宋体"/>
          <w:color w:val="auto"/>
        </w:rPr>
      </w:pPr>
    </w:p>
    <w:p>
      <w:pPr>
        <w:spacing w:line="240" w:lineRule="auto"/>
        <w:jc w:val="center"/>
        <w:rPr>
          <w:rFonts w:hint="eastAsia" w:ascii="宋体" w:hAnsi="宋体" w:eastAsia="宋体" w:cs="宋体"/>
          <w:b/>
          <w:iCs/>
          <w:color w:val="auto"/>
          <w:kern w:val="0"/>
        </w:rPr>
      </w:pPr>
      <w:r>
        <w:rPr>
          <w:rFonts w:hint="eastAsia" w:ascii="仿宋_GB2312" w:hAnsi="仿宋_GB2312" w:eastAsia="仿宋_GB2312" w:cs="仿宋_GB2312"/>
          <w:b/>
          <w:bCs/>
          <w:snapToGrid w:val="0"/>
          <w:kern w:val="0"/>
          <w:sz w:val="32"/>
          <w:szCs w:val="32"/>
          <w:highlight w:val="none"/>
          <w:u w:val="none"/>
          <w:lang w:val="en-US" w:eastAsia="zh-CN" w:bidi="ar-SA"/>
        </w:rPr>
        <w:t>附件B-招标文件条款及合同文本条款差异说明</w:t>
      </w:r>
    </w:p>
    <w:p>
      <w:pPr>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iCs/>
          <w:color w:val="auto"/>
          <w:kern w:val="0"/>
          <w:sz w:val="30"/>
          <w:szCs w:val="30"/>
        </w:rPr>
      </w:pPr>
      <w:r>
        <w:rPr>
          <w:rFonts w:hint="eastAsia" w:ascii="宋体" w:hAnsi="宋体" w:eastAsia="宋体" w:cs="宋体"/>
          <w:b/>
          <w:iCs/>
          <w:color w:val="auto"/>
          <w:kern w:val="0"/>
        </w:rPr>
        <w:t xml:space="preserve"> </w:t>
      </w:r>
      <w:r>
        <w:rPr>
          <w:rFonts w:hint="eastAsia" w:ascii="仿宋_GB2312" w:hAnsi="仿宋_GB2312" w:eastAsia="仿宋_GB2312" w:cs="仿宋_GB2312"/>
          <w:b/>
          <w:iCs/>
          <w:color w:val="auto"/>
          <w:kern w:val="0"/>
          <w:sz w:val="30"/>
          <w:szCs w:val="30"/>
        </w:rPr>
        <w:t>一、招标文件条款差异说明</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1、报价编制原则：</w:t>
      </w:r>
    </w:p>
    <w:p>
      <w:pPr>
        <w:pStyle w:val="8"/>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1.1最高投标限价：</w:t>
      </w:r>
      <w:r>
        <w:rPr>
          <w:rFonts w:hint="eastAsia" w:ascii="仿宋_GB2312" w:hAnsi="仿宋_GB2312" w:eastAsia="仿宋_GB2312" w:cs="仿宋_GB2312"/>
          <w:color w:val="auto"/>
          <w:sz w:val="30"/>
          <w:szCs w:val="30"/>
          <w:u w:val="single"/>
        </w:rPr>
        <w:t>见投标人须知前附表。</w:t>
      </w:r>
    </w:p>
    <w:p>
      <w:pPr>
        <w:pStyle w:val="8"/>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1.2有效的投标报价：</w:t>
      </w:r>
      <w:r>
        <w:rPr>
          <w:rFonts w:hint="eastAsia" w:ascii="仿宋_GB2312" w:hAnsi="仿宋_GB2312" w:eastAsia="仿宋_GB2312" w:cs="仿宋_GB2312"/>
          <w:color w:val="auto"/>
          <w:sz w:val="30"/>
          <w:szCs w:val="30"/>
          <w:u w:val="single"/>
        </w:rPr>
        <w:t>见投标人须知前附表。</w:t>
      </w:r>
    </w:p>
    <w:p>
      <w:pPr>
        <w:pStyle w:val="8"/>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1.3投标报价</w:t>
      </w:r>
    </w:p>
    <w:p>
      <w:pPr>
        <w:pStyle w:val="8"/>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投标人的报价为在工程项目建设期和保修期内，完成招标文件规定的工作内容的各项费用：</w:t>
      </w:r>
    </w:p>
    <w:p>
      <w:pPr>
        <w:pStyle w:val="8"/>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安全文明施工费为非竞争性费用，投标报价按最高投标限价公布的安全文明施工费计列。</w:t>
      </w:r>
    </w:p>
    <w:p>
      <w:pPr>
        <w:pStyle w:val="8"/>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1.4投标报价原则</w:t>
      </w:r>
    </w:p>
    <w:p>
      <w:pPr>
        <w:pageBreakBefore w:val="0"/>
        <w:widowControl w:val="0"/>
        <w:kinsoku/>
        <w:wordWrap/>
        <w:overflowPunct/>
        <w:topLinePunct w:val="0"/>
        <w:autoSpaceDE/>
        <w:autoSpaceDN/>
        <w:bidi w:val="0"/>
        <w:adjustRightInd/>
        <w:snapToGrid/>
        <w:spacing w:line="560" w:lineRule="exact"/>
        <w:ind w:firstLine="450" w:firstLineChars="15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（1）取费项目及标准：《建设工程工程量清单计价</w:t>
      </w:r>
      <w:r>
        <w:rPr>
          <w:rFonts w:hint="eastAsia" w:ascii="仿宋_GB2312" w:hAnsi="仿宋_GB2312" w:eastAsia="仿宋_GB2312" w:cs="仿宋_GB2312"/>
          <w:color w:val="auto"/>
          <w:sz w:val="30"/>
          <w:szCs w:val="30"/>
          <w:lang w:val="en-US" w:eastAsia="zh-CN"/>
        </w:rPr>
        <w:t>标准</w:t>
      </w:r>
      <w:r>
        <w:rPr>
          <w:rFonts w:hint="eastAsia" w:ascii="仿宋_GB2312" w:hAnsi="仿宋_GB2312" w:eastAsia="仿宋_GB2312" w:cs="仿宋_GB2312"/>
          <w:color w:val="auto"/>
          <w:sz w:val="30"/>
          <w:szCs w:val="30"/>
        </w:rPr>
        <w:t>》（GB</w:t>
      </w:r>
      <w:r>
        <w:rPr>
          <w:rFonts w:hint="eastAsia" w:ascii="仿宋_GB2312" w:hAnsi="仿宋_GB2312" w:eastAsia="仿宋_GB2312" w:cs="仿宋_GB2312"/>
          <w:color w:val="auto"/>
          <w:sz w:val="30"/>
          <w:szCs w:val="30"/>
          <w:lang w:val="en-US" w:eastAsia="zh-CN"/>
        </w:rPr>
        <w:t>/T</w:t>
      </w:r>
      <w:r>
        <w:rPr>
          <w:rFonts w:hint="eastAsia" w:ascii="仿宋_GB2312" w:hAnsi="仿宋_GB2312" w:eastAsia="仿宋_GB2312" w:cs="仿宋_GB2312"/>
          <w:color w:val="auto"/>
          <w:sz w:val="30"/>
          <w:szCs w:val="30"/>
        </w:rPr>
        <w:t>50500-20</w:t>
      </w:r>
      <w:r>
        <w:rPr>
          <w:rFonts w:hint="eastAsia" w:ascii="仿宋_GB2312" w:hAnsi="仿宋_GB2312" w:eastAsia="仿宋_GB2312" w:cs="仿宋_GB2312"/>
          <w:color w:val="auto"/>
          <w:sz w:val="30"/>
          <w:szCs w:val="30"/>
          <w:lang w:val="en-US" w:eastAsia="zh-CN"/>
        </w:rPr>
        <w:t>24</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广东省建设工程计价依据（2018)</w:t>
      </w:r>
      <w:r>
        <w:rPr>
          <w:rFonts w:hint="eastAsia" w:ascii="仿宋_GB2312" w:hAnsi="仿宋_GB2312" w:eastAsia="仿宋_GB2312" w:cs="仿宋_GB2312"/>
          <w:color w:val="auto"/>
          <w:sz w:val="30"/>
          <w:szCs w:val="30"/>
        </w:rPr>
        <w:t>》及工程所在地电网公司的相关最新规定，取费项目中的</w:t>
      </w:r>
      <w:r>
        <w:rPr>
          <w:rFonts w:hint="eastAsia" w:ascii="仿宋_GB2312" w:hAnsi="仿宋_GB2312" w:eastAsia="仿宋_GB2312" w:cs="仿宋_GB2312"/>
          <w:bCs/>
          <w:color w:val="auto"/>
          <w:sz w:val="30"/>
          <w:szCs w:val="30"/>
        </w:rPr>
        <w:t>安全文明</w:t>
      </w:r>
      <w:r>
        <w:rPr>
          <w:rFonts w:hint="eastAsia" w:ascii="仿宋_GB2312" w:hAnsi="仿宋_GB2312" w:eastAsia="仿宋_GB2312" w:cs="仿宋_GB2312"/>
          <w:color w:val="auto"/>
          <w:sz w:val="30"/>
          <w:szCs w:val="30"/>
        </w:rPr>
        <w:t>施工费根据分项报价比例分摊入各专业取费表中。</w:t>
      </w:r>
    </w:p>
    <w:p>
      <w:pPr>
        <w:pageBreakBefore w:val="0"/>
        <w:widowControl w:val="0"/>
        <w:kinsoku/>
        <w:wordWrap/>
        <w:overflowPunct/>
        <w:topLinePunct w:val="0"/>
        <w:autoSpaceDE/>
        <w:autoSpaceDN/>
        <w:bidi w:val="0"/>
        <w:adjustRightInd/>
        <w:snapToGrid/>
        <w:spacing w:line="560" w:lineRule="exact"/>
        <w:ind w:firstLine="450" w:firstLineChars="15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（2）定额</w:t>
      </w:r>
      <w:r>
        <w:rPr>
          <w:rFonts w:hint="eastAsia" w:ascii="仿宋_GB2312" w:hAnsi="仿宋_GB2312" w:eastAsia="仿宋_GB2312" w:cs="仿宋_GB2312"/>
          <w:color w:val="auto"/>
          <w:sz w:val="30"/>
          <w:szCs w:val="30"/>
          <w:lang w:eastAsia="zh-CN"/>
        </w:rPr>
        <w:t>可</w:t>
      </w:r>
      <w:r>
        <w:rPr>
          <w:rFonts w:hint="eastAsia" w:ascii="仿宋_GB2312" w:hAnsi="仿宋_GB2312" w:eastAsia="仿宋_GB2312" w:cs="仿宋_GB2312"/>
          <w:color w:val="auto"/>
          <w:sz w:val="30"/>
          <w:szCs w:val="30"/>
        </w:rPr>
        <w:t>参照套用</w:t>
      </w:r>
      <w:r>
        <w:rPr>
          <w:rFonts w:hint="eastAsia" w:ascii="仿宋_GB2312" w:hAnsi="仿宋_GB2312" w:eastAsia="仿宋_GB2312" w:cs="仿宋_GB2312"/>
          <w:color w:val="auto"/>
          <w:sz w:val="30"/>
          <w:szCs w:val="30"/>
          <w:u w:val="single"/>
        </w:rPr>
        <w:t>《广东省建设工程计价依据（2018)》</w:t>
      </w:r>
      <w:r>
        <w:rPr>
          <w:rFonts w:hint="eastAsia" w:ascii="仿宋_GB2312" w:hAnsi="仿宋_GB2312" w:eastAsia="仿宋_GB2312" w:cs="仿宋_GB2312"/>
          <w:color w:val="auto"/>
          <w:sz w:val="30"/>
          <w:szCs w:val="30"/>
        </w:rPr>
        <w:t>。</w:t>
      </w:r>
    </w:p>
    <w:p>
      <w:pPr>
        <w:pageBreakBefore w:val="0"/>
        <w:widowControl w:val="0"/>
        <w:kinsoku/>
        <w:wordWrap/>
        <w:overflowPunct/>
        <w:topLinePunct w:val="0"/>
        <w:autoSpaceDE/>
        <w:autoSpaceDN/>
        <w:bidi w:val="0"/>
        <w:adjustRightInd/>
        <w:snapToGrid/>
        <w:spacing w:line="560" w:lineRule="exact"/>
        <w:ind w:firstLine="450" w:firstLineChars="15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（3）人工单价调整:参照执行</w:t>
      </w:r>
      <w:r>
        <w:rPr>
          <w:rFonts w:hint="eastAsia" w:ascii="仿宋_GB2312" w:hAnsi="仿宋_GB2312" w:eastAsia="仿宋_GB2312" w:cs="仿宋_GB2312"/>
          <w:color w:val="auto"/>
          <w:sz w:val="30"/>
          <w:szCs w:val="30"/>
          <w:u w:val="single"/>
        </w:rPr>
        <w:t xml:space="preserve"> 202</w:t>
      </w:r>
      <w:r>
        <w:rPr>
          <w:rFonts w:hint="eastAsia" w:ascii="仿宋_GB2312" w:hAnsi="仿宋_GB2312" w:eastAsia="仿宋_GB2312" w:cs="仿宋_GB2312"/>
          <w:color w:val="auto"/>
          <w:sz w:val="30"/>
          <w:szCs w:val="30"/>
          <w:u w:val="single"/>
          <w:lang w:val="en-US" w:eastAsia="zh-CN"/>
        </w:rPr>
        <w:t>5</w:t>
      </w:r>
      <w:r>
        <w:rPr>
          <w:rFonts w:hint="eastAsia" w:ascii="仿宋_GB2312" w:hAnsi="仿宋_GB2312" w:eastAsia="仿宋_GB2312" w:cs="仿宋_GB2312"/>
          <w:color w:val="auto"/>
          <w:sz w:val="30"/>
          <w:szCs w:val="30"/>
          <w:highlight w:val="none"/>
          <w:u w:val="single"/>
        </w:rPr>
        <w:t>年</w:t>
      </w:r>
      <w:r>
        <w:rPr>
          <w:rFonts w:hint="eastAsia" w:ascii="仿宋_GB2312" w:hAnsi="仿宋_GB2312" w:eastAsia="仿宋_GB2312" w:cs="仿宋_GB2312"/>
          <w:color w:val="auto"/>
          <w:sz w:val="30"/>
          <w:szCs w:val="30"/>
          <w:highlight w:val="none"/>
          <w:u w:val="single"/>
          <w:lang w:val="en-US" w:eastAsia="zh-CN"/>
        </w:rPr>
        <w:t>9</w:t>
      </w:r>
      <w:r>
        <w:rPr>
          <w:rFonts w:hint="eastAsia" w:ascii="仿宋_GB2312" w:hAnsi="仿宋_GB2312" w:eastAsia="仿宋_GB2312" w:cs="仿宋_GB2312"/>
          <w:color w:val="auto"/>
          <w:sz w:val="30"/>
          <w:szCs w:val="30"/>
          <w:highlight w:val="none"/>
          <w:u w:val="single"/>
        </w:rPr>
        <w:t>月</w:t>
      </w:r>
      <w:r>
        <w:rPr>
          <w:rFonts w:hint="eastAsia" w:ascii="仿宋_GB2312" w:hAnsi="仿宋_GB2312" w:eastAsia="仿宋_GB2312" w:cs="仿宋_GB2312"/>
          <w:color w:val="auto"/>
          <w:sz w:val="30"/>
          <w:szCs w:val="30"/>
          <w:u w:val="single"/>
        </w:rPr>
        <w:t>份的《</w:t>
      </w:r>
      <w:r>
        <w:rPr>
          <w:rFonts w:hint="eastAsia" w:ascii="仿宋_GB2312" w:hAnsi="仿宋_GB2312" w:eastAsia="仿宋_GB2312" w:cs="仿宋_GB2312"/>
          <w:color w:val="auto"/>
          <w:sz w:val="30"/>
          <w:szCs w:val="30"/>
          <w:u w:val="single"/>
          <w:lang w:val="en-US" w:eastAsia="zh-CN"/>
        </w:rPr>
        <w:t>江门</w:t>
      </w:r>
      <w:r>
        <w:rPr>
          <w:rFonts w:hint="eastAsia" w:ascii="仿宋_GB2312" w:hAnsi="仿宋_GB2312" w:eastAsia="仿宋_GB2312" w:cs="仿宋_GB2312"/>
          <w:color w:val="auto"/>
          <w:sz w:val="30"/>
          <w:szCs w:val="30"/>
          <w:u w:val="single"/>
        </w:rPr>
        <w:t>工程造价信息》</w:t>
      </w:r>
      <w:r>
        <w:rPr>
          <w:rFonts w:hint="eastAsia" w:ascii="仿宋_GB2312" w:hAnsi="仿宋_GB2312" w:eastAsia="仿宋_GB2312" w:cs="仿宋_GB2312"/>
          <w:color w:val="auto"/>
          <w:sz w:val="30"/>
          <w:szCs w:val="30"/>
        </w:rPr>
        <w:t>。</w:t>
      </w:r>
      <w:bookmarkStart w:id="11" w:name="_GoBack"/>
      <w:bookmarkEnd w:id="11"/>
    </w:p>
    <w:p>
      <w:pPr>
        <w:pageBreakBefore w:val="0"/>
        <w:widowControl w:val="0"/>
        <w:kinsoku/>
        <w:wordWrap/>
        <w:overflowPunct/>
        <w:topLinePunct w:val="0"/>
        <w:autoSpaceDE/>
        <w:autoSpaceDN/>
        <w:bidi w:val="0"/>
        <w:adjustRightInd/>
        <w:snapToGrid/>
        <w:spacing w:line="560" w:lineRule="exact"/>
        <w:ind w:firstLine="450" w:firstLineChars="15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2"/>
          <w:sz w:val="30"/>
          <w:szCs w:val="30"/>
          <w:lang w:val="en-US" w:eastAsia="zh-CN" w:bidi="ar-SA"/>
        </w:rPr>
        <w:t>（4）税金费用执行《关于全面推开营业税改征增值税试点的通知》（财税[2016]36号）及国家、省市最新税收政策，采用一般计税方法计列增值税；若中标单位采用简易计税方法计税，则在结算过程中调整相应结算金额。</w:t>
      </w:r>
    </w:p>
    <w:p>
      <w:pPr>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color w:val="auto"/>
          <w:sz w:val="30"/>
          <w:szCs w:val="30"/>
        </w:rPr>
      </w:pPr>
      <w:r>
        <w:rPr>
          <w:rFonts w:hint="eastAsia" w:ascii="仿宋_GB2312" w:hAnsi="仿宋_GB2312" w:eastAsia="仿宋_GB2312" w:cs="仿宋_GB2312"/>
          <w:b/>
          <w:iCs/>
          <w:color w:val="auto"/>
          <w:kern w:val="0"/>
          <w:sz w:val="30"/>
          <w:szCs w:val="30"/>
        </w:rPr>
        <w:t>二、合同文本专用条款差异说明：</w:t>
      </w:r>
    </w:p>
    <w:p>
      <w:pPr>
        <w:pStyle w:val="6"/>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仿宋_GB2312" w:hAnsi="仿宋_GB2312" w:eastAsia="仿宋_GB2312" w:cs="仿宋_GB2312"/>
          <w:b/>
          <w:bCs w:val="0"/>
          <w:color w:val="auto"/>
          <w:kern w:val="2"/>
          <w:sz w:val="30"/>
          <w:szCs w:val="30"/>
          <w:lang w:val="en-US" w:eastAsia="zh-CN" w:bidi="ar-SA"/>
        </w:rPr>
      </w:pPr>
      <w:bookmarkStart w:id="0" w:name="_Toc351203635"/>
      <w:r>
        <w:rPr>
          <w:rFonts w:hint="eastAsia" w:ascii="仿宋_GB2312" w:hAnsi="仿宋_GB2312" w:eastAsia="仿宋_GB2312" w:cs="仿宋_GB2312"/>
          <w:b/>
          <w:bCs w:val="0"/>
          <w:color w:val="auto"/>
          <w:kern w:val="2"/>
          <w:sz w:val="30"/>
          <w:szCs w:val="30"/>
          <w:lang w:val="en-US" w:eastAsia="zh-CN" w:bidi="ar-SA"/>
        </w:rPr>
        <w:t>3</w:t>
      </w:r>
      <w:bookmarkStart w:id="1" w:name="_Toc292559363"/>
      <w:bookmarkStart w:id="2" w:name="_Toc296503158"/>
      <w:bookmarkStart w:id="3" w:name="_Toc297120458"/>
      <w:bookmarkStart w:id="4" w:name="_Toc296347157"/>
      <w:bookmarkStart w:id="5" w:name="_Toc296890986"/>
      <w:bookmarkStart w:id="6" w:name="_Toc292559868"/>
      <w:bookmarkStart w:id="7" w:name="_Toc297048344"/>
      <w:bookmarkStart w:id="8" w:name="_Toc296891198"/>
      <w:bookmarkStart w:id="9" w:name="_Toc296346659"/>
      <w:bookmarkStart w:id="10" w:name="_Toc296944497"/>
      <w:r>
        <w:rPr>
          <w:rFonts w:hint="eastAsia" w:ascii="仿宋_GB2312" w:hAnsi="仿宋_GB2312" w:eastAsia="仿宋_GB2312" w:cs="仿宋_GB2312"/>
          <w:b/>
          <w:bCs w:val="0"/>
          <w:color w:val="auto"/>
          <w:kern w:val="2"/>
          <w:sz w:val="30"/>
          <w:szCs w:val="30"/>
          <w:lang w:val="en-US" w:eastAsia="zh-CN" w:bidi="ar-SA"/>
        </w:rPr>
        <w:t>. 承包人</w:t>
      </w:r>
      <w:bookmarkEnd w:id="0"/>
    </w:p>
    <w:bookmarkEnd w:id="1"/>
    <w:bookmarkEnd w:id="2"/>
    <w:bookmarkEnd w:id="3"/>
    <w:bookmarkEnd w:id="4"/>
    <w:bookmarkEnd w:id="5"/>
    <w:bookmarkEnd w:id="6"/>
    <w:bookmarkEnd w:id="7"/>
    <w:bookmarkEnd w:id="8"/>
    <w:bookmarkEnd w:id="9"/>
    <w:bookmarkEnd w:id="10"/>
    <w:p>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val="0"/>
          <w:color w:val="auto"/>
          <w:kern w:val="2"/>
          <w:sz w:val="30"/>
          <w:szCs w:val="30"/>
          <w:lang w:val="en-US" w:eastAsia="zh-CN" w:bidi="ar-SA"/>
        </w:rPr>
      </w:pPr>
      <w:r>
        <w:rPr>
          <w:rFonts w:hint="eastAsia" w:ascii="仿宋_GB2312" w:hAnsi="仿宋_GB2312" w:eastAsia="仿宋_GB2312" w:cs="仿宋_GB2312"/>
          <w:b/>
          <w:bCs w:val="0"/>
          <w:color w:val="auto"/>
          <w:kern w:val="2"/>
          <w:sz w:val="30"/>
          <w:szCs w:val="30"/>
          <w:lang w:val="en-US" w:eastAsia="zh-CN" w:bidi="ar-SA"/>
        </w:rPr>
        <w:t>增加以下内容到3.7款</w:t>
      </w:r>
    </w:p>
    <w:p>
      <w:pPr>
        <w:pStyle w:val="2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bCs/>
          <w:color w:val="auto"/>
          <w:sz w:val="30"/>
          <w:szCs w:val="30"/>
          <w:lang w:eastAsia="zh-CN"/>
        </w:rPr>
      </w:pPr>
      <w:r>
        <w:rPr>
          <w:rFonts w:hint="eastAsia" w:ascii="仿宋_GB2312" w:hAnsi="仿宋_GB2312" w:eastAsia="仿宋_GB2312" w:cs="仿宋_GB2312"/>
          <w:b w:val="0"/>
          <w:bCs/>
          <w:color w:val="auto"/>
          <w:sz w:val="30"/>
          <w:szCs w:val="30"/>
          <w:lang w:eastAsia="zh-CN"/>
        </w:rPr>
        <w:t>履约担保的形式包括银行提供的保函、央企财务公司提供的保函、保险公司提供的国家认可的具有法律效力的保险等，格式自定（可参考合同</w:t>
      </w:r>
      <w:r>
        <w:rPr>
          <w:rFonts w:hint="eastAsia" w:ascii="仿宋_GB2312" w:hAnsi="仿宋_GB2312" w:eastAsia="仿宋_GB2312" w:cs="仿宋_GB2312"/>
          <w:b w:val="0"/>
          <w:bCs/>
          <w:color w:val="auto"/>
          <w:sz w:val="30"/>
          <w:szCs w:val="30"/>
          <w:lang w:val="en-US" w:eastAsia="zh-CN"/>
        </w:rPr>
        <w:t>格式二</w:t>
      </w:r>
      <w:r>
        <w:rPr>
          <w:rFonts w:hint="eastAsia" w:ascii="仿宋_GB2312" w:hAnsi="仿宋_GB2312" w:eastAsia="仿宋_GB2312" w:cs="仿宋_GB2312"/>
          <w:b w:val="0"/>
          <w:bCs/>
          <w:color w:val="auto"/>
          <w:sz w:val="30"/>
          <w:szCs w:val="30"/>
          <w:lang w:eastAsia="zh-CN"/>
        </w:rPr>
        <w:t>）</w:t>
      </w:r>
    </w:p>
    <w:p>
      <w:pPr>
        <w:pStyle w:val="2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变更</w:t>
      </w:r>
    </w:p>
    <w:p>
      <w:pPr>
        <w:pStyle w:val="2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增加以下内容</w:t>
      </w:r>
    </w:p>
    <w:p>
      <w:pPr>
        <w:pStyle w:val="2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10.4.3</w:t>
      </w:r>
      <w:r>
        <w:rPr>
          <w:rFonts w:hint="eastAsia" w:ascii="仿宋_GB2312" w:hAnsi="仿宋_GB2312" w:eastAsia="仿宋_GB2312" w:cs="仿宋_GB2312"/>
          <w:b w:val="0"/>
          <w:color w:val="auto"/>
          <w:sz w:val="30"/>
          <w:szCs w:val="30"/>
        </w:rPr>
        <w:t>工程变更，发包人承包人应分别按下列方法调整变更工程价款：</w:t>
      </w:r>
    </w:p>
    <w:p>
      <w:pPr>
        <w:pStyle w:val="2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（1）分部分项工程项目费增加工程量或材料的综合单价调整：</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①招标工程量清单中已列的项目：投标报价（综合单价）低于招标控制价(综合单价)与承包人报价浮动率的乘积的，按中标人投标报价计算；投标报价(综合单价)高于招标控制价(综合单价)的按招标控制价(综合单价)与承包人报价浮动率的乘积计算确定。</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②招标工程量清单中未列的项目：中标人投标报价中有类似清单单价(综合单价)，且投标报价（综合单价）低于招标控制价（综合单价）与承包人报价浮动率的乘积的，按中标人投标报价(综合单价)计算；投标报价(综合单价)高于招标控制价(综合单价)的按招标控制价(综合单价)与承包人报价浮动率的乘积计算确定。</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③招标工程量清单仅换算主要材料的，原清单单价中仅换算材料价格，合同中未列的材料价格的确定：《</w:t>
      </w:r>
      <w:r>
        <w:rPr>
          <w:rFonts w:hint="eastAsia" w:ascii="仿宋_GB2312" w:hAnsi="仿宋_GB2312" w:eastAsia="仿宋_GB2312" w:cs="仿宋_GB2312"/>
          <w:b w:val="0"/>
          <w:color w:val="auto"/>
          <w:sz w:val="30"/>
          <w:szCs w:val="30"/>
          <w:lang w:val="en-US" w:eastAsia="zh-CN"/>
        </w:rPr>
        <w:t>江门</w:t>
      </w:r>
      <w:r>
        <w:rPr>
          <w:rFonts w:hint="eastAsia" w:ascii="仿宋_GB2312" w:hAnsi="仿宋_GB2312" w:eastAsia="仿宋_GB2312" w:cs="仿宋_GB2312"/>
          <w:b w:val="0"/>
          <w:color w:val="auto"/>
          <w:sz w:val="30"/>
          <w:szCs w:val="30"/>
        </w:rPr>
        <w:t>地区建设工程材料指导价》上有列出的结合市场调查情况，参考变更同期的《</w:t>
      </w:r>
      <w:r>
        <w:rPr>
          <w:rFonts w:hint="eastAsia" w:ascii="仿宋_GB2312" w:hAnsi="仿宋_GB2312" w:eastAsia="仿宋_GB2312" w:cs="仿宋_GB2312"/>
          <w:b w:val="0"/>
          <w:color w:val="auto"/>
          <w:sz w:val="30"/>
          <w:szCs w:val="30"/>
          <w:lang w:val="en-US" w:eastAsia="zh-CN"/>
        </w:rPr>
        <w:t>江门</w:t>
      </w:r>
      <w:r>
        <w:rPr>
          <w:rFonts w:hint="eastAsia" w:ascii="仿宋_GB2312" w:hAnsi="仿宋_GB2312" w:eastAsia="仿宋_GB2312" w:cs="仿宋_GB2312"/>
          <w:b w:val="0"/>
          <w:color w:val="auto"/>
          <w:sz w:val="30"/>
          <w:szCs w:val="30"/>
        </w:rPr>
        <w:t>市工程造价管理》中的材料价；《</w:t>
      </w:r>
      <w:r>
        <w:rPr>
          <w:rFonts w:hint="eastAsia" w:ascii="仿宋_GB2312" w:hAnsi="仿宋_GB2312" w:eastAsia="仿宋_GB2312" w:cs="仿宋_GB2312"/>
          <w:b w:val="0"/>
          <w:color w:val="auto"/>
          <w:sz w:val="30"/>
          <w:szCs w:val="30"/>
          <w:lang w:val="en-US" w:eastAsia="zh-CN"/>
        </w:rPr>
        <w:t>江门</w:t>
      </w:r>
      <w:r>
        <w:rPr>
          <w:rFonts w:hint="eastAsia" w:ascii="仿宋_GB2312" w:hAnsi="仿宋_GB2312" w:eastAsia="仿宋_GB2312" w:cs="仿宋_GB2312"/>
          <w:b w:val="0"/>
          <w:color w:val="auto"/>
          <w:sz w:val="30"/>
          <w:szCs w:val="30"/>
        </w:rPr>
        <w:t>市工程造价管理》中没有的材料单价，由招标人、投标人和监理单位三方共同确认。</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④合同中没有适用或类似于变更工程的单价或总价，由承包人依据变更工程资料、计量规则和计价办法、工程造价管理机构发布的参考价格和承包人报价浮动率提出变更工程单价或总价。其中合同中未列的主要材料价格参考变更同期《</w:t>
      </w:r>
      <w:r>
        <w:rPr>
          <w:rFonts w:hint="eastAsia" w:ascii="仿宋_GB2312" w:hAnsi="仿宋_GB2312" w:eastAsia="仿宋_GB2312" w:cs="仿宋_GB2312"/>
          <w:b w:val="0"/>
          <w:color w:val="auto"/>
          <w:sz w:val="30"/>
          <w:szCs w:val="30"/>
          <w:lang w:val="en-US" w:eastAsia="zh-CN"/>
        </w:rPr>
        <w:t>江门</w:t>
      </w:r>
      <w:r>
        <w:rPr>
          <w:rFonts w:hint="eastAsia" w:ascii="仿宋_GB2312" w:hAnsi="仿宋_GB2312" w:eastAsia="仿宋_GB2312" w:cs="仿宋_GB2312"/>
          <w:b w:val="0"/>
          <w:color w:val="auto"/>
          <w:sz w:val="30"/>
          <w:szCs w:val="30"/>
        </w:rPr>
        <w:t>市工程造价信息》公布的材料单价计算，《</w:t>
      </w:r>
      <w:r>
        <w:rPr>
          <w:rFonts w:hint="eastAsia" w:ascii="仿宋_GB2312" w:hAnsi="仿宋_GB2312" w:eastAsia="仿宋_GB2312" w:cs="仿宋_GB2312"/>
          <w:b w:val="0"/>
          <w:color w:val="auto"/>
          <w:sz w:val="30"/>
          <w:szCs w:val="30"/>
          <w:lang w:val="en-US" w:eastAsia="zh-CN"/>
        </w:rPr>
        <w:t>江门</w:t>
      </w:r>
      <w:r>
        <w:rPr>
          <w:rFonts w:hint="eastAsia" w:ascii="仿宋_GB2312" w:hAnsi="仿宋_GB2312" w:eastAsia="仿宋_GB2312" w:cs="仿宋_GB2312"/>
          <w:b w:val="0"/>
          <w:color w:val="auto"/>
          <w:sz w:val="30"/>
          <w:szCs w:val="30"/>
        </w:rPr>
        <w:t>市工程造价信息》未列的材料可由招标人、中标人、监理单位三方在实施前共同确认，否则结算时甲方根据相关依据和规则办理。</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⑤承包人报价浮动率=（中标价格-非竞争性费用））/（最高投标限价-非竞争性费用））×100%</w:t>
      </w:r>
    </w:p>
    <w:p>
      <w:pPr>
        <w:pStyle w:val="2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（2)分部分项工程项目费减少工程量或材料的综合单价调整：</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①招标工程量清单中已列的项目，按投标报价（综合单价）比较招标控制价（综合单价）与承包人报价浮动率的乘积，取较高价格计算调整。若投标报价（综合单价）低于招标控制价（综合单价）15%的，按招标控制价（综合单价）与承包人报价浮动率的乘积计算调整。</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rPr>
        <w:t>（3）本工程的措施项目费及其他项目费总价包干；措施项目费及其他项目费（含绿色施工安全防护措施费、脚手架、模板、垂直运输、机械设备进退场、施工机械设备拆装、塔吊基础、预算包干费等费用）”为包干费用，不因工程增加、工程变更等因素调整，在结算时按合同金额结算。</w:t>
      </w:r>
    </w:p>
    <w:p>
      <w:pPr>
        <w:pStyle w:val="2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（4）招标文件工程量清单中漏列而由监理人和发包人确认的工程项目、原设计没有而由发包人批准设计变更产生的工程项目，视为新增项目，其价格确定原则同变更估价原则。</w:t>
      </w:r>
    </w:p>
    <w:p>
      <w:pPr>
        <w:pStyle w:val="2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rPr>
        <w:t>.价格调整</w:t>
      </w:r>
    </w:p>
    <w:p>
      <w:pPr>
        <w:pStyle w:val="2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增加以下内容</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11.3</w:t>
      </w:r>
      <w:r>
        <w:rPr>
          <w:rFonts w:hint="eastAsia" w:ascii="仿宋_GB2312" w:hAnsi="仿宋_GB2312" w:eastAsia="仿宋_GB2312" w:cs="仿宋_GB2312"/>
          <w:b w:val="0"/>
          <w:color w:val="auto"/>
          <w:sz w:val="30"/>
          <w:szCs w:val="30"/>
        </w:rPr>
        <w:t>合同履行期间，出现非因承包方原因导致，工程造价管理机构发布的人工、主要材料、工程设备和施工设备、机械台班单价与本工程招标文件规定的投标截止日期前28天时</w:t>
      </w:r>
      <w:r>
        <w:rPr>
          <w:rFonts w:hint="eastAsia" w:ascii="仿宋_GB2312" w:hAnsi="仿宋_GB2312" w:eastAsia="仿宋_GB2312" w:cs="仿宋_GB2312"/>
          <w:b w:val="0"/>
          <w:color w:val="auto"/>
          <w:sz w:val="30"/>
          <w:szCs w:val="30"/>
          <w:lang w:val="en-US" w:eastAsia="zh-CN"/>
        </w:rPr>
        <w:t>江门</w:t>
      </w:r>
      <w:r>
        <w:rPr>
          <w:rFonts w:hint="eastAsia" w:ascii="仿宋_GB2312" w:hAnsi="仿宋_GB2312" w:eastAsia="仿宋_GB2312" w:cs="仿宋_GB2312"/>
          <w:b w:val="0"/>
          <w:color w:val="auto"/>
          <w:sz w:val="30"/>
          <w:szCs w:val="30"/>
        </w:rPr>
        <w:t>市建设工程造价管理部门发布的人工、主要材料、工程设备和施工设备、机械台班相应单价项目相比，涨跌幅度超过±10%以上且符合以下规定的，应调整合同价款。</w:t>
      </w:r>
    </w:p>
    <w:p>
      <w:pPr>
        <w:pStyle w:val="2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11.4</w:t>
      </w:r>
      <w:r>
        <w:rPr>
          <w:rFonts w:hint="eastAsia" w:ascii="仿宋_GB2312" w:hAnsi="仿宋_GB2312" w:eastAsia="仿宋_GB2312" w:cs="仿宋_GB2312"/>
          <w:b w:val="0"/>
          <w:color w:val="auto"/>
          <w:sz w:val="30"/>
          <w:szCs w:val="30"/>
        </w:rPr>
        <w:t>价款调整的方法</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①人工、机械台班、可调价格的主要材料设备价格：承包人提供的人工、主要材料、主要机械台班价格变化的价款调整按照发包人提供的基准价格，按以下风险范围规定执行:</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a.合同材料单价(B)低于基准价格(A)的：合同履行期间材料单价（C）涨幅以基准价格(A)为基础超过10%时，其超过部分（10%以外）据实调整,或合同履行期间材料单价（C）跌幅以合同材料单价(B)为基础超过 10%时，其超过部分（10%以外）据实调整。</w:t>
      </w:r>
    </w:p>
    <w:p>
      <w:pPr>
        <w:pStyle w:val="2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涨时调整单价=C-A*(1+10%)</w:t>
      </w:r>
    </w:p>
    <w:p>
      <w:pPr>
        <w:pStyle w:val="2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跌时调整单价：如C≥B时，不予调整；如C＜B时，调整单价=B*(1-10%)-C</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b.合同材料单价(B)高于基准价格(A)的：合同履行期间材料单价（C）涨幅以基准价格(B)为基础超过10%时，其超过部分（10%以外）据实调整，或合同履行期间材料单价（C）跌幅以合同材料单价(A)为基础超过 10%时，其超过部分（10%以外）据实调整。</w:t>
      </w:r>
    </w:p>
    <w:p>
      <w:pPr>
        <w:pStyle w:val="2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涨时调整单价：如C≤B时，不予调整；如C＞B时，调整单价=C-B*(1+10%)</w:t>
      </w:r>
    </w:p>
    <w:p>
      <w:pPr>
        <w:pStyle w:val="2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跌时调整单价= A*(1-10%)-C</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c.合同材料单价(B)等于基准价格(A)的：合同履行期间材料单价（C）涨幅（或跌幅）以基准价格(A)为基础超过10%时，其超过部分（10%以外）据实调整。</w:t>
      </w:r>
    </w:p>
    <w:p>
      <w:pPr>
        <w:pStyle w:val="2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涨时调整单价=C-A*(1+10%)；</w:t>
      </w:r>
    </w:p>
    <w:p>
      <w:pPr>
        <w:pStyle w:val="2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跌时调整单价=A*(1-10%)-C</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基准价格(A):是指由递交投标文件截止日期前28 天省级或行业建设主管部门或其授权的工程造价管理机构发布的信息价；</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合同材料单价(B):是指承包人投标书中的材料单价（如投标书中相同材料有不同的单价时，取价高者）；</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合同履行期间材料单价（C）:根据省级或行业建设主管部门或其授权的工程造价管理机构发布的信息价。</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上涨幅度超过10%时，超出10%的部分由发包人承担；当人工、机械台班、可调价格的材料设备价格下跌幅度超过10%时，超出10%的部分由承包人退回发包人。人工、机械台班价格按每个月签证完成的工程清单及工程量数量调整，材料（设备）按各类工程消耗的主要材料（设备）进行调整。</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② 价款调整以各调价工料机的数量乘以单价价差，再乘以（1-中标下浮率）计算。各工料机的数量按该当期实际完成的适用投标单价项目的工程量计取，各调价工料机的单价价差以</w:t>
      </w:r>
      <w:r>
        <w:rPr>
          <w:rFonts w:hint="eastAsia" w:ascii="仿宋_GB2312" w:hAnsi="仿宋_GB2312" w:eastAsia="仿宋_GB2312" w:cs="仿宋_GB2312"/>
          <w:b w:val="0"/>
          <w:color w:val="auto"/>
          <w:sz w:val="30"/>
          <w:szCs w:val="30"/>
          <w:lang w:val="en-US" w:eastAsia="zh-CN"/>
        </w:rPr>
        <w:t>江门</w:t>
      </w:r>
      <w:r>
        <w:rPr>
          <w:rFonts w:hint="eastAsia" w:ascii="仿宋_GB2312" w:hAnsi="仿宋_GB2312" w:eastAsia="仿宋_GB2312" w:cs="仿宋_GB2312"/>
          <w:b w:val="0"/>
          <w:color w:val="auto"/>
          <w:sz w:val="30"/>
          <w:szCs w:val="30"/>
        </w:rPr>
        <w:t>市建设工程造价管理部门发布的价格信息为依据，按施工当月信息价格与招标文件规定的投标截止日期前28天时工程造价管理机构发布的人工、材料、工程设备和施工设备、机械台班信息价格差值计取。</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上述材料调差限于工程量清单中的综合单价项目，对总价承包项目不调差。价差作独立费处理，除税金外不另计其他任何费用。</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③价款调整以月为单位计算，结算时一次性调整，如施工期间需调整价款的，经发包人、承包人协商一致后可签订价差补充协议，作为追加（减）合同价款和支付工程进度款的依据。</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由于承包人原因导致工期延误的，所延误时段内物价上涨的风险全部由承包人承担，不予调整；如物价下跌，则仍按第（2）款约定计算及扣回相应价款。</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主要材料是指：钢材、商品混凝土、</w:t>
      </w:r>
      <w:r>
        <w:rPr>
          <w:rFonts w:hint="eastAsia" w:ascii="仿宋_GB2312" w:hAnsi="仿宋_GB2312" w:eastAsia="仿宋_GB2312" w:cs="仿宋_GB2312"/>
          <w:b w:val="0"/>
          <w:bCs w:val="0"/>
          <w:color w:val="auto"/>
          <w:sz w:val="30"/>
          <w:szCs w:val="30"/>
          <w:lang w:val="en-US" w:eastAsia="zh-CN"/>
        </w:rPr>
        <w:t>砖块、</w:t>
      </w:r>
      <w:r>
        <w:rPr>
          <w:rFonts w:hint="eastAsia" w:ascii="仿宋_GB2312" w:hAnsi="仿宋_GB2312" w:eastAsia="仿宋_GB2312" w:cs="仿宋_GB2312"/>
          <w:b w:val="0"/>
          <w:color w:val="auto"/>
          <w:sz w:val="30"/>
          <w:szCs w:val="30"/>
        </w:rPr>
        <w:t>砌块</w:t>
      </w:r>
      <w:r>
        <w:rPr>
          <w:rFonts w:hint="eastAsia" w:ascii="仿宋_GB2312" w:hAnsi="仿宋_GB2312" w:eastAsia="仿宋_GB2312" w:cs="仿宋_GB2312"/>
          <w:b/>
          <w:color w:val="auto"/>
          <w:sz w:val="30"/>
          <w:szCs w:val="30"/>
          <w:highlight w:val="none"/>
          <w:u w:val="none"/>
          <w:lang w:eastAsia="zh-CN"/>
        </w:rPr>
        <w:t>、</w:t>
      </w:r>
      <w:r>
        <w:rPr>
          <w:rFonts w:hint="eastAsia" w:ascii="仿宋_GB2312" w:hAnsi="仿宋_GB2312" w:eastAsia="仿宋_GB2312" w:cs="仿宋_GB2312"/>
          <w:b w:val="0"/>
          <w:color w:val="auto"/>
          <w:sz w:val="30"/>
          <w:szCs w:val="30"/>
        </w:rPr>
        <w:t>钢筋、水泥、砂、碎石、块石、石屑及电缆</w:t>
      </w: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bCs/>
          <w:color w:val="auto"/>
          <w:sz w:val="30"/>
          <w:szCs w:val="30"/>
          <w:highlight w:val="none"/>
          <w:u w:val="none"/>
        </w:rPr>
        <w:t>电缆保护管材</w:t>
      </w:r>
      <w:r>
        <w:rPr>
          <w:rFonts w:hint="eastAsia" w:ascii="仿宋_GB2312" w:hAnsi="仿宋_GB2312" w:eastAsia="仿宋_GB2312" w:cs="仿宋_GB2312"/>
          <w:b w:val="0"/>
          <w:color w:val="auto"/>
          <w:sz w:val="30"/>
          <w:szCs w:val="30"/>
        </w:rPr>
        <w:t>。</w:t>
      </w:r>
    </w:p>
    <w:p>
      <w:pPr>
        <w:pStyle w:val="2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主要机械是指：塔吊、汽车吊、履带吊、自卸车、装载机、挖掘机、压路机、推土机、各类桩机、发电机、砼输送泵</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lang w:val="en-US" w:eastAsia="zh-CN"/>
        </w:rPr>
        <w:t>卷扬机</w:t>
      </w:r>
      <w:r>
        <w:rPr>
          <w:rFonts w:hint="eastAsia" w:ascii="仿宋_GB2312" w:hAnsi="仿宋_GB2312" w:eastAsia="仿宋_GB2312" w:cs="仿宋_GB2312"/>
          <w:b w:val="0"/>
          <w:color w:val="auto"/>
          <w:sz w:val="30"/>
          <w:szCs w:val="30"/>
        </w:rPr>
        <w:t>。</w:t>
      </w:r>
    </w:p>
    <w:p>
      <w:pPr>
        <w:pStyle w:val="2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color w:val="auto"/>
          <w:sz w:val="30"/>
          <w:szCs w:val="30"/>
        </w:rPr>
        <w:t>.合同价格</w:t>
      </w:r>
      <w:r>
        <w:rPr>
          <w:rFonts w:hint="eastAsia" w:ascii="仿宋_GB2312" w:hAnsi="仿宋_GB2312" w:eastAsia="仿宋_GB2312" w:cs="仿宋_GB2312"/>
          <w:color w:val="auto"/>
          <w:sz w:val="30"/>
          <w:szCs w:val="30"/>
          <w:lang w:eastAsia="zh-CN"/>
        </w:rPr>
        <w:t>、计量</w:t>
      </w:r>
      <w:r>
        <w:rPr>
          <w:rFonts w:hint="eastAsia" w:ascii="仿宋_GB2312" w:hAnsi="仿宋_GB2312" w:eastAsia="仿宋_GB2312" w:cs="仿宋_GB2312"/>
          <w:color w:val="auto"/>
          <w:sz w:val="30"/>
          <w:szCs w:val="30"/>
        </w:rPr>
        <w:t>与支付</w:t>
      </w:r>
    </w:p>
    <w:p>
      <w:pPr>
        <w:pStyle w:val="2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增加以下内容</w:t>
      </w:r>
    </w:p>
    <w:p>
      <w:pPr>
        <w:pStyle w:val="2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12.1.1</w:t>
      </w:r>
      <w:r>
        <w:rPr>
          <w:rFonts w:hint="eastAsia" w:ascii="仿宋_GB2312" w:hAnsi="仿宋_GB2312" w:eastAsia="仿宋_GB2312" w:cs="仿宋_GB2312"/>
          <w:b w:val="0"/>
          <w:color w:val="auto"/>
          <w:sz w:val="30"/>
          <w:szCs w:val="30"/>
        </w:rPr>
        <w:t>本合同价格形式采用总价合同。除项目变更、工程量签证、国家政策调整外，一般不作调整。</w:t>
      </w:r>
    </w:p>
    <w:p>
      <w:pPr>
        <w:pStyle w:val="2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12.1.2</w:t>
      </w:r>
      <w:r>
        <w:rPr>
          <w:rFonts w:hint="eastAsia" w:ascii="仿宋_GB2312" w:hAnsi="仿宋_GB2312" w:eastAsia="仿宋_GB2312" w:cs="仿宋_GB2312"/>
          <w:b w:val="0"/>
          <w:color w:val="auto"/>
          <w:sz w:val="30"/>
          <w:szCs w:val="30"/>
        </w:rPr>
        <w:t>电梯的数量、规格、型号、品牌、性能、价格及其他相关资料应经发包人确认后方可实施，凭采购合同、发票、转账记录等按实结算。电梯质量应满足国家、行业、中国南方电网有限责任公司质量标准、控制标准和验收规范，在质量管理过程中达到或超过质量标准。</w:t>
      </w:r>
    </w:p>
    <w:p>
      <w:pPr>
        <w:pStyle w:val="2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12.2.1</w:t>
      </w:r>
      <w:r>
        <w:rPr>
          <w:rFonts w:hint="eastAsia" w:ascii="仿宋_GB2312" w:hAnsi="仿宋_GB2312" w:eastAsia="仿宋_GB2312" w:cs="仿宋_GB2312"/>
          <w:b w:val="0"/>
          <w:color w:val="auto"/>
          <w:sz w:val="30"/>
          <w:szCs w:val="30"/>
        </w:rPr>
        <w:t>预付款的支付</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lang w:val="en-US" w:eastAsia="zh-CN"/>
        </w:rPr>
      </w:pP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lang w:val="en-US" w:eastAsia="zh-CN"/>
        </w:rPr>
        <w:t>1</w:t>
      </w: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rPr>
        <w:t>绿色施工安全防护措施费</w:t>
      </w:r>
      <w:r>
        <w:rPr>
          <w:rFonts w:hint="eastAsia" w:ascii="仿宋_GB2312" w:hAnsi="仿宋_GB2312" w:eastAsia="仿宋_GB2312" w:cs="仿宋_GB2312"/>
          <w:b w:val="0"/>
          <w:color w:val="auto"/>
          <w:sz w:val="30"/>
          <w:szCs w:val="30"/>
          <w:lang w:eastAsia="zh-CN"/>
        </w:rPr>
        <w:t>预付款支付比例：</w:t>
      </w:r>
      <w:r>
        <w:rPr>
          <w:rFonts w:hint="eastAsia" w:ascii="仿宋_GB2312" w:hAnsi="仿宋_GB2312" w:eastAsia="仿宋_GB2312" w:cs="仿宋_GB2312"/>
          <w:b w:val="0"/>
          <w:color w:val="auto"/>
          <w:sz w:val="30"/>
          <w:szCs w:val="30"/>
          <w:lang w:val="en-US" w:eastAsia="zh-CN"/>
        </w:rPr>
        <w:t>60%；</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lang w:val="en-US" w:eastAsia="zh-CN"/>
        </w:rPr>
      </w:pP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lang w:val="en-US" w:eastAsia="zh-CN"/>
        </w:rPr>
        <w:t>2</w:t>
      </w:r>
      <w:r>
        <w:rPr>
          <w:rFonts w:hint="eastAsia" w:ascii="仿宋_GB2312" w:hAnsi="仿宋_GB2312" w:eastAsia="仿宋_GB2312" w:cs="仿宋_GB2312"/>
          <w:b w:val="0"/>
          <w:color w:val="auto"/>
          <w:sz w:val="30"/>
          <w:szCs w:val="30"/>
          <w:lang w:eastAsia="zh-CN"/>
        </w:rPr>
        <w:t>）人工费预付款：（</w:t>
      </w:r>
      <w:r>
        <w:rPr>
          <w:rFonts w:hint="eastAsia" w:ascii="仿宋_GB2312" w:hAnsi="仿宋_GB2312" w:eastAsia="仿宋_GB2312" w:cs="仿宋_GB2312"/>
          <w:b w:val="0"/>
          <w:color w:val="auto"/>
          <w:sz w:val="30"/>
          <w:szCs w:val="30"/>
        </w:rPr>
        <w:t>签约</w:t>
      </w:r>
      <w:r>
        <w:rPr>
          <w:rFonts w:hint="eastAsia" w:ascii="仿宋_GB2312" w:hAnsi="仿宋_GB2312" w:eastAsia="仿宋_GB2312" w:cs="仿宋_GB2312"/>
          <w:b w:val="0"/>
          <w:color w:val="auto"/>
          <w:sz w:val="30"/>
          <w:szCs w:val="30"/>
          <w:lang w:val="en-US" w:eastAsia="zh-CN"/>
        </w:rPr>
        <w:t>合同价-</w:t>
      </w:r>
      <w:r>
        <w:rPr>
          <w:rFonts w:hint="eastAsia" w:ascii="仿宋_GB2312" w:hAnsi="仿宋_GB2312" w:eastAsia="仿宋_GB2312" w:cs="仿宋_GB2312"/>
          <w:b w:val="0"/>
          <w:color w:val="auto"/>
          <w:sz w:val="30"/>
          <w:szCs w:val="30"/>
        </w:rPr>
        <w:t>绿色施工安全防护措施费</w:t>
      </w:r>
      <w:r>
        <w:rPr>
          <w:rFonts w:hint="eastAsia" w:ascii="仿宋_GB2312" w:hAnsi="仿宋_GB2312" w:eastAsia="仿宋_GB2312" w:cs="仿宋_GB2312"/>
          <w:b w:val="0"/>
          <w:color w:val="auto"/>
          <w:sz w:val="30"/>
          <w:szCs w:val="30"/>
          <w:lang w:val="en-US" w:eastAsia="zh-CN"/>
        </w:rPr>
        <w:t>-暂列金额</w:t>
      </w: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rPr>
        <w:t>10%×</w:t>
      </w:r>
      <w:r>
        <w:rPr>
          <w:rFonts w:hint="eastAsia" w:ascii="仿宋_GB2312" w:hAnsi="仿宋_GB2312" w:eastAsia="仿宋_GB2312" w:cs="仿宋_GB2312"/>
          <w:b w:val="0"/>
          <w:color w:val="auto"/>
          <w:sz w:val="30"/>
          <w:szCs w:val="30"/>
          <w:lang w:val="en-US" w:eastAsia="zh-CN"/>
        </w:rPr>
        <w:t>30%作为人工费预付款支付到农民工工资专用账户；</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lang w:val="en-US" w:eastAsia="zh-CN"/>
        </w:rPr>
      </w:pP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lang w:val="en-US" w:eastAsia="zh-CN"/>
        </w:rPr>
        <w:t>3</w:t>
      </w:r>
      <w:r>
        <w:rPr>
          <w:rFonts w:hint="eastAsia" w:ascii="仿宋_GB2312" w:hAnsi="仿宋_GB2312" w:eastAsia="仿宋_GB2312" w:cs="仿宋_GB2312"/>
          <w:b w:val="0"/>
          <w:color w:val="auto"/>
          <w:sz w:val="30"/>
          <w:szCs w:val="30"/>
          <w:lang w:eastAsia="zh-CN"/>
        </w:rPr>
        <w:t>）工程预付款（不含</w:t>
      </w:r>
      <w:r>
        <w:rPr>
          <w:rFonts w:hint="eastAsia" w:ascii="仿宋_GB2312" w:hAnsi="仿宋_GB2312" w:eastAsia="仿宋_GB2312" w:cs="仿宋_GB2312"/>
          <w:b w:val="0"/>
          <w:color w:val="auto"/>
          <w:sz w:val="30"/>
          <w:szCs w:val="30"/>
        </w:rPr>
        <w:t>绿色施工安全防护措施费</w:t>
      </w:r>
      <w:r>
        <w:rPr>
          <w:rFonts w:hint="eastAsia" w:ascii="仿宋_GB2312" w:hAnsi="仿宋_GB2312" w:eastAsia="仿宋_GB2312" w:cs="仿宋_GB2312"/>
          <w:b w:val="0"/>
          <w:color w:val="auto"/>
          <w:sz w:val="30"/>
          <w:szCs w:val="30"/>
          <w:lang w:eastAsia="zh-CN"/>
        </w:rPr>
        <w:t>、人工费）：（</w:t>
      </w:r>
      <w:r>
        <w:rPr>
          <w:rFonts w:hint="eastAsia" w:ascii="仿宋_GB2312" w:hAnsi="仿宋_GB2312" w:eastAsia="仿宋_GB2312" w:cs="仿宋_GB2312"/>
          <w:b w:val="0"/>
          <w:color w:val="auto"/>
          <w:sz w:val="30"/>
          <w:szCs w:val="30"/>
        </w:rPr>
        <w:t>签约</w:t>
      </w:r>
      <w:r>
        <w:rPr>
          <w:rFonts w:hint="eastAsia" w:ascii="仿宋_GB2312" w:hAnsi="仿宋_GB2312" w:eastAsia="仿宋_GB2312" w:cs="仿宋_GB2312"/>
          <w:b w:val="0"/>
          <w:color w:val="auto"/>
          <w:sz w:val="30"/>
          <w:szCs w:val="30"/>
          <w:lang w:val="en-US" w:eastAsia="zh-CN"/>
        </w:rPr>
        <w:t>合同价-</w:t>
      </w:r>
      <w:r>
        <w:rPr>
          <w:rFonts w:hint="eastAsia" w:ascii="仿宋_GB2312" w:hAnsi="仿宋_GB2312" w:eastAsia="仿宋_GB2312" w:cs="仿宋_GB2312"/>
          <w:b w:val="0"/>
          <w:color w:val="auto"/>
          <w:sz w:val="30"/>
          <w:szCs w:val="30"/>
        </w:rPr>
        <w:t>绿色施工安全防护措施费</w:t>
      </w:r>
      <w:r>
        <w:rPr>
          <w:rFonts w:hint="eastAsia" w:ascii="仿宋_GB2312" w:hAnsi="仿宋_GB2312" w:eastAsia="仿宋_GB2312" w:cs="仿宋_GB2312"/>
          <w:b w:val="0"/>
          <w:color w:val="auto"/>
          <w:sz w:val="30"/>
          <w:szCs w:val="30"/>
          <w:lang w:val="en-US" w:eastAsia="zh-CN"/>
        </w:rPr>
        <w:t>-暂列金额</w:t>
      </w: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rPr>
        <w:t>10%×</w:t>
      </w:r>
      <w:r>
        <w:rPr>
          <w:rFonts w:hint="eastAsia" w:ascii="仿宋_GB2312" w:hAnsi="仿宋_GB2312" w:eastAsia="仿宋_GB2312" w:cs="仿宋_GB2312"/>
          <w:b w:val="0"/>
          <w:color w:val="auto"/>
          <w:sz w:val="30"/>
          <w:szCs w:val="30"/>
          <w:lang w:val="en-US" w:eastAsia="zh-CN"/>
        </w:rPr>
        <w:t>70%</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lang w:val="en-US" w:eastAsia="zh-CN"/>
        </w:rPr>
        <w:t>4</w:t>
      </w: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rPr>
        <w:t>预付款支付期限：合同及履约担保生效，施工单位进场，开工准备工作已开始，承包人向发包人提交履约保函，预付款收据及合同原件、预付款申请表等资料，预付款支付申请后，并经发包人审批后</w:t>
      </w:r>
      <w:r>
        <w:rPr>
          <w:rFonts w:hint="eastAsia" w:ascii="仿宋_GB2312" w:hAnsi="仿宋_GB2312" w:eastAsia="仿宋_GB2312" w:cs="仿宋_GB2312"/>
          <w:b w:val="0"/>
          <w:color w:val="auto"/>
          <w:sz w:val="30"/>
          <w:szCs w:val="30"/>
          <w:highlight w:val="none"/>
        </w:rPr>
        <w:t xml:space="preserve"> </w:t>
      </w:r>
      <w:r>
        <w:rPr>
          <w:rFonts w:hint="eastAsia" w:ascii="仿宋_GB2312" w:hAnsi="仿宋_GB2312" w:eastAsia="仿宋_GB2312" w:cs="仿宋_GB2312"/>
          <w:b w:val="0"/>
          <w:color w:val="auto"/>
          <w:sz w:val="30"/>
          <w:szCs w:val="30"/>
          <w:highlight w:val="none"/>
          <w:lang w:val="en-US" w:eastAsia="zh-CN"/>
        </w:rPr>
        <w:t>45</w:t>
      </w:r>
      <w:r>
        <w:rPr>
          <w:rFonts w:hint="eastAsia" w:ascii="仿宋_GB2312" w:hAnsi="仿宋_GB2312" w:eastAsia="仿宋_GB2312" w:cs="仿宋_GB2312"/>
          <w:b w:val="0"/>
          <w:color w:val="auto"/>
          <w:sz w:val="30"/>
          <w:szCs w:val="30"/>
          <w:highlight w:val="none"/>
        </w:rPr>
        <w:t>天</w:t>
      </w:r>
      <w:r>
        <w:rPr>
          <w:rFonts w:hint="eastAsia" w:ascii="仿宋_GB2312" w:hAnsi="仿宋_GB2312" w:eastAsia="仿宋_GB2312" w:cs="仿宋_GB2312"/>
          <w:b w:val="0"/>
          <w:color w:val="auto"/>
          <w:sz w:val="30"/>
          <w:szCs w:val="30"/>
        </w:rPr>
        <w:t>内，发包人向承包人支付工程预付款</w:t>
      </w: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rPr>
        <w:t>绿色施工安全防护措施费</w:t>
      </w:r>
      <w:r>
        <w:rPr>
          <w:rFonts w:hint="eastAsia" w:ascii="仿宋_GB2312" w:hAnsi="仿宋_GB2312" w:eastAsia="仿宋_GB2312" w:cs="仿宋_GB2312"/>
          <w:b w:val="0"/>
          <w:color w:val="auto"/>
          <w:sz w:val="30"/>
          <w:szCs w:val="30"/>
          <w:lang w:eastAsia="zh-CN"/>
        </w:rPr>
        <w:t>预付款、人工费预付款</w:t>
      </w:r>
      <w:r>
        <w:rPr>
          <w:rFonts w:hint="eastAsia" w:ascii="仿宋_GB2312" w:hAnsi="仿宋_GB2312" w:eastAsia="仿宋_GB2312" w:cs="仿宋_GB2312"/>
          <w:b w:val="0"/>
          <w:color w:val="auto"/>
          <w:sz w:val="30"/>
          <w:szCs w:val="30"/>
        </w:rPr>
        <w:t>。</w:t>
      </w:r>
      <w:r>
        <w:rPr>
          <w:rFonts w:hint="eastAsia" w:ascii="仿宋_GB2312" w:hAnsi="仿宋_GB2312" w:eastAsia="仿宋_GB2312" w:cs="仿宋_GB2312"/>
          <w:b w:val="0"/>
          <w:color w:val="auto"/>
          <w:sz w:val="30"/>
          <w:szCs w:val="30"/>
          <w:lang w:eastAsia="zh-CN"/>
        </w:rPr>
        <w:t>工程预付款</w:t>
      </w:r>
      <w:r>
        <w:rPr>
          <w:rFonts w:hint="eastAsia" w:ascii="仿宋_GB2312" w:hAnsi="仿宋_GB2312" w:eastAsia="仿宋_GB2312" w:cs="仿宋_GB2312"/>
          <w:b w:val="0"/>
          <w:color w:val="auto"/>
          <w:sz w:val="30"/>
          <w:szCs w:val="30"/>
        </w:rPr>
        <w:t>扣回的方式：在完成合同价款的</w:t>
      </w:r>
      <w:r>
        <w:rPr>
          <w:rFonts w:hint="eastAsia" w:ascii="仿宋_GB2312" w:hAnsi="仿宋_GB2312" w:eastAsia="仿宋_GB2312" w:cs="仿宋_GB2312"/>
          <w:b w:val="0"/>
          <w:color w:val="auto"/>
          <w:sz w:val="30"/>
          <w:szCs w:val="30"/>
          <w:lang w:val="en-US" w:eastAsia="zh-CN"/>
        </w:rPr>
        <w:t>5</w:t>
      </w:r>
      <w:r>
        <w:rPr>
          <w:rFonts w:hint="eastAsia" w:ascii="仿宋_GB2312" w:hAnsi="仿宋_GB2312" w:eastAsia="仿宋_GB2312" w:cs="仿宋_GB2312"/>
          <w:b w:val="0"/>
          <w:color w:val="auto"/>
          <w:sz w:val="30"/>
          <w:szCs w:val="30"/>
        </w:rPr>
        <w:t>0％（扣除绿色施工安全防护措施费</w:t>
      </w: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rPr>
        <w:t>暂定金部分）后一次性扣回，扣完为止。</w:t>
      </w:r>
    </w:p>
    <w:p>
      <w:pPr>
        <w:pStyle w:val="2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12.4</w:t>
      </w:r>
      <w:r>
        <w:rPr>
          <w:rFonts w:hint="eastAsia" w:ascii="仿宋_GB2312" w:hAnsi="仿宋_GB2312" w:eastAsia="仿宋_GB2312" w:cs="仿宋_GB2312"/>
          <w:b w:val="0"/>
          <w:color w:val="auto"/>
          <w:sz w:val="30"/>
          <w:szCs w:val="30"/>
        </w:rPr>
        <w:t>工程进度款支付</w:t>
      </w:r>
    </w:p>
    <w:p>
      <w:pPr>
        <w:pStyle w:val="2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12</w:t>
      </w:r>
      <w:r>
        <w:rPr>
          <w:rFonts w:hint="eastAsia" w:ascii="仿宋_GB2312" w:hAnsi="仿宋_GB2312" w:eastAsia="仿宋_GB2312" w:cs="仿宋_GB2312"/>
          <w:b w:val="0"/>
          <w:color w:val="auto"/>
          <w:sz w:val="30"/>
          <w:szCs w:val="30"/>
        </w:rPr>
        <w:t>.</w:t>
      </w:r>
      <w:r>
        <w:rPr>
          <w:rFonts w:hint="eastAsia" w:ascii="仿宋_GB2312" w:hAnsi="仿宋_GB2312" w:eastAsia="仿宋_GB2312" w:cs="仿宋_GB2312"/>
          <w:b w:val="0"/>
          <w:color w:val="auto"/>
          <w:sz w:val="30"/>
          <w:szCs w:val="30"/>
          <w:lang w:val="en-US" w:eastAsia="zh-CN"/>
        </w:rPr>
        <w:t>4</w:t>
      </w:r>
      <w:r>
        <w:rPr>
          <w:rFonts w:hint="eastAsia" w:ascii="仿宋_GB2312" w:hAnsi="仿宋_GB2312" w:eastAsia="仿宋_GB2312" w:cs="仿宋_GB2312"/>
          <w:b w:val="0"/>
          <w:color w:val="auto"/>
          <w:sz w:val="30"/>
          <w:szCs w:val="30"/>
        </w:rPr>
        <w:t>.1 付款周期</w:t>
      </w:r>
    </w:p>
    <w:p>
      <w:pPr>
        <w:pStyle w:val="2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lang w:val="en-US" w:eastAsia="zh-CN"/>
        </w:rPr>
        <w:t>1</w:t>
      </w: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bCs/>
          <w:color w:val="auto"/>
          <w:sz w:val="30"/>
          <w:szCs w:val="30"/>
          <w:highlight w:val="none"/>
        </w:rPr>
        <w:t>当经审批的绿色施工安全防护措施费超过60%后，超出部分按</w:t>
      </w:r>
      <w:r>
        <w:rPr>
          <w:rFonts w:hint="eastAsia" w:ascii="仿宋_GB2312" w:hAnsi="仿宋_GB2312" w:eastAsia="仿宋_GB2312" w:cs="仿宋_GB2312"/>
          <w:b w:val="0"/>
          <w:bCs/>
          <w:color w:val="auto"/>
          <w:sz w:val="30"/>
          <w:szCs w:val="30"/>
          <w:highlight w:val="none"/>
          <w:lang w:val="en-US" w:eastAsia="zh-CN"/>
        </w:rPr>
        <w:t>12</w:t>
      </w:r>
      <w:r>
        <w:rPr>
          <w:rFonts w:hint="eastAsia" w:ascii="仿宋_GB2312" w:hAnsi="仿宋_GB2312" w:eastAsia="仿宋_GB2312" w:cs="仿宋_GB2312"/>
          <w:b w:val="0"/>
          <w:bCs/>
          <w:color w:val="auto"/>
          <w:sz w:val="30"/>
          <w:szCs w:val="30"/>
          <w:highlight w:val="none"/>
        </w:rPr>
        <w:t>款约定的工程进度款支付方式一并支付，累计付至绿色施工安全防护措施费合同价的</w:t>
      </w:r>
      <w:r>
        <w:rPr>
          <w:rFonts w:hint="eastAsia" w:ascii="仿宋_GB2312" w:hAnsi="仿宋_GB2312" w:eastAsia="仿宋_GB2312" w:cs="仿宋_GB2312"/>
          <w:b w:val="0"/>
          <w:bCs/>
          <w:color w:val="auto"/>
          <w:sz w:val="30"/>
          <w:szCs w:val="30"/>
          <w:highlight w:val="none"/>
          <w:u w:val="single"/>
        </w:rPr>
        <w:t xml:space="preserve"> 100％</w:t>
      </w:r>
      <w:r>
        <w:rPr>
          <w:rFonts w:hint="eastAsia" w:ascii="仿宋_GB2312" w:hAnsi="仿宋_GB2312" w:eastAsia="仿宋_GB2312" w:cs="仿宋_GB2312"/>
          <w:b w:val="0"/>
          <w:bCs/>
          <w:color w:val="auto"/>
          <w:sz w:val="30"/>
          <w:szCs w:val="30"/>
          <w:highlight w:val="none"/>
        </w:rPr>
        <w:t>时停止支付,付款方式包括电汇、汇票、支票、票据和双方认可的其他支付方式。</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lang w:eastAsia="zh-CN"/>
        </w:rPr>
      </w:pP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lang w:val="en-US" w:eastAsia="zh-CN"/>
        </w:rPr>
        <w:t>2</w:t>
      </w:r>
      <w:r>
        <w:rPr>
          <w:rFonts w:hint="eastAsia" w:ascii="仿宋_GB2312" w:hAnsi="仿宋_GB2312" w:eastAsia="仿宋_GB2312" w:cs="仿宋_GB2312"/>
          <w:b w:val="0"/>
          <w:color w:val="auto"/>
          <w:sz w:val="30"/>
          <w:szCs w:val="30"/>
          <w:lang w:eastAsia="zh-CN"/>
        </w:rPr>
        <w:t>）人工费按月度拨付。承包人应每月</w:t>
      </w:r>
      <w:r>
        <w:rPr>
          <w:rFonts w:hint="eastAsia" w:ascii="仿宋_GB2312" w:hAnsi="仿宋_GB2312" w:eastAsia="仿宋_GB2312" w:cs="仿宋_GB2312"/>
          <w:b w:val="0"/>
          <w:color w:val="auto"/>
          <w:sz w:val="30"/>
          <w:szCs w:val="30"/>
          <w:lang w:val="en-US" w:eastAsia="zh-CN"/>
        </w:rPr>
        <w:t>15日</w:t>
      </w:r>
      <w:r>
        <w:rPr>
          <w:rFonts w:hint="eastAsia" w:ascii="仿宋_GB2312" w:hAnsi="仿宋_GB2312" w:eastAsia="仿宋_GB2312" w:cs="仿宋_GB2312"/>
          <w:b w:val="0"/>
          <w:color w:val="auto"/>
          <w:sz w:val="30"/>
          <w:szCs w:val="30"/>
          <w:lang w:eastAsia="zh-CN"/>
        </w:rPr>
        <w:t>提交当月工程工人工资申请（申请金额不低于当期已完工程量的 15%且不高于当期已完工程量）和项目前两个月通过农民工工资专用账户支付的工人工资总额，报监理工程师核查，经监理工程师核查后出具经发包人签认的工程人工费用付款证书，发包人在签发付款证书并收到等额增值税专用发票后45日内将人工费支付给承包人农民工工资专用账户。</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lang w:eastAsia="zh-CN"/>
        </w:rPr>
      </w:pPr>
      <w:r>
        <w:rPr>
          <w:rFonts w:hint="eastAsia" w:ascii="仿宋_GB2312" w:hAnsi="仿宋_GB2312" w:eastAsia="仿宋_GB2312" w:cs="仿宋_GB2312"/>
          <w:b w:val="0"/>
          <w:color w:val="auto"/>
          <w:sz w:val="30"/>
          <w:szCs w:val="30"/>
          <w:lang w:eastAsia="zh-CN"/>
        </w:rPr>
        <w:t>（</w:t>
      </w:r>
      <w:r>
        <w:rPr>
          <w:rFonts w:hint="eastAsia" w:ascii="仿宋_GB2312" w:hAnsi="仿宋_GB2312" w:eastAsia="仿宋_GB2312" w:cs="仿宋_GB2312"/>
          <w:b w:val="0"/>
          <w:color w:val="auto"/>
          <w:sz w:val="30"/>
          <w:szCs w:val="30"/>
          <w:lang w:val="en-US" w:eastAsia="zh-CN"/>
        </w:rPr>
        <w:t>3</w:t>
      </w:r>
      <w:r>
        <w:rPr>
          <w:rFonts w:hint="eastAsia" w:ascii="仿宋_GB2312" w:hAnsi="仿宋_GB2312" w:eastAsia="仿宋_GB2312" w:cs="仿宋_GB2312"/>
          <w:b w:val="0"/>
          <w:color w:val="auto"/>
          <w:sz w:val="30"/>
          <w:szCs w:val="30"/>
          <w:lang w:eastAsia="zh-CN"/>
        </w:rPr>
        <w:t>）工程进度款（不含人工费、绿色施工安全防护措施费）：工程进度款按工程量形象进度按月申请支付；进度款与预付款累计已付至合同价款（合同价款扣除绿色施工安全防护措施费、若有暂定金扣除未计量部分的暂定金）80％时停止支付，付款方式包括电汇、转账、票据、支票和双方认可的其他支付方式。</w:t>
      </w:r>
    </w:p>
    <w:p>
      <w:pPr>
        <w:pStyle w:val="2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12</w:t>
      </w:r>
      <w:r>
        <w:rPr>
          <w:rFonts w:hint="eastAsia" w:ascii="仿宋_GB2312" w:hAnsi="仿宋_GB2312" w:eastAsia="仿宋_GB2312" w:cs="仿宋_GB2312"/>
          <w:b w:val="0"/>
          <w:color w:val="auto"/>
          <w:sz w:val="30"/>
          <w:szCs w:val="30"/>
        </w:rPr>
        <w:t>.</w:t>
      </w:r>
      <w:r>
        <w:rPr>
          <w:rFonts w:hint="eastAsia" w:ascii="仿宋_GB2312" w:hAnsi="仿宋_GB2312" w:eastAsia="仿宋_GB2312" w:cs="仿宋_GB2312"/>
          <w:b w:val="0"/>
          <w:color w:val="auto"/>
          <w:sz w:val="30"/>
          <w:szCs w:val="30"/>
          <w:lang w:val="en-US" w:eastAsia="zh-CN"/>
        </w:rPr>
        <w:t>4</w:t>
      </w:r>
      <w:r>
        <w:rPr>
          <w:rFonts w:hint="eastAsia" w:ascii="仿宋_GB2312" w:hAnsi="仿宋_GB2312" w:eastAsia="仿宋_GB2312" w:cs="仿宋_GB2312"/>
          <w:b w:val="0"/>
          <w:color w:val="auto"/>
          <w:sz w:val="30"/>
          <w:szCs w:val="30"/>
        </w:rPr>
        <w:t>.2 进度付款申请单的编制</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关于进度付款申请单编制的约定：提供开工报告、</w:t>
      </w:r>
      <w:r>
        <w:rPr>
          <w:rFonts w:hint="eastAsia" w:ascii="仿宋_GB2312" w:hAnsi="仿宋_GB2312" w:eastAsia="仿宋_GB2312" w:cs="仿宋_GB2312"/>
          <w:b w:val="0"/>
          <w:color w:val="auto"/>
          <w:sz w:val="30"/>
          <w:szCs w:val="30"/>
          <w:lang w:val="en-US" w:eastAsia="zh-CN"/>
        </w:rPr>
        <w:t>完工工程量确认清单、</w:t>
      </w:r>
      <w:r>
        <w:rPr>
          <w:rFonts w:hint="eastAsia" w:ascii="仿宋_GB2312" w:hAnsi="仿宋_GB2312" w:eastAsia="仿宋_GB2312" w:cs="仿宋_GB2312"/>
          <w:b w:val="0"/>
          <w:color w:val="auto"/>
          <w:sz w:val="30"/>
          <w:szCs w:val="30"/>
        </w:rPr>
        <w:t>竣工验收报告，进度款增值税专用发票，项目进度完成情况证书、进度款支付申请表等申请资料。</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12</w:t>
      </w:r>
      <w:r>
        <w:rPr>
          <w:rFonts w:hint="eastAsia" w:ascii="仿宋_GB2312" w:hAnsi="仿宋_GB2312" w:eastAsia="仿宋_GB2312" w:cs="仿宋_GB2312"/>
          <w:b w:val="0"/>
          <w:color w:val="auto"/>
          <w:sz w:val="30"/>
          <w:szCs w:val="30"/>
        </w:rPr>
        <w:t>.</w:t>
      </w:r>
      <w:r>
        <w:rPr>
          <w:rFonts w:hint="eastAsia" w:ascii="仿宋_GB2312" w:hAnsi="仿宋_GB2312" w:eastAsia="仿宋_GB2312" w:cs="仿宋_GB2312"/>
          <w:b w:val="0"/>
          <w:color w:val="auto"/>
          <w:sz w:val="30"/>
          <w:szCs w:val="30"/>
          <w:lang w:val="en-US" w:eastAsia="zh-CN"/>
        </w:rPr>
        <w:t>4</w:t>
      </w:r>
      <w:r>
        <w:rPr>
          <w:rFonts w:hint="eastAsia" w:ascii="仿宋_GB2312" w:hAnsi="仿宋_GB2312" w:eastAsia="仿宋_GB2312" w:cs="仿宋_GB2312"/>
          <w:b w:val="0"/>
          <w:color w:val="auto"/>
          <w:sz w:val="30"/>
          <w:szCs w:val="30"/>
        </w:rPr>
        <w:t>.3 进度付款申请单的提交</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（1）完成进度款节点约定的工程量形象进度（里程碑节点）后提交申请（具体按甲方单位要求）。</w:t>
      </w:r>
    </w:p>
    <w:p>
      <w:pPr>
        <w:pStyle w:val="2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12</w:t>
      </w:r>
      <w:r>
        <w:rPr>
          <w:rFonts w:hint="eastAsia" w:ascii="仿宋_GB2312" w:hAnsi="仿宋_GB2312" w:eastAsia="仿宋_GB2312" w:cs="仿宋_GB2312"/>
          <w:b w:val="0"/>
          <w:color w:val="auto"/>
          <w:sz w:val="30"/>
          <w:szCs w:val="30"/>
        </w:rPr>
        <w:t>.</w:t>
      </w:r>
      <w:r>
        <w:rPr>
          <w:rFonts w:hint="eastAsia" w:ascii="仿宋_GB2312" w:hAnsi="仿宋_GB2312" w:eastAsia="仿宋_GB2312" w:cs="仿宋_GB2312"/>
          <w:b w:val="0"/>
          <w:color w:val="auto"/>
          <w:sz w:val="30"/>
          <w:szCs w:val="30"/>
          <w:lang w:val="en-US" w:eastAsia="zh-CN"/>
        </w:rPr>
        <w:t>4</w:t>
      </w:r>
      <w:r>
        <w:rPr>
          <w:rFonts w:hint="eastAsia" w:ascii="仿宋_GB2312" w:hAnsi="仿宋_GB2312" w:eastAsia="仿宋_GB2312" w:cs="仿宋_GB2312"/>
          <w:b w:val="0"/>
          <w:color w:val="auto"/>
          <w:sz w:val="30"/>
          <w:szCs w:val="30"/>
        </w:rPr>
        <w:t>.4 进度款审核和支付</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（1）监理人审查并报送发包人的期限：按合同通用条款。发包人完成审批并签发进度款支付证书的期限：按合同通用条款（7天）。</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rPr>
        <w:t>（2）发包人支付进度款的期限：所有支付申请资料审批完成后且收到进度款增值税专用发票 45 天内。发包人逾期支付进度款的违约金的计算方式：按合同通用条款。</w:t>
      </w:r>
    </w:p>
    <w:p>
      <w:pPr>
        <w:pStyle w:val="2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14.</w:t>
      </w:r>
      <w:r>
        <w:rPr>
          <w:rFonts w:hint="eastAsia" w:ascii="仿宋_GB2312" w:hAnsi="仿宋_GB2312" w:eastAsia="仿宋_GB2312" w:cs="仿宋_GB2312"/>
          <w:color w:val="auto"/>
          <w:sz w:val="30"/>
          <w:szCs w:val="30"/>
          <w:lang w:eastAsia="zh-CN"/>
        </w:rPr>
        <w:t>竣工结算</w:t>
      </w:r>
    </w:p>
    <w:p>
      <w:pPr>
        <w:pStyle w:val="2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增加以下内容</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lang w:val="en-US" w:eastAsia="zh-CN"/>
        </w:rPr>
        <w:t>14.5</w:t>
      </w:r>
      <w:r>
        <w:rPr>
          <w:rFonts w:hint="eastAsia" w:ascii="仿宋_GB2312" w:hAnsi="仿宋_GB2312" w:eastAsia="仿宋_GB2312" w:cs="仿宋_GB2312"/>
          <w:b w:val="0"/>
          <w:color w:val="auto"/>
          <w:sz w:val="30"/>
          <w:szCs w:val="30"/>
          <w:highlight w:val="none"/>
        </w:rPr>
        <w:t>承包人超过规定时间未报送竣工结算资料的，发包人有权根据下述原则办理结算：</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rPr>
        <w:t>（1）按中标价办理结算；</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rPr>
        <w:t>（2）有核减依据时，按中标价扣减相应核减费用办理结算。</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rPr>
        <w:t>（3）承包人由于自身的原因超过约定的时间未报送竣工结算资料的，从逾期次日起，每日扣罚违约金 1000 元（承包人提供结算资料的同时需提供发包人工程管理部门签字盖章确认并注明签收日期的工程结算资料签收记录作为计算违约金的依据）。</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lang w:val="en-US" w:eastAsia="zh-CN"/>
        </w:rPr>
        <w:t xml:space="preserve">14.6 </w:t>
      </w:r>
      <w:r>
        <w:rPr>
          <w:rFonts w:hint="eastAsia" w:ascii="仿宋_GB2312" w:hAnsi="仿宋_GB2312" w:eastAsia="仿宋_GB2312" w:cs="仿宋_GB2312"/>
          <w:b w:val="0"/>
          <w:color w:val="auto"/>
          <w:sz w:val="30"/>
          <w:szCs w:val="30"/>
          <w:highlight w:val="none"/>
        </w:rPr>
        <w:t>承包人未提出增加费用，经审定需调增结算费用，此时产生的结算审核费用由承包人承担。</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lang w:val="en-US" w:eastAsia="zh-CN"/>
        </w:rPr>
        <w:t>14.7 结算费用经发包人委托的中介机构审定，造价咨询服务基本收费部分由发包人支付，效益收费部分由承包人支付的方式，效益收费部分在工程结算款中扣除并由发包人支付给中介机构（增值税发票由中介机构开给发包人）。工程结算审核效益收费=（︱核减额︱+︱核增额︱）×5% ×中介机构中标费率（其中“核减额”、“核增额”指结算审核报告上的审定价-施工单位送审价的差额）。</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lang w:val="en-US" w:eastAsia="zh-CN"/>
        </w:rPr>
        <w:t xml:space="preserve">14.7 </w:t>
      </w:r>
      <w:r>
        <w:rPr>
          <w:rFonts w:hint="eastAsia" w:ascii="仿宋_GB2312" w:hAnsi="仿宋_GB2312" w:eastAsia="仿宋_GB2312" w:cs="仿宋_GB2312"/>
          <w:b w:val="0"/>
          <w:color w:val="auto"/>
          <w:sz w:val="30"/>
          <w:szCs w:val="30"/>
          <w:highlight w:val="none"/>
        </w:rPr>
        <w:t>在内外部审计过程中，承包人应积极配合，当审计中发现并经发包人确认结算中存在错算款项，发包人有权扣回，承包人应在收到财务决算审计审核报告复核通知书后按发包人要求将错算款项交回发包人。</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sz w:val="30"/>
          <w:szCs w:val="30"/>
          <w:highlight w:val="none"/>
          <w:lang w:val="en-US" w:eastAsia="zh-CN"/>
        </w:rPr>
        <w:t xml:space="preserve">14.8 </w:t>
      </w:r>
      <w:r>
        <w:rPr>
          <w:rFonts w:hint="eastAsia" w:ascii="仿宋_GB2312" w:hAnsi="仿宋_GB2312" w:eastAsia="仿宋_GB2312" w:cs="仿宋_GB2312"/>
          <w:b w:val="0"/>
          <w:color w:val="auto"/>
          <w:sz w:val="30"/>
          <w:szCs w:val="30"/>
          <w:highlight w:val="none"/>
        </w:rPr>
        <w:t>项目竣工验收后，按施工结算审核报告、合同的质保金预留规定和支付资料审批。结算审核报告完成签字后，收到监理最终支付证书、并收到发票后45天内支付。项目的竣工验收，需取得住建部门工程竣工验收备案证并完成档案移交。</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lang w:val="en-US" w:eastAsia="zh-CN"/>
        </w:rPr>
      </w:pPr>
      <w:r>
        <w:rPr>
          <w:rFonts w:hint="eastAsia" w:ascii="仿宋_GB2312" w:hAnsi="仿宋_GB2312" w:eastAsia="仿宋_GB2312" w:cs="仿宋_GB2312"/>
          <w:b w:val="0"/>
          <w:color w:val="auto"/>
          <w:sz w:val="30"/>
          <w:szCs w:val="30"/>
          <w:highlight w:val="none"/>
          <w:lang w:val="en-US" w:eastAsia="zh-CN"/>
        </w:rPr>
        <w:t>14.9招标代理费结算价=本项目的招标代理费实际结算金额。</w:t>
      </w:r>
    </w:p>
    <w:p>
      <w:pPr>
        <w:pStyle w:val="2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lang w:val="en-US" w:eastAsia="zh-CN"/>
        </w:rPr>
      </w:pPr>
      <w:r>
        <w:rPr>
          <w:rFonts w:hint="eastAsia" w:ascii="仿宋_GB2312" w:hAnsi="仿宋_GB2312" w:eastAsia="仿宋_GB2312" w:cs="仿宋_GB2312"/>
          <w:b w:val="0"/>
          <w:color w:val="auto"/>
          <w:sz w:val="30"/>
          <w:szCs w:val="30"/>
          <w:highlight w:val="none"/>
          <w:lang w:val="en-US" w:eastAsia="zh-CN"/>
        </w:rPr>
        <w:t>承包人根据招标代理机构开具的招标代理费发票金额列入结算费用，向发包人办理结算请款，在结算招标代理费时，以实际发生费用为基准（如有），按照增值税率 9%开具增值税专用发票</w:t>
      </w:r>
    </w:p>
    <w:p>
      <w:pPr>
        <w:pStyle w:val="2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增加22.</w:t>
      </w:r>
      <w:r>
        <w:rPr>
          <w:rFonts w:hint="eastAsia" w:ascii="仿宋_GB2312" w:hAnsi="仿宋_GB2312" w:eastAsia="仿宋_GB2312" w:cs="仿宋_GB2312"/>
          <w:color w:val="auto"/>
          <w:sz w:val="30"/>
          <w:szCs w:val="30"/>
        </w:rPr>
        <w:t>农民工工资专项管理</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21</w:t>
      </w:r>
      <w:r>
        <w:rPr>
          <w:rFonts w:hint="eastAsia" w:ascii="仿宋_GB2312" w:hAnsi="仿宋_GB2312" w:eastAsia="仿宋_GB2312" w:cs="仿宋_GB2312"/>
          <w:b w:val="0"/>
          <w:color w:val="auto"/>
          <w:sz w:val="30"/>
          <w:szCs w:val="30"/>
        </w:rPr>
        <w:t>.1按照《保障农民工工资支付条例》要求及国家、当地政府或建设单位最新的农民工工资最新管理要求，足额支付农民工工资。</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21</w:t>
      </w:r>
      <w:r>
        <w:rPr>
          <w:rFonts w:hint="eastAsia" w:ascii="仿宋_GB2312" w:hAnsi="仿宋_GB2312" w:eastAsia="仿宋_GB2312" w:cs="仿宋_GB2312"/>
          <w:b w:val="0"/>
          <w:color w:val="auto"/>
          <w:sz w:val="30"/>
          <w:szCs w:val="30"/>
        </w:rPr>
        <w:t>.2承包人的人员需按照建设工程实名制要求进行实名制登记，未登记人员不得进入项目现场施工。</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highlight w:val="none"/>
          <w:lang w:val="en-US" w:eastAsia="zh-CN"/>
        </w:rPr>
      </w:pPr>
      <w:r>
        <w:rPr>
          <w:rFonts w:hint="eastAsia" w:ascii="仿宋_GB2312" w:hAnsi="仿宋_GB2312" w:eastAsia="仿宋_GB2312" w:cs="仿宋_GB2312"/>
          <w:b w:val="0"/>
          <w:color w:val="auto"/>
          <w:sz w:val="30"/>
          <w:szCs w:val="30"/>
          <w:lang w:val="en-US" w:eastAsia="zh-CN"/>
        </w:rPr>
        <w:t>21</w:t>
      </w:r>
      <w:r>
        <w:rPr>
          <w:rFonts w:hint="eastAsia" w:ascii="仿宋_GB2312" w:hAnsi="仿宋_GB2312" w:eastAsia="仿宋_GB2312" w:cs="仿宋_GB2312"/>
          <w:b w:val="0"/>
          <w:color w:val="auto"/>
          <w:sz w:val="30"/>
          <w:szCs w:val="30"/>
          <w:highlight w:val="none"/>
          <w:lang w:val="en-US" w:eastAsia="zh-CN"/>
        </w:rPr>
        <w:t>.3承包人应在工程施工合同签订之日起30日内开立专用账户，并与建设单位、开户银行签订资金管理三方协议，监管协议应约定账户只能用于代发工资，明确代付人工费用占工程款的比例、拨付周期、日期等信息。</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21</w:t>
      </w:r>
      <w:r>
        <w:rPr>
          <w:rFonts w:hint="eastAsia" w:ascii="仿宋_GB2312" w:hAnsi="仿宋_GB2312" w:eastAsia="仿宋_GB2312" w:cs="仿宋_GB2312"/>
          <w:b w:val="0"/>
          <w:color w:val="auto"/>
          <w:sz w:val="30"/>
          <w:szCs w:val="30"/>
        </w:rPr>
        <w:t>.4承包人应采取工资支付公示签字或其他确认方式，向农民工公示工资支付情况并双方确认。</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rPr>
      </w:pPr>
      <w:r>
        <w:rPr>
          <w:rFonts w:hint="eastAsia" w:ascii="仿宋_GB2312" w:hAnsi="仿宋_GB2312" w:eastAsia="仿宋_GB2312" w:cs="仿宋_GB2312"/>
          <w:b w:val="0"/>
          <w:color w:val="auto"/>
          <w:sz w:val="30"/>
          <w:szCs w:val="30"/>
          <w:lang w:val="en-US" w:eastAsia="zh-CN"/>
        </w:rPr>
        <w:t>21</w:t>
      </w:r>
      <w:r>
        <w:rPr>
          <w:rFonts w:hint="eastAsia" w:ascii="仿宋_GB2312" w:hAnsi="仿宋_GB2312" w:eastAsia="仿宋_GB2312" w:cs="仿宋_GB2312"/>
          <w:b w:val="0"/>
          <w:color w:val="auto"/>
          <w:sz w:val="30"/>
          <w:szCs w:val="30"/>
        </w:rPr>
        <w:t>.5承包人应在工程竣工后，须将工程项目无拖欠工人工资情况公示60日，公示结果报监理工程师、业主项目部备案。总包单位在专用账户符合撤销的条件下，向项目所在地监管部门出具无拖欠工人工资承诺书后可撤销账户。</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lang w:val="en-US" w:eastAsia="zh-CN"/>
        </w:rPr>
      </w:pPr>
      <w:r>
        <w:rPr>
          <w:rFonts w:hint="eastAsia" w:ascii="仿宋_GB2312" w:hAnsi="仿宋_GB2312" w:eastAsia="仿宋_GB2312" w:cs="仿宋_GB2312"/>
          <w:b w:val="0"/>
          <w:color w:val="auto"/>
          <w:sz w:val="30"/>
          <w:szCs w:val="30"/>
          <w:lang w:val="en-US" w:eastAsia="zh-CN"/>
        </w:rPr>
        <w:t>21.6承包人应当自工程取得施工许可证之日起20个工作日内，持营业执照副本、与建设单位签订的施工合同在经办银行开立工资保证金专门账户存储工资保证金，农民工工资支付保证金缴存比例为施工合同总价的3%，最高限额为500万元。承包人可选择以银行保函替代现金存储工资保证金，保函担保金额不得低于按规定比例计算应存储的工资保证金数额。银行保函应以属地人力资源社会保障行政部门为受益人，保函性质为不可撤销见索即付保函。保函正本由属地人力资源社会保障行政部门保存。采用工程担保公司保函或工程保证保险方式代替工资保证金的，参照银行保函的相关规定执行。</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color w:val="auto"/>
          <w:sz w:val="30"/>
          <w:szCs w:val="30"/>
          <w:lang w:val="en-US" w:eastAsia="zh-CN"/>
        </w:rPr>
      </w:pPr>
      <w:r>
        <w:rPr>
          <w:rFonts w:hint="eastAsia" w:ascii="仿宋_GB2312" w:hAnsi="仿宋_GB2312" w:eastAsia="仿宋_GB2312" w:cs="仿宋_GB2312"/>
          <w:b w:val="0"/>
          <w:color w:val="auto"/>
          <w:sz w:val="30"/>
          <w:szCs w:val="30"/>
          <w:lang w:val="en-US" w:eastAsia="zh-CN"/>
        </w:rPr>
        <w:t>21.7如因承包人未按规定开立、使用、变更、撤销工人工资支付专用账户导致本工程施工许可证未能如期办理、拖欠或克扣工人工资造成群体性事件或其他不良行为的，由此引起的相关责任全部由承包人承担；如出现拖欠或克扣工人工资造成群体性事件或其他不良行为，所拖欠或克扣的工人工资可由发包人先行支付，发包人有权在任何一期工程进度款中按已支付费用的 2 倍扣除等额款项作为违约金；如对发包人及其下属企业和部门的声誉造成不良影响（如出现政府部门约谈、媒体报导、网络舆情等），发包人有权在任何一期工程进度款中按已支付费用的 3～10 倍扣除等额款项作为违约金及赔偿金。</w:t>
      </w:r>
    </w:p>
    <w:p>
      <w:pPr>
        <w:pStyle w:val="7"/>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color w:val="auto"/>
          <w:sz w:val="30"/>
          <w:szCs w:val="30"/>
          <w:lang w:val="en-US" w:eastAsia="zh-CN"/>
        </w:rPr>
        <w:t>21</w:t>
      </w:r>
      <w:r>
        <w:rPr>
          <w:rFonts w:hint="eastAsia" w:ascii="仿宋_GB2312" w:hAnsi="仿宋_GB2312" w:eastAsia="仿宋_GB2312" w:cs="仿宋_GB2312"/>
          <w:color w:val="auto"/>
          <w:sz w:val="30"/>
          <w:szCs w:val="30"/>
        </w:rPr>
        <w:t>.6支付方式：</w:t>
      </w:r>
    </w:p>
    <w:p>
      <w:pPr>
        <w:pStyle w:val="7"/>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农民工工资专项费用包含在工程进度款中按进度支付，工程进度款中的农民工工资款比例按照合同协议书中单列的比例计算</w:t>
      </w:r>
      <w:r>
        <w:rPr>
          <w:rFonts w:hint="eastAsia" w:ascii="仿宋_GB2312" w:hAnsi="仿宋_GB2312" w:eastAsia="仿宋_GB2312" w:cs="仿宋_GB2312"/>
          <w:color w:val="auto"/>
          <w:sz w:val="30"/>
          <w:szCs w:val="30"/>
          <w:lang w:eastAsia="zh-CN"/>
        </w:rPr>
        <w:t>（不低于</w:t>
      </w:r>
      <w:r>
        <w:rPr>
          <w:rFonts w:hint="eastAsia" w:ascii="仿宋_GB2312" w:hAnsi="仿宋_GB2312" w:eastAsia="仿宋_GB2312" w:cs="仿宋_GB2312"/>
          <w:color w:val="auto"/>
          <w:sz w:val="30"/>
          <w:szCs w:val="30"/>
          <w:lang w:val="en-US" w:eastAsia="zh-CN"/>
        </w:rPr>
        <w:t>15%</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，具体金额以业主项目部审核的金额为准。经确认的农民工工资款单独划入本工程“农民工工资专用账户”中，除发放本工程农民工工资外，不得用于其他用途。</w:t>
      </w:r>
    </w:p>
    <w:p>
      <w:pPr>
        <w:pStyle w:val="7"/>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因工程变更引起的工程量增加，新增工程量中的农民工工资比例原则上按合同协议书中约定的原比例执行。</w:t>
      </w:r>
    </w:p>
    <w:p>
      <w:pPr>
        <w:pStyle w:val="7"/>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其余未尽事宜，严格按照《保障农民工工资支付条例》（中华人民共和国国务院令 第724号）及相关规执行。</w:t>
      </w:r>
    </w:p>
    <w:p>
      <w:pPr>
        <w:pStyle w:val="7"/>
        <w:pageBreakBefore w:val="0"/>
        <w:widowControl w:val="0"/>
        <w:kinsoku/>
        <w:wordWrap/>
        <w:overflowPunct/>
        <w:topLinePunct w:val="0"/>
        <w:autoSpaceDE/>
        <w:autoSpaceDN/>
        <w:bidi w:val="0"/>
        <w:adjustRightInd/>
        <w:snapToGrid/>
        <w:spacing w:after="0" w:line="560" w:lineRule="exact"/>
        <w:ind w:left="0" w:leftChars="0" w:firstLine="602" w:firstLineChars="200"/>
        <w:textAlignment w:val="auto"/>
        <w:rPr>
          <w:rFonts w:hint="eastAsia" w:ascii="仿宋_GB2312" w:hAnsi="仿宋_GB2312" w:eastAsia="仿宋_GB2312" w:cs="仿宋_GB2312"/>
          <w:b/>
          <w:bCs/>
          <w:color w:val="auto"/>
          <w:sz w:val="30"/>
          <w:szCs w:val="30"/>
          <w:highlight w:val="yellow"/>
          <w:lang w:val="en-US" w:eastAsia="zh-CN"/>
        </w:rPr>
      </w:pPr>
      <w:r>
        <w:rPr>
          <w:rFonts w:hint="eastAsia" w:ascii="仿宋_GB2312" w:hAnsi="仿宋_GB2312" w:eastAsia="仿宋_GB2312" w:cs="仿宋_GB2312"/>
          <w:b/>
          <w:bCs/>
          <w:color w:val="auto"/>
          <w:sz w:val="30"/>
          <w:szCs w:val="30"/>
          <w:highlight w:val="none"/>
          <w:lang w:val="en-US" w:eastAsia="zh-CN"/>
        </w:rPr>
        <w:t>增加23.其他</w:t>
      </w:r>
    </w:p>
    <w:p>
      <w:pPr>
        <w:pStyle w:val="7"/>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23.1落实危大工程专项施工方案编制前现场勘察工作要求，充分辨识作业风险，尤其是邻近交通干道、运行线路和人口密集等敏感域区域场景作业风险，制定相应的应急救援预案、现场处置方案，规范危大工程专项施工方案编制、审核、批准和报审批手续。</w:t>
      </w:r>
    </w:p>
    <w:p>
      <w:pPr>
        <w:pStyle w:val="7"/>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23.2杜绝“无计划作业”，将全部施工任务按照网省公司要求录入信息系统进行全过程管控，所有作业计划必须经建设单位审批同意后方可执行，严禁承包商、分包商自主安排作业。</w:t>
      </w:r>
    </w:p>
    <w:p>
      <w:pPr>
        <w:pStyle w:val="7"/>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23.3及时将网省公司关于安全管理的相关要求传达至施工项目部及现场作业人员，严格落实施工现场安全措施，包括但不限于订阅关注项目所在地区的水文、气象、地震等环境灾害预警信息，规范开展现场作业，杜绝“三违”（违章指挥、违章作业和违反劳动纪律）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f82b7b8b-f620-4d8f-85e8-43348788fef8"/>
  </w:docVars>
  <w:rsids>
    <w:rsidRoot w:val="00584975"/>
    <w:rsid w:val="0000556F"/>
    <w:rsid w:val="000448B8"/>
    <w:rsid w:val="001C1552"/>
    <w:rsid w:val="001D55E4"/>
    <w:rsid w:val="0021082D"/>
    <w:rsid w:val="002517F7"/>
    <w:rsid w:val="002A332C"/>
    <w:rsid w:val="002C5EBD"/>
    <w:rsid w:val="00386663"/>
    <w:rsid w:val="003A305B"/>
    <w:rsid w:val="003D6EEF"/>
    <w:rsid w:val="00433D2C"/>
    <w:rsid w:val="00447FBE"/>
    <w:rsid w:val="00457C5C"/>
    <w:rsid w:val="00464C9C"/>
    <w:rsid w:val="004D30C7"/>
    <w:rsid w:val="004E196B"/>
    <w:rsid w:val="004E2C39"/>
    <w:rsid w:val="004F3D36"/>
    <w:rsid w:val="00536201"/>
    <w:rsid w:val="00567F2B"/>
    <w:rsid w:val="00572337"/>
    <w:rsid w:val="00584975"/>
    <w:rsid w:val="00586B70"/>
    <w:rsid w:val="00627C34"/>
    <w:rsid w:val="00675A71"/>
    <w:rsid w:val="006A0722"/>
    <w:rsid w:val="006B1043"/>
    <w:rsid w:val="006C338C"/>
    <w:rsid w:val="007153FD"/>
    <w:rsid w:val="007B1622"/>
    <w:rsid w:val="007C6833"/>
    <w:rsid w:val="008276A8"/>
    <w:rsid w:val="00872FC5"/>
    <w:rsid w:val="009303C2"/>
    <w:rsid w:val="009376E4"/>
    <w:rsid w:val="00950F9F"/>
    <w:rsid w:val="009740CF"/>
    <w:rsid w:val="00986844"/>
    <w:rsid w:val="00A1405A"/>
    <w:rsid w:val="00A86D8D"/>
    <w:rsid w:val="00AA3A86"/>
    <w:rsid w:val="00AB7CA7"/>
    <w:rsid w:val="00AE4F3D"/>
    <w:rsid w:val="00BC3DB7"/>
    <w:rsid w:val="00BD6963"/>
    <w:rsid w:val="00C2179C"/>
    <w:rsid w:val="00C21893"/>
    <w:rsid w:val="00C313B4"/>
    <w:rsid w:val="00CB04B8"/>
    <w:rsid w:val="00D7069C"/>
    <w:rsid w:val="00E26688"/>
    <w:rsid w:val="00EE7593"/>
    <w:rsid w:val="00F32ED8"/>
    <w:rsid w:val="00F51406"/>
    <w:rsid w:val="00F51535"/>
    <w:rsid w:val="00F90389"/>
    <w:rsid w:val="00FD772C"/>
    <w:rsid w:val="01BC28E7"/>
    <w:rsid w:val="01FE0A0A"/>
    <w:rsid w:val="023E2E7B"/>
    <w:rsid w:val="02D45932"/>
    <w:rsid w:val="02F874FF"/>
    <w:rsid w:val="0463522E"/>
    <w:rsid w:val="04B65AC7"/>
    <w:rsid w:val="04BC79D1"/>
    <w:rsid w:val="05A37CCE"/>
    <w:rsid w:val="078A58ED"/>
    <w:rsid w:val="08CC5F7D"/>
    <w:rsid w:val="098A50B6"/>
    <w:rsid w:val="0A2B13BC"/>
    <w:rsid w:val="0B7216D3"/>
    <w:rsid w:val="0C816DE3"/>
    <w:rsid w:val="0DE51158"/>
    <w:rsid w:val="0E3B40E5"/>
    <w:rsid w:val="0FD47B13"/>
    <w:rsid w:val="0FD97E75"/>
    <w:rsid w:val="12AD3BE1"/>
    <w:rsid w:val="145B362D"/>
    <w:rsid w:val="149A0C5C"/>
    <w:rsid w:val="15086A2A"/>
    <w:rsid w:val="16824B5F"/>
    <w:rsid w:val="18216F24"/>
    <w:rsid w:val="194A5C14"/>
    <w:rsid w:val="1CD16999"/>
    <w:rsid w:val="1D985D1B"/>
    <w:rsid w:val="1EE371AA"/>
    <w:rsid w:val="203474F7"/>
    <w:rsid w:val="208650E9"/>
    <w:rsid w:val="21F425CA"/>
    <w:rsid w:val="258379D8"/>
    <w:rsid w:val="27315D1D"/>
    <w:rsid w:val="274C542A"/>
    <w:rsid w:val="27C47FCA"/>
    <w:rsid w:val="28A6273B"/>
    <w:rsid w:val="2A113092"/>
    <w:rsid w:val="2B1419BB"/>
    <w:rsid w:val="2B3F716D"/>
    <w:rsid w:val="2B5D25CF"/>
    <w:rsid w:val="2B667F60"/>
    <w:rsid w:val="2DCA1722"/>
    <w:rsid w:val="2E570595"/>
    <w:rsid w:val="2FFA0EC4"/>
    <w:rsid w:val="30FB681B"/>
    <w:rsid w:val="337C1562"/>
    <w:rsid w:val="34816A61"/>
    <w:rsid w:val="348957C0"/>
    <w:rsid w:val="367959B2"/>
    <w:rsid w:val="37C60190"/>
    <w:rsid w:val="39A93BA9"/>
    <w:rsid w:val="3A351B95"/>
    <w:rsid w:val="3B2F11B3"/>
    <w:rsid w:val="3CA72AFC"/>
    <w:rsid w:val="3D761A6A"/>
    <w:rsid w:val="3E9E2047"/>
    <w:rsid w:val="40296F4A"/>
    <w:rsid w:val="41554B3E"/>
    <w:rsid w:val="42D25330"/>
    <w:rsid w:val="42F968F6"/>
    <w:rsid w:val="44071890"/>
    <w:rsid w:val="46936FDC"/>
    <w:rsid w:val="46D36999"/>
    <w:rsid w:val="46E464B1"/>
    <w:rsid w:val="478B4C6E"/>
    <w:rsid w:val="48B74E96"/>
    <w:rsid w:val="491F582F"/>
    <w:rsid w:val="4AC544BB"/>
    <w:rsid w:val="4D8D78A2"/>
    <w:rsid w:val="4E12786B"/>
    <w:rsid w:val="4E820661"/>
    <w:rsid w:val="4FE47521"/>
    <w:rsid w:val="52023B18"/>
    <w:rsid w:val="58143E20"/>
    <w:rsid w:val="59C821F6"/>
    <w:rsid w:val="59E56B2F"/>
    <w:rsid w:val="5AE87C8F"/>
    <w:rsid w:val="5B7966A3"/>
    <w:rsid w:val="5C1E5B2C"/>
    <w:rsid w:val="5FE85CF4"/>
    <w:rsid w:val="601C6864"/>
    <w:rsid w:val="62270DB6"/>
    <w:rsid w:val="639D174A"/>
    <w:rsid w:val="64715DE8"/>
    <w:rsid w:val="64CC3D40"/>
    <w:rsid w:val="67165330"/>
    <w:rsid w:val="67527461"/>
    <w:rsid w:val="68036BBF"/>
    <w:rsid w:val="68A634BD"/>
    <w:rsid w:val="6BE2620E"/>
    <w:rsid w:val="6DCD4767"/>
    <w:rsid w:val="6DE17ED2"/>
    <w:rsid w:val="6DF053D8"/>
    <w:rsid w:val="6EDC6E70"/>
    <w:rsid w:val="6EDD69D8"/>
    <w:rsid w:val="6F611C76"/>
    <w:rsid w:val="6F6F63DF"/>
    <w:rsid w:val="71585F6F"/>
    <w:rsid w:val="73245576"/>
    <w:rsid w:val="73A25E44"/>
    <w:rsid w:val="742E6DC8"/>
    <w:rsid w:val="75C15A8B"/>
    <w:rsid w:val="77097694"/>
    <w:rsid w:val="787466AD"/>
    <w:rsid w:val="798D1378"/>
    <w:rsid w:val="7C9603F6"/>
    <w:rsid w:val="7D1A4DCC"/>
    <w:rsid w:val="7E521092"/>
    <w:rsid w:val="7EB119EA"/>
    <w:rsid w:val="7F521EAC"/>
    <w:rsid w:val="7F680517"/>
    <w:rsid w:val="7FD4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1"/>
    <w:link w:val="17"/>
    <w:qFormat/>
    <w:uiPriority w:val="99"/>
    <w:pPr>
      <w:autoSpaceDE w:val="0"/>
      <w:autoSpaceDN w:val="0"/>
      <w:adjustRightInd w:val="0"/>
      <w:outlineLvl w:val="1"/>
    </w:pPr>
    <w:rPr>
      <w:rFonts w:ascii="Arial" w:hAnsi="Arial"/>
      <w:b/>
      <w:i/>
      <w:color w:val="000000"/>
      <w:sz w:val="28"/>
      <w:szCs w:val="28"/>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firstLine="200" w:firstLineChars="200"/>
      <w:jc w:val="both"/>
    </w:pPr>
    <w:rPr>
      <w:kern w:val="0"/>
      <w:sz w:val="24"/>
      <w:lang w:val="en-US" w:eastAsia="zh-CN"/>
    </w:rPr>
  </w:style>
  <w:style w:type="paragraph" w:styleId="3">
    <w:name w:val="Body Text"/>
    <w:basedOn w:val="1"/>
    <w:next w:val="4"/>
    <w:unhideWhenUsed/>
    <w:qFormat/>
    <w:uiPriority w:val="99"/>
    <w:pPr>
      <w:spacing w:after="120"/>
      <w:jc w:val="both"/>
    </w:p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Body Text Indent"/>
    <w:basedOn w:val="1"/>
    <w:link w:val="19"/>
    <w:unhideWhenUsed/>
    <w:qFormat/>
    <w:uiPriority w:val="99"/>
    <w:pPr>
      <w:spacing w:before="100" w:beforeAutospacing="1" w:after="120"/>
      <w:ind w:left="420" w:leftChars="200"/>
    </w:pPr>
  </w:style>
  <w:style w:type="paragraph" w:styleId="8">
    <w:name w:val="Plain Text"/>
    <w:basedOn w:val="1"/>
    <w:next w:val="1"/>
    <w:link w:val="18"/>
    <w:unhideWhenUsed/>
    <w:qFormat/>
    <w:uiPriority w:val="99"/>
    <w:rPr>
      <w:rFonts w:ascii="宋体" w:hAnsi="Courier New"/>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envelope return"/>
    <w:basedOn w:val="1"/>
    <w:unhideWhenUsed/>
    <w:qFormat/>
    <w:uiPriority w:val="99"/>
    <w:pPr>
      <w:snapToGrid w:val="0"/>
    </w:pPr>
    <w:rPr>
      <w:rFonts w:ascii="Arial" w:hAnsi="Arial" w:eastAsia="宋体" w:cs="Times New Roman"/>
      <w:sz w:val="30"/>
      <w:szCs w:val="24"/>
      <w:lang w:bidi="ar-SA"/>
    </w:rPr>
  </w:style>
  <w:style w:type="paragraph" w:styleId="12">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字符"/>
    <w:basedOn w:val="14"/>
    <w:link w:val="12"/>
    <w:qFormat/>
    <w:uiPriority w:val="99"/>
    <w:rPr>
      <w:sz w:val="18"/>
      <w:szCs w:val="18"/>
    </w:rPr>
  </w:style>
  <w:style w:type="character" w:customStyle="1" w:styleId="16">
    <w:name w:val="页脚 字符"/>
    <w:basedOn w:val="14"/>
    <w:link w:val="10"/>
    <w:qFormat/>
    <w:uiPriority w:val="99"/>
    <w:rPr>
      <w:sz w:val="18"/>
      <w:szCs w:val="18"/>
    </w:rPr>
  </w:style>
  <w:style w:type="character" w:customStyle="1" w:styleId="17">
    <w:name w:val="标题 2 字符"/>
    <w:basedOn w:val="14"/>
    <w:link w:val="5"/>
    <w:qFormat/>
    <w:uiPriority w:val="99"/>
    <w:rPr>
      <w:rFonts w:ascii="Arial" w:hAnsi="Arial" w:eastAsia="宋体" w:cs="Times New Roman"/>
      <w:b/>
      <w:i/>
      <w:color w:val="000000"/>
      <w:sz w:val="28"/>
      <w:szCs w:val="28"/>
    </w:rPr>
  </w:style>
  <w:style w:type="character" w:customStyle="1" w:styleId="18">
    <w:name w:val="纯文本 字符"/>
    <w:basedOn w:val="14"/>
    <w:link w:val="8"/>
    <w:qFormat/>
    <w:uiPriority w:val="99"/>
    <w:rPr>
      <w:rFonts w:ascii="宋体" w:hAnsi="Courier New" w:eastAsia="宋体" w:cs="Times New Roman"/>
      <w:szCs w:val="21"/>
    </w:rPr>
  </w:style>
  <w:style w:type="character" w:customStyle="1" w:styleId="19">
    <w:name w:val="正文文本缩进 字符"/>
    <w:basedOn w:val="14"/>
    <w:link w:val="7"/>
    <w:qFormat/>
    <w:uiPriority w:val="99"/>
    <w:rPr>
      <w:rFonts w:ascii="Times New Roman" w:hAnsi="Times New Roman" w:eastAsia="宋体" w:cs="Times New Roman"/>
      <w:szCs w:val="21"/>
    </w:rPr>
  </w:style>
  <w:style w:type="paragraph" w:customStyle="1" w:styleId="20">
    <w:name w:val="11"/>
    <w:basedOn w:val="7"/>
    <w:qFormat/>
    <w:uiPriority w:val="0"/>
    <w:pPr>
      <w:spacing w:line="360" w:lineRule="auto"/>
    </w:pPr>
    <w:rPr>
      <w:rFonts w:hAnsi="宋体"/>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14670</Words>
  <Characters>15103</Characters>
  <Lines>50</Lines>
  <Paragraphs>14</Paragraphs>
  <TotalTime>439</TotalTime>
  <ScaleCrop>false</ScaleCrop>
  <LinksUpToDate>false</LinksUpToDate>
  <CharactersWithSpaces>15947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2024-07-24T09:04:00Z</dcterms:created>
  <dc:creator>Administrator</dc:creator>
  <cp:lastModifiedBy>李宗格</cp:lastModifiedBy>
  <dcterms:modified xsi:type="dcterms:W3CDTF">2025-11-06T03:12:07Z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731E83EBBBAD462BA93047E984EC2EB8</vt:lpwstr>
  </property>
</Properties>
</file>