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360" w:lineRule="auto"/>
        <w:jc w:val="center"/>
        <w:rPr>
          <w:rFonts w:asciiTheme="minorEastAsia" w:hAnsiTheme="minorEastAsia" w:eastAsiaTheme="minorEastAsia" w:cstheme="minorEastAsia"/>
          <w:b/>
          <w:bCs/>
          <w:snapToGrid w:val="0"/>
          <w:sz w:val="21"/>
          <w:szCs w:val="21"/>
          <w:highlight w:val="none"/>
          <w:u w:val="single"/>
        </w:rPr>
      </w:pPr>
      <w:bookmarkStart w:id="0" w:name="_Toc8445"/>
      <w:r>
        <w:rPr>
          <w:rFonts w:hint="eastAsia" w:asciiTheme="minorEastAsia" w:hAnsiTheme="minorEastAsia" w:eastAsiaTheme="minorEastAsia" w:cstheme="minorEastAsia"/>
          <w:b/>
          <w:bCs/>
          <w:snapToGrid w:val="0"/>
          <w:sz w:val="21"/>
          <w:szCs w:val="21"/>
          <w:highlight w:val="none"/>
          <w:u w:val="single"/>
        </w:rPr>
        <w:t>附件A-项目信息清单</w:t>
      </w:r>
    </w:p>
    <w:p>
      <w:pPr>
        <w:pStyle w:val="10"/>
        <w:spacing w:line="360" w:lineRule="auto"/>
        <w:jc w:val="center"/>
        <w:rPr>
          <w:rFonts w:asciiTheme="minorEastAsia" w:hAnsiTheme="minorEastAsia" w:eastAsiaTheme="minorEastAsia" w:cstheme="minorEastAsia"/>
          <w:b/>
          <w:bCs/>
          <w:snapToGrid w:val="0"/>
          <w:sz w:val="21"/>
          <w:szCs w:val="21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sz w:val="21"/>
          <w:szCs w:val="21"/>
          <w:highlight w:val="none"/>
          <w:u w:val="single"/>
        </w:rPr>
        <w:t>标的名称：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sz w:val="21"/>
          <w:szCs w:val="21"/>
          <w:highlight w:val="none"/>
          <w:u w:val="single"/>
        </w:rPr>
        <w:t xml:space="preserve">广东电网有限责任公司江门供电局500kV五邑巡维中心技术业务用房、江门供电局（开平）职工宿舍两项工程施工 </w:t>
      </w:r>
    </w:p>
    <w:p>
      <w:pPr>
        <w:pStyle w:val="10"/>
        <w:spacing w:line="360" w:lineRule="auto"/>
        <w:jc w:val="center"/>
        <w:rPr>
          <w:rFonts w:asciiTheme="minorEastAsia" w:hAnsiTheme="minorEastAsia" w:eastAsiaTheme="minorEastAsia" w:cstheme="minorEastAsia"/>
          <w:b/>
          <w:bCs/>
          <w:snapToGrid w:val="0"/>
          <w:sz w:val="21"/>
          <w:szCs w:val="21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sz w:val="21"/>
          <w:szCs w:val="21"/>
          <w:highlight w:val="none"/>
          <w:u w:val="single"/>
        </w:rPr>
        <w:t>标段名称：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sz w:val="21"/>
          <w:szCs w:val="21"/>
          <w:highlight w:val="none"/>
          <w:u w:val="single"/>
        </w:rPr>
        <w:t xml:space="preserve">广东电网有限责任公司江门供电局500kV五邑巡维中心技术业务用房、江门供电局（开平）职工宿舍两项工程施工 </w:t>
      </w:r>
    </w:p>
    <w:p>
      <w:pPr>
        <w:pStyle w:val="10"/>
        <w:spacing w:line="360" w:lineRule="auto"/>
        <w:jc w:val="center"/>
        <w:rPr>
          <w:rFonts w:hAnsi="宋体" w:cs="宋体"/>
          <w:b/>
          <w:bCs/>
          <w:snapToGrid w:val="0"/>
          <w:sz w:val="21"/>
          <w:szCs w:val="21"/>
          <w:highlight w:val="none"/>
        </w:rPr>
      </w:pPr>
      <w:r>
        <w:rPr>
          <w:rFonts w:hint="eastAsia" w:hAnsi="宋体" w:cs="宋体"/>
          <w:b/>
          <w:bCs/>
          <w:snapToGrid w:val="0"/>
          <w:sz w:val="21"/>
          <w:szCs w:val="21"/>
          <w:highlight w:val="none"/>
        </w:rPr>
        <w:t>项目信息表</w:t>
      </w:r>
    </w:p>
    <w:tbl>
      <w:tblPr>
        <w:tblStyle w:val="14"/>
        <w:tblW w:w="47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2177"/>
        <w:gridCol w:w="3007"/>
        <w:gridCol w:w="2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" w:type="pct"/>
          </w:tcPr>
          <w:p>
            <w:pPr>
              <w:pStyle w:val="10"/>
              <w:spacing w:line="360" w:lineRule="auto"/>
              <w:jc w:val="center"/>
              <w:rPr>
                <w:rFonts w:hAnsi="宋体" w:cs="宋体"/>
                <w:b/>
                <w:bCs/>
                <w:snapToGrid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284" w:type="pct"/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hAnsi="宋体" w:cs="宋体"/>
                <w:b/>
                <w:bCs/>
                <w:snapToGrid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  <w:highlight w:val="none"/>
              </w:rPr>
              <w:t>条款名称</w:t>
            </w:r>
          </w:p>
        </w:tc>
        <w:tc>
          <w:tcPr>
            <w:tcW w:w="1774" w:type="pct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江门供电局500kV五邑巡维中心技术业务用房项目</w:t>
            </w:r>
          </w:p>
        </w:tc>
        <w:tc>
          <w:tcPr>
            <w:tcW w:w="1662" w:type="pct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江门供电局（开平）职工宿舍项目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" w:type="pct"/>
          </w:tcPr>
          <w:p>
            <w:pPr>
              <w:pStyle w:val="10"/>
              <w:spacing w:line="360" w:lineRule="auto"/>
              <w:jc w:val="center"/>
              <w:rPr>
                <w:rFonts w:hAnsi="宋体" w:cs="宋体"/>
                <w:i w:val="0"/>
                <w:iCs w:val="0"/>
                <w:snapToGrid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i w:val="0"/>
                <w:iCs w:val="0"/>
                <w:snapToGrid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284" w:type="pct"/>
          </w:tcPr>
          <w:p>
            <w:pPr>
              <w:pStyle w:val="10"/>
              <w:spacing w:line="360" w:lineRule="auto"/>
              <w:jc w:val="center"/>
              <w:rPr>
                <w:rFonts w:hAnsi="宋体" w:cs="宋体"/>
                <w:i w:val="0"/>
                <w:iCs w:val="0"/>
                <w:snapToGrid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i w:val="0"/>
                <w:iCs w:val="0"/>
                <w:sz w:val="21"/>
                <w:szCs w:val="21"/>
                <w:highlight w:val="none"/>
              </w:rPr>
              <w:t>可研批复文号</w:t>
            </w:r>
          </w:p>
        </w:tc>
        <w:tc>
          <w:tcPr>
            <w:tcW w:w="177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江供电计〔2024〕66号</w:t>
            </w:r>
          </w:p>
        </w:tc>
        <w:tc>
          <w:tcPr>
            <w:tcW w:w="166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广电规〔2024〕235号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" w:type="pct"/>
          </w:tcPr>
          <w:p>
            <w:pPr>
              <w:pStyle w:val="10"/>
              <w:spacing w:line="360" w:lineRule="auto"/>
              <w:jc w:val="center"/>
              <w:rPr>
                <w:rFonts w:hAnsi="宋体" w:cs="宋体"/>
                <w:i w:val="0"/>
                <w:iCs w:val="0"/>
                <w:snapToGrid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i w:val="0"/>
                <w:iCs w:val="0"/>
                <w:snapToGrid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284" w:type="pct"/>
          </w:tcPr>
          <w:p>
            <w:pPr>
              <w:pStyle w:val="10"/>
              <w:spacing w:line="360" w:lineRule="auto"/>
              <w:jc w:val="center"/>
              <w:rPr>
                <w:rFonts w:hAnsi="宋体" w:cs="宋体"/>
                <w:i w:val="0"/>
                <w:iCs w:val="0"/>
                <w:snapToGrid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i w:val="0"/>
                <w:iCs w:val="0"/>
                <w:sz w:val="21"/>
                <w:szCs w:val="21"/>
                <w:highlight w:val="none"/>
              </w:rPr>
              <w:t>项目备案文号</w:t>
            </w:r>
          </w:p>
        </w:tc>
        <w:tc>
          <w:tcPr>
            <w:tcW w:w="177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2410-440783-04-01-331779</w:t>
            </w:r>
          </w:p>
        </w:tc>
        <w:tc>
          <w:tcPr>
            <w:tcW w:w="166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2410-440783-04-01-830140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" w:type="pct"/>
          </w:tcPr>
          <w:p>
            <w:pPr>
              <w:pStyle w:val="10"/>
              <w:spacing w:line="360" w:lineRule="auto"/>
              <w:jc w:val="center"/>
              <w:rPr>
                <w:rFonts w:hAnsi="宋体" w:cs="宋体"/>
                <w:i w:val="0"/>
                <w:iCs w:val="0"/>
                <w:snapToGrid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i w:val="0"/>
                <w:iCs w:val="0"/>
                <w:snapToGrid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284" w:type="pct"/>
          </w:tcPr>
          <w:p>
            <w:pPr>
              <w:pStyle w:val="10"/>
              <w:spacing w:line="360" w:lineRule="auto"/>
              <w:jc w:val="center"/>
              <w:rPr>
                <w:rFonts w:hAnsi="宋体" w:cs="宋体"/>
                <w:i w:val="0"/>
                <w:iCs w:val="0"/>
                <w:snapToGrid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i w:val="0"/>
                <w:iCs w:val="0"/>
                <w:sz w:val="21"/>
                <w:szCs w:val="21"/>
                <w:highlight w:val="none"/>
              </w:rPr>
              <w:t>初设批复文号</w:t>
            </w:r>
          </w:p>
        </w:tc>
        <w:tc>
          <w:tcPr>
            <w:tcW w:w="177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江供电建〔2025〕88号</w:t>
            </w:r>
          </w:p>
        </w:tc>
        <w:tc>
          <w:tcPr>
            <w:tcW w:w="166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广电建〔2025〕134号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" w:type="pct"/>
          </w:tcPr>
          <w:p>
            <w:pPr>
              <w:pStyle w:val="10"/>
              <w:spacing w:line="360" w:lineRule="auto"/>
              <w:jc w:val="center"/>
              <w:rPr>
                <w:rFonts w:hAnsi="宋体" w:cs="宋体"/>
                <w:i w:val="0"/>
                <w:iCs w:val="0"/>
                <w:snapToGrid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i w:val="0"/>
                <w:iCs w:val="0"/>
                <w:snapToGrid w:val="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284" w:type="pct"/>
          </w:tcPr>
          <w:p>
            <w:pPr>
              <w:pStyle w:val="10"/>
              <w:spacing w:line="360" w:lineRule="auto"/>
              <w:jc w:val="center"/>
              <w:rPr>
                <w:rFonts w:hAnsi="宋体" w:cs="宋体"/>
                <w:i w:val="0"/>
                <w:iCs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i w:val="0"/>
                <w:iCs w:val="0"/>
                <w:sz w:val="21"/>
                <w:szCs w:val="21"/>
                <w:highlight w:val="none"/>
              </w:rPr>
              <w:t>资金落实情况</w:t>
            </w:r>
          </w:p>
        </w:tc>
        <w:tc>
          <w:tcPr>
            <w:tcW w:w="177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江供电计〔2025〕9号</w:t>
            </w:r>
          </w:p>
        </w:tc>
        <w:tc>
          <w:tcPr>
            <w:tcW w:w="166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江供电计〔2025〕9号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" w:type="pct"/>
          </w:tcPr>
          <w:p>
            <w:pPr>
              <w:pStyle w:val="10"/>
              <w:spacing w:line="360" w:lineRule="auto"/>
              <w:jc w:val="center"/>
              <w:rPr>
                <w:rFonts w:hAnsi="宋体" w:cs="宋体"/>
                <w:i w:val="0"/>
                <w:iCs w:val="0"/>
                <w:snapToGrid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i w:val="0"/>
                <w:iCs w:val="0"/>
                <w:snapToGrid w:val="0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284" w:type="pct"/>
          </w:tcPr>
          <w:p>
            <w:pPr>
              <w:pStyle w:val="10"/>
              <w:spacing w:line="360" w:lineRule="auto"/>
              <w:jc w:val="center"/>
              <w:rPr>
                <w:rFonts w:hAnsi="宋体" w:cs="宋体"/>
                <w:i w:val="0"/>
                <w:iCs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i w:val="0"/>
                <w:iCs w:val="0"/>
                <w:sz w:val="21"/>
                <w:szCs w:val="21"/>
                <w:highlight w:val="none"/>
              </w:rPr>
              <w:t>施工图预算批复文号</w:t>
            </w:r>
          </w:p>
        </w:tc>
        <w:tc>
          <w:tcPr>
            <w:tcW w:w="177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江供电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建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〔2025〕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195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号</w:t>
            </w:r>
          </w:p>
        </w:tc>
        <w:tc>
          <w:tcPr>
            <w:tcW w:w="166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广电建〔2025〕192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" w:type="pct"/>
          </w:tcPr>
          <w:p>
            <w:pPr>
              <w:pStyle w:val="10"/>
              <w:spacing w:line="360" w:lineRule="auto"/>
              <w:jc w:val="center"/>
              <w:rPr>
                <w:rFonts w:hAnsi="宋体" w:cs="宋体"/>
                <w:i w:val="0"/>
                <w:iCs w:val="0"/>
                <w:snapToGrid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i w:val="0"/>
                <w:iCs w:val="0"/>
                <w:snapToGrid w:val="0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1284" w:type="pct"/>
          </w:tcPr>
          <w:p>
            <w:pPr>
              <w:pStyle w:val="10"/>
              <w:spacing w:line="360" w:lineRule="auto"/>
              <w:jc w:val="center"/>
              <w:rPr>
                <w:rFonts w:hAnsi="宋体" w:cs="宋体"/>
                <w:i w:val="0"/>
                <w:iCs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i w:val="0"/>
                <w:iCs w:val="0"/>
                <w:sz w:val="21"/>
                <w:szCs w:val="21"/>
                <w:highlight w:val="none"/>
              </w:rPr>
              <w:t>项目建设单位</w:t>
            </w:r>
          </w:p>
        </w:tc>
        <w:tc>
          <w:tcPr>
            <w:tcW w:w="177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outlineLvl w:val="9"/>
              <w:rPr>
                <w:rFonts w:hint="eastAsia" w:ascii="Calibri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江门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供电局</w:t>
            </w:r>
          </w:p>
        </w:tc>
        <w:tc>
          <w:tcPr>
            <w:tcW w:w="166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江门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供电局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" w:type="pct"/>
          </w:tcPr>
          <w:p>
            <w:pPr>
              <w:pStyle w:val="10"/>
              <w:spacing w:line="360" w:lineRule="auto"/>
              <w:jc w:val="center"/>
              <w:rPr>
                <w:rFonts w:hAnsi="宋体" w:cs="宋体"/>
                <w:i w:val="0"/>
                <w:iCs w:val="0"/>
                <w:snapToGrid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i w:val="0"/>
                <w:iCs w:val="0"/>
                <w:snapToGrid w:val="0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1284" w:type="pct"/>
          </w:tcPr>
          <w:p>
            <w:pPr>
              <w:pStyle w:val="10"/>
              <w:spacing w:line="360" w:lineRule="auto"/>
              <w:jc w:val="center"/>
              <w:rPr>
                <w:rFonts w:hAnsi="宋体" w:cs="宋体"/>
                <w:i w:val="0"/>
                <w:iCs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i w:val="0"/>
                <w:iCs w:val="0"/>
                <w:sz w:val="21"/>
                <w:szCs w:val="21"/>
                <w:highlight w:val="none"/>
              </w:rPr>
              <w:t>项目建设地点</w:t>
            </w:r>
          </w:p>
        </w:tc>
        <w:tc>
          <w:tcPr>
            <w:tcW w:w="177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outlineLvl w:val="9"/>
              <w:rPr>
                <w:rFonts w:hint="eastAsia" w:ascii="Calibri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江门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市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开平市塘口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镇</w:t>
            </w:r>
          </w:p>
        </w:tc>
        <w:tc>
          <w:tcPr>
            <w:tcW w:w="166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江门市开平市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长沙街道办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" w:type="pct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 w:hAnsi="宋体" w:cs="宋体"/>
                <w:i w:val="0"/>
                <w:iCs w:val="0"/>
                <w:snapToGrid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i w:val="0"/>
                <w:iCs w:val="0"/>
                <w:snapToGrid w:val="0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1284" w:type="pct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 w:hAnsi="宋体" w:cs="宋体"/>
                <w:i w:val="0"/>
                <w:i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i w:val="0"/>
                <w:iCs w:val="0"/>
                <w:sz w:val="21"/>
                <w:szCs w:val="21"/>
                <w:highlight w:val="none"/>
              </w:rPr>
              <w:t>工     期</w:t>
            </w:r>
          </w:p>
        </w:tc>
        <w:tc>
          <w:tcPr>
            <w:tcW w:w="1774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计划工期：366日历天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计划开工日期：2025年12月30日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计划竣工日期：2026年12月31日</w:t>
            </w:r>
          </w:p>
        </w:tc>
        <w:tc>
          <w:tcPr>
            <w:tcW w:w="166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计划工期：547日历天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计划开工日期：2025年12月30日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计划竣工日期：2027年6月30日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" w:type="pct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 w:hAnsi="宋体" w:cs="宋体"/>
                <w:i w:val="0"/>
                <w:iCs w:val="0"/>
                <w:snapToGrid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i w:val="0"/>
                <w:iCs w:val="0"/>
                <w:snapToGrid w:val="0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1284" w:type="pct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 w:hAnsi="宋体" w:cs="宋体"/>
                <w:i w:val="0"/>
                <w:i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i w:val="0"/>
                <w:iCs w:val="0"/>
                <w:sz w:val="21"/>
                <w:szCs w:val="21"/>
                <w:highlight w:val="none"/>
              </w:rPr>
              <w:t>项目可研单位</w:t>
            </w:r>
          </w:p>
        </w:tc>
        <w:tc>
          <w:tcPr>
            <w:tcW w:w="177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江门电力设计院有限公司</w:t>
            </w:r>
          </w:p>
        </w:tc>
        <w:tc>
          <w:tcPr>
            <w:tcW w:w="166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江门电力设计院有限公司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" w:type="pct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 w:hAnsi="宋体" w:cs="宋体"/>
                <w:i w:val="0"/>
                <w:iCs w:val="0"/>
                <w:snapToGrid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i w:val="0"/>
                <w:iCs w:val="0"/>
                <w:snapToGrid w:val="0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1284" w:type="pct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 w:hAnsi="宋体" w:cs="宋体"/>
                <w:i w:val="0"/>
                <w:i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i w:val="0"/>
                <w:iCs w:val="0"/>
                <w:sz w:val="21"/>
                <w:szCs w:val="21"/>
                <w:highlight w:val="none"/>
              </w:rPr>
              <w:t>项目勘察设计单位</w:t>
            </w:r>
          </w:p>
        </w:tc>
        <w:tc>
          <w:tcPr>
            <w:tcW w:w="177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中联合创设计有限公司</w:t>
            </w:r>
          </w:p>
        </w:tc>
        <w:tc>
          <w:tcPr>
            <w:tcW w:w="166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中联合创设计有限公司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" w:type="pct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 w:hAnsi="宋体" w:cs="宋体"/>
                <w:i w:val="0"/>
                <w:iCs w:val="0"/>
                <w:snapToGrid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i w:val="0"/>
                <w:iCs w:val="0"/>
                <w:snapToGrid w:val="0"/>
                <w:sz w:val="21"/>
                <w:szCs w:val="21"/>
                <w:highlight w:val="none"/>
              </w:rPr>
              <w:t>11</w:t>
            </w:r>
          </w:p>
        </w:tc>
        <w:tc>
          <w:tcPr>
            <w:tcW w:w="1284" w:type="pct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 w:hAnsi="宋体" w:cs="宋体"/>
                <w:i w:val="0"/>
                <w:i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i w:val="0"/>
                <w:iCs w:val="0"/>
                <w:sz w:val="21"/>
                <w:szCs w:val="21"/>
                <w:highlight w:val="none"/>
              </w:rPr>
              <w:t>项目监理单位</w:t>
            </w:r>
          </w:p>
        </w:tc>
        <w:tc>
          <w:tcPr>
            <w:tcW w:w="1774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江门明浩电力工程监理有限公司</w:t>
            </w:r>
          </w:p>
        </w:tc>
        <w:tc>
          <w:tcPr>
            <w:tcW w:w="1662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江门明浩电力工程监理有限公司</w:t>
            </w:r>
          </w:p>
        </w:tc>
      </w:tr>
    </w:tbl>
    <w:p>
      <w:pPr>
        <w:pStyle w:val="10"/>
        <w:spacing w:line="360" w:lineRule="auto"/>
        <w:rPr>
          <w:rFonts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highlight w:val="none"/>
        </w:rPr>
        <w:t>（一）项目概况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：</w:t>
      </w:r>
      <w:bookmarkEnd w:id="0"/>
      <w:bookmarkStart w:id="1" w:name="_Toc4755"/>
      <w:bookmarkStart w:id="2" w:name="_Toc28718"/>
      <w:bookmarkStart w:id="3" w:name="_Toc13498"/>
    </w:p>
    <w:bookmarkEnd w:id="1"/>
    <w:bookmarkEnd w:id="2"/>
    <w:bookmarkEnd w:id="3"/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Theme="minorEastAsia" w:hAnsiTheme="minorEastAsia" w:eastAsiaTheme="minorEastAsia" w:cstheme="minorEastAsia"/>
          <w:b/>
          <w:bCs/>
          <w:i w:val="0"/>
          <w:iCs w:val="0"/>
          <w:snapToGrid w:val="0"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napToGrid w:val="0"/>
          <w:color w:val="auto"/>
          <w:kern w:val="0"/>
          <w:sz w:val="21"/>
          <w:szCs w:val="21"/>
          <w:highlight w:val="none"/>
          <w:u w:val="none"/>
          <w:lang w:val="en-US" w:eastAsia="zh-CN"/>
        </w:rPr>
        <w:t>江门供电局500kV五邑巡维中心技术业务用房项目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项目拟建建筑物1座，</w:t>
      </w:r>
      <w:r>
        <w:rPr>
          <w:rFonts w:hint="eastAsia" w:ascii="宋体" w:hAnsi="宋体" w:eastAsia="宋体" w:cs="宋体"/>
          <w:sz w:val="21"/>
          <w:szCs w:val="21"/>
        </w:rPr>
        <w:t>地上3 层，地下0层，建筑基底面积387.50 平方米，总建</w:t>
      </w:r>
      <w:bookmarkStart w:id="4" w:name="_GoBack"/>
      <w:bookmarkEnd w:id="4"/>
      <w:r>
        <w:rPr>
          <w:rFonts w:hint="eastAsia" w:ascii="宋体" w:hAnsi="宋体" w:eastAsia="宋体" w:cs="宋体"/>
          <w:sz w:val="21"/>
          <w:szCs w:val="21"/>
        </w:rPr>
        <w:t>筑面积 1171.63平方米，建筑高度 12.55 米。</w:t>
      </w:r>
    </w:p>
    <w:p>
      <w:pPr>
        <w:pStyle w:val="2"/>
        <w:ind w:left="0" w:leftChars="0" w:firstLine="0" w:firstLineChars="0"/>
        <w:rPr>
          <w:rFonts w:hint="default" w:asciiTheme="minorEastAsia" w:hAnsiTheme="minorEastAsia" w:eastAsiaTheme="minorEastAsia" w:cstheme="minorEastAsia"/>
          <w:b/>
          <w:bCs/>
          <w:i w:val="0"/>
          <w:iCs w:val="0"/>
          <w:snapToGrid w:val="0"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napToGrid w:val="0"/>
          <w:color w:val="auto"/>
          <w:kern w:val="0"/>
          <w:sz w:val="21"/>
          <w:szCs w:val="21"/>
          <w:highlight w:val="none"/>
          <w:u w:val="none"/>
          <w:lang w:val="en-US" w:eastAsia="zh-CN"/>
        </w:rPr>
        <w:t>2、江门供电局（开平）职工宿舍项目</w:t>
      </w:r>
    </w:p>
    <w:p>
      <w:pPr>
        <w:pStyle w:val="2"/>
        <w:ind w:left="0" w:leftChars="0" w:firstLine="0" w:firstLineChars="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项目拟建建筑物1座，</w:t>
      </w:r>
      <w:r>
        <w:rPr>
          <w:rFonts w:hint="eastAsia" w:ascii="宋体" w:hAnsi="宋体" w:eastAsia="宋体" w:cs="宋体"/>
          <w:sz w:val="21"/>
          <w:szCs w:val="21"/>
        </w:rPr>
        <w:t>地上8层，地下1层，建筑基底面积722.60平方米，总建筑面积5964.71平方米，建筑高度23.</w:t>
      </w:r>
      <w:r>
        <w:rPr>
          <w:rFonts w:hint="eastAsia" w:ascii="宋体" w:hAnsi="宋体" w:cs="宋体"/>
          <w:sz w:val="21"/>
          <w:szCs w:val="21"/>
          <w:lang w:val="en-US" w:eastAsia="zh-CN"/>
        </w:rPr>
        <w:t>75</w:t>
      </w:r>
      <w:r>
        <w:rPr>
          <w:rFonts w:hint="eastAsia" w:ascii="宋体" w:hAnsi="宋体" w:eastAsia="宋体" w:cs="宋体"/>
          <w:sz w:val="21"/>
          <w:szCs w:val="21"/>
        </w:rPr>
        <w:t>米。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注：具体建设规模以施工图纸为准。</w:t>
      </w:r>
    </w:p>
    <w:p>
      <w:pPr>
        <w:spacing w:line="360" w:lineRule="auto"/>
        <w:rPr>
          <w:rFonts w:asciiTheme="minorEastAsia" w:hAnsiTheme="minorEastAsia" w:eastAsiaTheme="minorEastAsia" w:cstheme="minorEastAsia"/>
          <w:b/>
          <w:bCs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1"/>
          <w:highlight w:val="none"/>
        </w:rPr>
        <w:t>（二）采购范围：</w:t>
      </w:r>
    </w:p>
    <w:p>
      <w:pPr>
        <w:pStyle w:val="6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auto"/>
          <w:kern w:val="0"/>
          <w:sz w:val="21"/>
          <w:szCs w:val="21"/>
          <w:lang w:val="en-US" w:eastAsia="zh-CN" w:bidi="ar-SA"/>
        </w:rPr>
        <w:t>1.建筑工程包括拆除工程、土石方工程、基础工程、砌筑工程、地下室结构工程、地下室室内装修工程、地上结构工程、门窗工程、地上室内装修工程、地上外立面装修工程、屋面及防水防腐工程、室外道路工程、场地工程、园林绿化工程、VI标识系统工程、围墙工程、场地大型土石方工程等。具体内容以施工图纸及招标工程量清单为准。</w:t>
      </w:r>
    </w:p>
    <w:p>
      <w:pPr>
        <w:pStyle w:val="6"/>
        <w:numPr>
          <w:ilvl w:val="0"/>
          <w:numId w:val="0"/>
        </w:numPr>
        <w:spacing w:line="360" w:lineRule="auto"/>
        <w:rPr>
          <w:rFonts w:hint="eastAsia" w:ascii="宋体" w:hAnsi="宋体" w:cs="宋体"/>
          <w:b w:val="0"/>
          <w:i w:val="0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auto"/>
          <w:kern w:val="0"/>
          <w:sz w:val="21"/>
          <w:szCs w:val="21"/>
          <w:lang w:val="en-US" w:eastAsia="zh-CN" w:bidi="ar-SA"/>
        </w:rPr>
        <w:t>2.安装工程包括室内外电气工程（含防雷接地）、室内外给排水工程、通风空调工程、消防工程、低压供配电工程、智能化工程、视频监控及安全警卫系统工程、电梯工程（包括设备采购、安装调试，并依据当地主管部门规定办理相关证件）等。具体内</w:t>
      </w:r>
      <w:r>
        <w:rPr>
          <w:rFonts w:hint="eastAsia" w:ascii="宋体" w:hAnsi="宋体" w:cs="宋体"/>
          <w:b w:val="0"/>
          <w:i w:val="0"/>
          <w:color w:val="auto"/>
          <w:kern w:val="0"/>
          <w:sz w:val="21"/>
          <w:szCs w:val="21"/>
          <w:lang w:val="en-US" w:eastAsia="zh-CN" w:bidi="ar-SA"/>
        </w:rPr>
        <w:t>容以施工图纸及招标工程量清单为准。</w:t>
      </w:r>
    </w:p>
    <w:p>
      <w:pPr>
        <w:pStyle w:val="6"/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b w:val="0"/>
          <w:i w:val="0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b w:val="0"/>
          <w:i w:val="0"/>
          <w:color w:val="auto"/>
          <w:kern w:val="0"/>
          <w:sz w:val="21"/>
          <w:szCs w:val="21"/>
          <w:lang w:val="en-US" w:eastAsia="zh-CN" w:bidi="ar-SA"/>
        </w:rPr>
        <w:t>3.施工总包管理、配合、服务，负责办理工程开工所需的各项手续和施工专项方案的评审（含费用），负责收集、整理、归档所有关于本工程范围内的工程资料，负责处理与本项目建设相关部门的联系工作等。</w:t>
      </w:r>
    </w:p>
    <w:p>
      <w:pPr>
        <w:pStyle w:val="6"/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i w:val="0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olor w:val="auto"/>
          <w:kern w:val="2"/>
          <w:sz w:val="21"/>
          <w:szCs w:val="21"/>
          <w:highlight w:val="none"/>
          <w:lang w:val="en-US" w:eastAsia="zh-CN" w:bidi="ar-SA"/>
        </w:rPr>
        <w:t>（三）承包方式：</w:t>
      </w:r>
    </w:p>
    <w:p>
      <w:pPr>
        <w:pStyle w:val="10"/>
        <w:spacing w:line="360" w:lineRule="auto"/>
        <w:ind w:firstLine="420" w:firstLineChars="200"/>
        <w:rPr>
          <w:rFonts w:hint="eastAsia" w:ascii="宋体" w:hAnsi="宋体" w:eastAsia="宋体" w:cs="宋体"/>
          <w:b w:val="0"/>
          <w:i w:val="0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auto"/>
          <w:kern w:val="0"/>
          <w:sz w:val="21"/>
          <w:szCs w:val="21"/>
          <w:lang w:val="en-US" w:eastAsia="zh-CN" w:bidi="ar-SA"/>
        </w:rPr>
        <w:t>包括但不限于包工、包料、包设备、包措施、包报建、包质量、包安全生产（职业健康安全管理）、包文明施工（施工现场环境管理）、包材料检验损耗、包施工扬尘控制、包实名用工、包工期、包承包范围内工程验收通过、包移交、包结算、包保修、包创优工程的组织实施工作和资料整理、包施工总承包管理和现场整体组织、包专业协调及配合、包承包人应当购买的保险、包竣工资料编制（须满足规划等各专项验收要求）等。</w:t>
      </w:r>
    </w:p>
    <w:p>
      <w:pPr>
        <w:pStyle w:val="10"/>
        <w:spacing w:line="360" w:lineRule="auto"/>
        <w:ind w:firstLine="420" w:firstLineChars="200"/>
        <w:rPr>
          <w:rFonts w:hint="eastAsia" w:ascii="宋体" w:hAnsi="宋体" w:eastAsia="宋体" w:cs="宋体"/>
          <w:b w:val="0"/>
          <w:i w:val="0"/>
          <w:color w:val="auto"/>
          <w:kern w:val="0"/>
          <w:sz w:val="21"/>
          <w:szCs w:val="21"/>
          <w:lang w:val="en-US" w:eastAsia="zh-CN" w:bidi="ar-SA"/>
        </w:rPr>
      </w:pPr>
    </w:p>
    <w:p>
      <w:pPr>
        <w:pStyle w:val="10"/>
        <w:spacing w:line="360" w:lineRule="auto"/>
        <w:ind w:firstLine="420" w:firstLineChars="200"/>
        <w:rPr>
          <w:rFonts w:hint="eastAsia" w:ascii="宋体" w:hAnsi="宋体" w:eastAsia="宋体" w:cs="宋体"/>
          <w:b w:val="0"/>
          <w:i w:val="0"/>
          <w:color w:val="auto"/>
          <w:kern w:val="0"/>
          <w:sz w:val="21"/>
          <w:szCs w:val="21"/>
          <w:lang w:val="en-US" w:eastAsia="zh-CN" w:bidi="ar-SA"/>
        </w:rPr>
      </w:pPr>
    </w:p>
    <w:p>
      <w:pPr>
        <w:pStyle w:val="10"/>
        <w:spacing w:line="360" w:lineRule="auto"/>
        <w:ind w:firstLine="420" w:firstLineChars="200"/>
        <w:rPr>
          <w:rFonts w:hint="eastAsia" w:ascii="宋体" w:hAnsi="宋体" w:eastAsia="宋体" w:cs="宋体"/>
          <w:b w:val="0"/>
          <w:i w:val="0"/>
          <w:color w:val="auto"/>
          <w:kern w:val="0"/>
          <w:sz w:val="21"/>
          <w:szCs w:val="21"/>
          <w:lang w:val="en-US" w:eastAsia="zh-CN" w:bidi="ar-SA"/>
        </w:rPr>
      </w:pPr>
    </w:p>
    <w:p>
      <w:pPr>
        <w:pStyle w:val="10"/>
        <w:spacing w:line="360" w:lineRule="auto"/>
        <w:ind w:firstLine="420" w:firstLineChars="200"/>
        <w:rPr>
          <w:rFonts w:hint="eastAsia" w:ascii="宋体" w:hAnsi="宋体" w:eastAsia="宋体" w:cs="宋体"/>
          <w:b w:val="0"/>
          <w:i w:val="0"/>
          <w:color w:val="auto"/>
          <w:kern w:val="0"/>
          <w:sz w:val="21"/>
          <w:szCs w:val="21"/>
          <w:lang w:val="en-US" w:eastAsia="zh-CN" w:bidi="ar-SA"/>
        </w:rPr>
      </w:pPr>
    </w:p>
    <w:p>
      <w:pPr>
        <w:pStyle w:val="10"/>
        <w:spacing w:line="360" w:lineRule="auto"/>
        <w:ind w:firstLine="420" w:firstLineChars="200"/>
        <w:rPr>
          <w:rFonts w:hint="eastAsia" w:ascii="宋体" w:hAnsi="宋体" w:eastAsia="宋体" w:cs="宋体"/>
          <w:b w:val="0"/>
          <w:i w:val="0"/>
          <w:color w:val="auto"/>
          <w:kern w:val="0"/>
          <w:sz w:val="21"/>
          <w:szCs w:val="21"/>
          <w:lang w:val="en-US" w:eastAsia="zh-CN" w:bidi="ar-SA"/>
        </w:rPr>
      </w:pPr>
    </w:p>
    <w:p>
      <w:pPr>
        <w:pStyle w:val="10"/>
        <w:spacing w:line="360" w:lineRule="auto"/>
        <w:ind w:firstLine="420" w:firstLineChars="200"/>
        <w:rPr>
          <w:rFonts w:hint="eastAsia" w:ascii="宋体" w:hAnsi="宋体" w:eastAsia="宋体" w:cs="宋体"/>
          <w:b w:val="0"/>
          <w:i w:val="0"/>
          <w:color w:val="auto"/>
          <w:kern w:val="0"/>
          <w:sz w:val="21"/>
          <w:szCs w:val="21"/>
          <w:lang w:val="en-US" w:eastAsia="zh-CN" w:bidi="ar-SA"/>
        </w:rPr>
      </w:pPr>
    </w:p>
    <w:p>
      <w:pPr>
        <w:pStyle w:val="10"/>
        <w:spacing w:line="360" w:lineRule="auto"/>
        <w:ind w:firstLine="420" w:firstLineChars="200"/>
        <w:rPr>
          <w:rFonts w:hint="eastAsia" w:ascii="宋体" w:hAnsi="宋体" w:eastAsia="宋体" w:cs="宋体"/>
          <w:b w:val="0"/>
          <w:i w:val="0"/>
          <w:color w:val="auto"/>
          <w:kern w:val="0"/>
          <w:sz w:val="21"/>
          <w:szCs w:val="21"/>
          <w:lang w:val="en-US" w:eastAsia="zh-CN" w:bidi="ar-SA"/>
        </w:rPr>
      </w:pPr>
    </w:p>
    <w:p>
      <w:pPr>
        <w:pStyle w:val="10"/>
        <w:spacing w:line="360" w:lineRule="auto"/>
        <w:ind w:firstLine="420" w:firstLineChars="200"/>
        <w:rPr>
          <w:rFonts w:hint="eastAsia" w:ascii="宋体" w:hAnsi="宋体" w:eastAsia="宋体" w:cs="宋体"/>
          <w:b w:val="0"/>
          <w:i w:val="0"/>
          <w:color w:val="auto"/>
          <w:kern w:val="0"/>
          <w:sz w:val="21"/>
          <w:szCs w:val="21"/>
          <w:lang w:val="en-US" w:eastAsia="zh-CN" w:bidi="ar-SA"/>
        </w:rPr>
      </w:pPr>
    </w:p>
    <w:p>
      <w:pPr>
        <w:pStyle w:val="10"/>
        <w:spacing w:line="360" w:lineRule="auto"/>
        <w:ind w:firstLine="420" w:firstLineChars="200"/>
        <w:rPr>
          <w:rFonts w:hint="eastAsia" w:ascii="宋体" w:hAnsi="宋体" w:eastAsia="宋体" w:cs="宋体"/>
          <w:b w:val="0"/>
          <w:i w:val="0"/>
          <w:color w:val="auto"/>
          <w:kern w:val="0"/>
          <w:sz w:val="21"/>
          <w:szCs w:val="21"/>
          <w:lang w:val="en-US" w:eastAsia="zh-CN" w:bidi="ar-SA"/>
        </w:rPr>
      </w:pPr>
    </w:p>
    <w:p>
      <w:pPr>
        <w:pStyle w:val="10"/>
        <w:spacing w:line="360" w:lineRule="auto"/>
        <w:ind w:firstLine="420" w:firstLineChars="200"/>
        <w:rPr>
          <w:rFonts w:hint="eastAsia" w:ascii="宋体" w:hAnsi="宋体" w:eastAsia="宋体" w:cs="宋体"/>
          <w:b w:val="0"/>
          <w:i w:val="0"/>
          <w:color w:val="auto"/>
          <w:kern w:val="0"/>
          <w:sz w:val="21"/>
          <w:szCs w:val="21"/>
          <w:lang w:val="en-US" w:eastAsia="zh-CN" w:bidi="ar-SA"/>
        </w:rPr>
      </w:pPr>
    </w:p>
    <w:p>
      <w:pPr>
        <w:pStyle w:val="10"/>
        <w:spacing w:line="360" w:lineRule="auto"/>
        <w:ind w:firstLine="420" w:firstLineChars="200"/>
        <w:rPr>
          <w:rFonts w:hint="eastAsia" w:ascii="宋体" w:hAnsi="宋体" w:eastAsia="宋体" w:cs="宋体"/>
          <w:b w:val="0"/>
          <w:i w:val="0"/>
          <w:color w:val="auto"/>
          <w:kern w:val="0"/>
          <w:sz w:val="21"/>
          <w:szCs w:val="21"/>
          <w:lang w:val="en-US" w:eastAsia="zh-CN" w:bidi="ar-SA"/>
        </w:rPr>
      </w:pPr>
    </w:p>
    <w:p>
      <w:pPr>
        <w:pStyle w:val="6"/>
        <w:spacing w:line="360" w:lineRule="auto"/>
        <w:rPr>
          <w:rFonts w:hint="eastAsia" w:asciiTheme="minorEastAsia" w:hAnsiTheme="minorEastAsia" w:eastAsiaTheme="minorEastAsia" w:cstheme="minorEastAsia"/>
          <w:bCs/>
          <w:i w:val="0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i w:val="0"/>
          <w:color w:val="auto"/>
          <w:sz w:val="21"/>
          <w:szCs w:val="21"/>
          <w:highlight w:val="none"/>
        </w:rPr>
        <w:t>（四）报价表</w:t>
      </w:r>
    </w:p>
    <w:tbl>
      <w:tblPr>
        <w:tblStyle w:val="13"/>
        <w:tblW w:w="833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9"/>
        <w:gridCol w:w="1425"/>
        <w:gridCol w:w="1213"/>
        <w:gridCol w:w="1417"/>
        <w:gridCol w:w="920"/>
        <w:gridCol w:w="824"/>
        <w:gridCol w:w="1028"/>
        <w:gridCol w:w="784"/>
        <w:gridCol w:w="32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1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hAnsi="宋体" w:cs="宋体"/>
                <w:b/>
                <w:bCs/>
                <w:snapToGrid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  <w:highlight w:val="none"/>
              </w:rPr>
              <w:t>序　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hAnsi="宋体" w:cs="宋体"/>
                <w:b/>
                <w:bCs/>
                <w:snapToGrid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  <w:highlight w:val="none"/>
              </w:rPr>
              <w:t>工程或费用名称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hAnsi="宋体" w:cs="宋体"/>
                <w:b/>
                <w:bCs/>
                <w:snapToGrid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  <w:highlight w:val="none"/>
              </w:rPr>
              <w:t>最高投标限价（</w:t>
            </w: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  <w:highlight w:val="none"/>
                <w:lang w:eastAsia="zh-CN"/>
              </w:rPr>
              <w:t>万</w:t>
            </w: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  <w:highlight w:val="none"/>
              </w:rPr>
              <w:t>元）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hAnsi="宋体" w:cs="宋体"/>
                <w:b/>
                <w:bCs/>
                <w:snapToGrid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  <w:highlight w:val="none"/>
              </w:rPr>
              <w:t>其中安全生产措施费（元）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hAnsi="宋体" w:cs="宋体"/>
                <w:b/>
                <w:bCs/>
                <w:snapToGrid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  <w:highlight w:val="none"/>
              </w:rPr>
              <w:t>暂估价（</w:t>
            </w: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  <w:highlight w:val="none"/>
                <w:lang w:eastAsia="zh-CN"/>
              </w:rPr>
              <w:t>万</w:t>
            </w: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  <w:highlight w:val="none"/>
              </w:rPr>
              <w:t>元）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hAnsi="宋体" w:cs="宋体"/>
                <w:b/>
                <w:bCs/>
                <w:snapToGrid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  <w:highlight w:val="none"/>
              </w:rPr>
              <w:t>投标报价（</w:t>
            </w: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  <w:highlight w:val="none"/>
                <w:lang w:eastAsia="zh-CN"/>
              </w:rPr>
              <w:t>万</w:t>
            </w: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  <w:highlight w:val="none"/>
              </w:rPr>
              <w:t>元）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hAnsi="宋体" w:cs="宋体"/>
                <w:b/>
                <w:bCs/>
                <w:snapToGrid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  <w:highlight w:val="none"/>
              </w:rPr>
              <w:t>其中安全生产措施费（元）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hAnsi="宋体" w:cs="宋体"/>
                <w:b/>
                <w:bCs/>
                <w:snapToGrid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  <w:highlight w:val="none"/>
              </w:rPr>
              <w:t>暂估价（</w:t>
            </w: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  <w:highlight w:val="none"/>
                <w:lang w:eastAsia="zh-CN"/>
              </w:rPr>
              <w:t>万</w:t>
            </w: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  <w:highlight w:val="none"/>
              </w:rPr>
              <w:t>元）</w:t>
            </w: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hAnsi="宋体" w:cs="宋体"/>
                <w:b/>
                <w:bCs/>
                <w:snapToGrid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  <w:highlight w:val="none"/>
              </w:rPr>
              <w:t>备  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4" w:hRule="atLeast"/>
        </w:trPr>
        <w:tc>
          <w:tcPr>
            <w:tcW w:w="3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/>
                <w:lang w:val="en-US" w:eastAsia="zh-CN"/>
              </w:rPr>
              <w:t>江门供电局500kV五邑巡维中心技术业务用房项目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491.52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val="en-US" w:eastAsia="zh-CN"/>
              </w:rPr>
              <w:t>32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146178.64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0.00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3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0" w:hRule="atLeast"/>
        </w:trPr>
        <w:tc>
          <w:tcPr>
            <w:tcW w:w="3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/>
                <w:lang w:val="en-US" w:eastAsia="zh-CN"/>
              </w:rPr>
              <w:t>江门供电局（开平）职工宿舍项目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2466.95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val="en-US" w:eastAsia="zh-CN"/>
              </w:rPr>
              <w:t>28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648862.49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100.00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3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hAnsi="宋体" w:cs="宋体"/>
                <w:b/>
                <w:bCs/>
                <w:snapToGrid w:val="0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b/>
                <w:bCs/>
                <w:snapToGrid w:val="0"/>
                <w:sz w:val="21"/>
                <w:szCs w:val="21"/>
                <w:highlight w:val="none"/>
              </w:rPr>
              <w:t>合计（小写）：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2958.4760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795041.13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100.00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7" w:hRule="atLeast"/>
        </w:trPr>
        <w:tc>
          <w:tcPr>
            <w:tcW w:w="8333" w:type="dxa"/>
            <w:gridSpan w:val="9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lang w:bidi="ar"/>
              </w:rPr>
              <w:t>报价要求：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lang w:bidi="ar"/>
              </w:rPr>
              <w:t>（1）金额报价。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lang w:bidi="ar"/>
              </w:rPr>
              <w:t>（2）投标人所报的金额≤最高投标限价的为有效报价，为避免恶意竞争，低于成本价报价，投标报价＜最高限价的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lang w:val="en-US" w:eastAsia="zh-CN" w:bidi="ar"/>
              </w:rPr>
              <w:t>85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lang w:bidi="ar"/>
              </w:rPr>
              <w:t>%时应在投标文件中附成本分析报告。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lang w:bidi="ar"/>
              </w:rPr>
              <w:t>（3）安全生产措施费、暂估价需按照公布的金额固定报价，不得自行变更，否则视为原则性不响应招标文件要求，作否决投标处理。安全生产措施费报价应按招标文件列出金额填报，各分部分项工程的安全生产措施费由投标人自行报价。</w:t>
            </w:r>
          </w:p>
        </w:tc>
      </w:tr>
    </w:tbl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i/>
          <w:iCs/>
          <w:szCs w:val="21"/>
          <w:highlight w:val="none"/>
        </w:rPr>
      </w:pPr>
    </w:p>
    <w:p>
      <w:pPr>
        <w:pStyle w:val="10"/>
        <w:spacing w:line="480" w:lineRule="atLeast"/>
        <w:ind w:firstLine="400" w:firstLineChars="200"/>
        <w:rPr>
          <w:rFonts w:asciiTheme="minorEastAsia" w:hAnsiTheme="minorEastAsia" w:eastAsiaTheme="minorEastAsia" w:cstheme="minorEastAsia"/>
          <w:highlight w:val="none"/>
        </w:rPr>
      </w:pPr>
    </w:p>
    <w:sectPr>
      <w:pgSz w:w="11906" w:h="16838"/>
      <w:pgMar w:top="1440" w:right="16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NjRjYzNlZWVmZTc3N2RkNGJmYTAxNWM2ZTlkZDQifQ=="/>
  </w:docVars>
  <w:rsids>
    <w:rsidRoot w:val="24F737D8"/>
    <w:rsid w:val="005015C0"/>
    <w:rsid w:val="006A3723"/>
    <w:rsid w:val="006D23EA"/>
    <w:rsid w:val="00A93E5B"/>
    <w:rsid w:val="00E91CDA"/>
    <w:rsid w:val="03F5128D"/>
    <w:rsid w:val="04A24F71"/>
    <w:rsid w:val="05212B27"/>
    <w:rsid w:val="06B24608"/>
    <w:rsid w:val="08D95292"/>
    <w:rsid w:val="0AF13704"/>
    <w:rsid w:val="0B4A7D61"/>
    <w:rsid w:val="0BC07002"/>
    <w:rsid w:val="0C63735F"/>
    <w:rsid w:val="0CBA4EED"/>
    <w:rsid w:val="0D5A4DF7"/>
    <w:rsid w:val="0EAF6971"/>
    <w:rsid w:val="0F5F38ED"/>
    <w:rsid w:val="1138433F"/>
    <w:rsid w:val="11560AFF"/>
    <w:rsid w:val="116419AD"/>
    <w:rsid w:val="11C22033"/>
    <w:rsid w:val="11DF6CFE"/>
    <w:rsid w:val="12B87441"/>
    <w:rsid w:val="14440D4B"/>
    <w:rsid w:val="14936962"/>
    <w:rsid w:val="14A46FED"/>
    <w:rsid w:val="15056A61"/>
    <w:rsid w:val="15BF0901"/>
    <w:rsid w:val="15D90525"/>
    <w:rsid w:val="15FF3D3A"/>
    <w:rsid w:val="17807D81"/>
    <w:rsid w:val="18E57496"/>
    <w:rsid w:val="196633D1"/>
    <w:rsid w:val="19DB4B8C"/>
    <w:rsid w:val="1ABF306F"/>
    <w:rsid w:val="1B663F82"/>
    <w:rsid w:val="1BE3794F"/>
    <w:rsid w:val="1C417161"/>
    <w:rsid w:val="1D120041"/>
    <w:rsid w:val="1D4224CB"/>
    <w:rsid w:val="1D464944"/>
    <w:rsid w:val="1DA41B2E"/>
    <w:rsid w:val="1DB84052"/>
    <w:rsid w:val="1DEB0A3D"/>
    <w:rsid w:val="20392DEC"/>
    <w:rsid w:val="204B0788"/>
    <w:rsid w:val="20546E99"/>
    <w:rsid w:val="20CF0D61"/>
    <w:rsid w:val="21426E78"/>
    <w:rsid w:val="216F4D5B"/>
    <w:rsid w:val="219A700D"/>
    <w:rsid w:val="23424069"/>
    <w:rsid w:val="248F4E23"/>
    <w:rsid w:val="24F737D8"/>
    <w:rsid w:val="254969BC"/>
    <w:rsid w:val="25B6156F"/>
    <w:rsid w:val="26562DC2"/>
    <w:rsid w:val="27316BAE"/>
    <w:rsid w:val="29A76DE1"/>
    <w:rsid w:val="2C111613"/>
    <w:rsid w:val="2C56166B"/>
    <w:rsid w:val="2C6173B2"/>
    <w:rsid w:val="2E704C40"/>
    <w:rsid w:val="2FF65FF8"/>
    <w:rsid w:val="300D195C"/>
    <w:rsid w:val="30BF37B5"/>
    <w:rsid w:val="33A928CE"/>
    <w:rsid w:val="34797724"/>
    <w:rsid w:val="351453A4"/>
    <w:rsid w:val="351E5CB3"/>
    <w:rsid w:val="361736AD"/>
    <w:rsid w:val="36D200CF"/>
    <w:rsid w:val="38382DC3"/>
    <w:rsid w:val="38DE045C"/>
    <w:rsid w:val="3989662F"/>
    <w:rsid w:val="3BCD002B"/>
    <w:rsid w:val="3C3F16DA"/>
    <w:rsid w:val="3C4A35F1"/>
    <w:rsid w:val="3CAA4196"/>
    <w:rsid w:val="3EE71BE4"/>
    <w:rsid w:val="3F4A7E6C"/>
    <w:rsid w:val="3FB53538"/>
    <w:rsid w:val="402C30CE"/>
    <w:rsid w:val="4170316A"/>
    <w:rsid w:val="41DB1250"/>
    <w:rsid w:val="42FE5BBA"/>
    <w:rsid w:val="43E31F32"/>
    <w:rsid w:val="43E42707"/>
    <w:rsid w:val="44B72D5C"/>
    <w:rsid w:val="44C81F67"/>
    <w:rsid w:val="44D414C9"/>
    <w:rsid w:val="45660E30"/>
    <w:rsid w:val="45D87F45"/>
    <w:rsid w:val="46014AC2"/>
    <w:rsid w:val="46472D5E"/>
    <w:rsid w:val="46A22B1A"/>
    <w:rsid w:val="46D354BF"/>
    <w:rsid w:val="47492061"/>
    <w:rsid w:val="47C65D4C"/>
    <w:rsid w:val="47F91982"/>
    <w:rsid w:val="47FB07A5"/>
    <w:rsid w:val="4A152119"/>
    <w:rsid w:val="4B3603B7"/>
    <w:rsid w:val="4B3A1BDA"/>
    <w:rsid w:val="4CB571EA"/>
    <w:rsid w:val="4D915FE3"/>
    <w:rsid w:val="4E4361B3"/>
    <w:rsid w:val="4E9C2E24"/>
    <w:rsid w:val="4ED6787C"/>
    <w:rsid w:val="4FFC1337"/>
    <w:rsid w:val="507B3005"/>
    <w:rsid w:val="513B1E2E"/>
    <w:rsid w:val="514141DD"/>
    <w:rsid w:val="52E734B9"/>
    <w:rsid w:val="53A457E6"/>
    <w:rsid w:val="55C3156A"/>
    <w:rsid w:val="562D06F0"/>
    <w:rsid w:val="56F0689F"/>
    <w:rsid w:val="57335A1F"/>
    <w:rsid w:val="57A64363"/>
    <w:rsid w:val="57E77B5C"/>
    <w:rsid w:val="581A249A"/>
    <w:rsid w:val="587247F4"/>
    <w:rsid w:val="58AD748A"/>
    <w:rsid w:val="5A7F1ACA"/>
    <w:rsid w:val="5B7C71A8"/>
    <w:rsid w:val="5BD0382F"/>
    <w:rsid w:val="5D7D7D28"/>
    <w:rsid w:val="5D967917"/>
    <w:rsid w:val="5DA2372A"/>
    <w:rsid w:val="5E3B1C05"/>
    <w:rsid w:val="5E6A153A"/>
    <w:rsid w:val="5F285AE4"/>
    <w:rsid w:val="5F765797"/>
    <w:rsid w:val="608606DE"/>
    <w:rsid w:val="609E5691"/>
    <w:rsid w:val="60A85FA1"/>
    <w:rsid w:val="61466DA4"/>
    <w:rsid w:val="633E6EDE"/>
    <w:rsid w:val="6619477B"/>
    <w:rsid w:val="66C35559"/>
    <w:rsid w:val="66D51044"/>
    <w:rsid w:val="67371FE2"/>
    <w:rsid w:val="678E1417"/>
    <w:rsid w:val="680D70CB"/>
    <w:rsid w:val="69320643"/>
    <w:rsid w:val="699A143B"/>
    <w:rsid w:val="6A287B5E"/>
    <w:rsid w:val="6B130035"/>
    <w:rsid w:val="6B303A1A"/>
    <w:rsid w:val="6B681DC7"/>
    <w:rsid w:val="6C5164C2"/>
    <w:rsid w:val="6D5E30F4"/>
    <w:rsid w:val="6DAA2FDF"/>
    <w:rsid w:val="6DDD48CE"/>
    <w:rsid w:val="6E121228"/>
    <w:rsid w:val="6E616D28"/>
    <w:rsid w:val="6FAF59B2"/>
    <w:rsid w:val="7065127C"/>
    <w:rsid w:val="70D1495F"/>
    <w:rsid w:val="71337E37"/>
    <w:rsid w:val="71BA5FA4"/>
    <w:rsid w:val="72DF0305"/>
    <w:rsid w:val="73982E36"/>
    <w:rsid w:val="74847BDD"/>
    <w:rsid w:val="76276E68"/>
    <w:rsid w:val="776F3362"/>
    <w:rsid w:val="7D833355"/>
    <w:rsid w:val="7E3420E0"/>
    <w:rsid w:val="7E5849D9"/>
    <w:rsid w:val="7F3776C5"/>
    <w:rsid w:val="7F3A1478"/>
    <w:rsid w:val="7FAF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9" w:semiHidden="0" w:name="heading 1"/>
    <w:lsdException w:qFormat="1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unhideWhenUsed/>
    <w:qFormat/>
    <w:uiPriority w:val="99"/>
    <w:pPr>
      <w:autoSpaceDE w:val="0"/>
      <w:autoSpaceDN w:val="0"/>
      <w:adjustRightInd w:val="0"/>
      <w:outlineLvl w:val="0"/>
    </w:pPr>
    <w:rPr>
      <w:rFonts w:ascii="Arial" w:hAnsi="Arial"/>
      <w:b/>
      <w:color w:val="000000"/>
      <w:sz w:val="32"/>
    </w:rPr>
  </w:style>
  <w:style w:type="paragraph" w:styleId="6">
    <w:name w:val="heading 2"/>
    <w:basedOn w:val="1"/>
    <w:next w:val="1"/>
    <w:unhideWhenUsed/>
    <w:qFormat/>
    <w:uiPriority w:val="99"/>
    <w:pPr>
      <w:autoSpaceDE w:val="0"/>
      <w:autoSpaceDN w:val="0"/>
      <w:adjustRightInd w:val="0"/>
      <w:outlineLvl w:val="1"/>
    </w:pPr>
    <w:rPr>
      <w:rFonts w:ascii="Arial" w:hAnsi="Arial"/>
      <w:b/>
      <w:i/>
      <w:color w:val="000000"/>
      <w:sz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pacing w:line="360" w:lineRule="auto"/>
      <w:ind w:firstLine="200" w:firstLineChars="200"/>
      <w:jc w:val="both"/>
    </w:pPr>
    <w:rPr>
      <w:kern w:val="0"/>
      <w:sz w:val="24"/>
      <w:lang w:val="en-US" w:eastAsia="zh-CN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7">
    <w:name w:val="Normal Indent"/>
    <w:basedOn w:val="1"/>
    <w:qFormat/>
    <w:uiPriority w:val="0"/>
    <w:pPr>
      <w:ind w:firstLine="420"/>
    </w:pPr>
    <w:rPr>
      <w:rFonts w:ascii="Times New Roman" w:hAnsi="Times New Roman"/>
      <w:kern w:val="0"/>
      <w:sz w:val="20"/>
      <w:szCs w:val="20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11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目录 21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character" w:customStyle="1" w:styleId="17">
    <w:name w:val="页眉 字符"/>
    <w:basedOn w:val="15"/>
    <w:link w:val="1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页脚 字符"/>
    <w:basedOn w:val="15"/>
    <w:link w:val="11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985</Words>
  <Characters>1123</Characters>
  <Lines>6</Lines>
  <Paragraphs>1</Paragraphs>
  <TotalTime>133</TotalTime>
  <ScaleCrop>false</ScaleCrop>
  <LinksUpToDate>false</LinksUpToDate>
  <CharactersWithSpaces>1153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2021-02-24T07:45:00Z</dcterms:created>
  <dc:creator>maja</dc:creator>
  <cp:lastModifiedBy>李宗格</cp:lastModifiedBy>
  <dcterms:modified xsi:type="dcterms:W3CDTF">2025-11-27T07:11:03Z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71A695512AD54C2FADD29DB3551318B0</vt:lpwstr>
  </property>
  <property fmtid="{D5CDD505-2E9C-101B-9397-08002B2CF9AE}" pid="4" name="KSOTemplateDocerSaveRecord">
    <vt:lpwstr>eyJoZGlkIjoiOGM3MTQ0NWQzYzZiY2M0MzM3NzhhMmYxYjIwNjdkNjYiLCJ1c2VySWQiOiI3MTEzOTIwNTcifQ==</vt:lpwstr>
  </property>
</Properties>
</file>