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xmlns:wpsCustomData="http://www.wps.cn/officeDocument/2013/wpsCustomData" mc:Ignorable="w14 w15 wp14">
  <w:body>
    <w:p>
      <w:pPr>
        <w:pStyle w:val="2"/>
        <w:bidi w:val="0"/>
        <w:jc w:val="center"/>
        <w:rPr>
          <w:rFonts w:hint="eastAsia"/>
        </w:rPr>
      </w:pPr>
      <w:r>
        <w:rPr>
          <w:rFonts w:hint="eastAsia"/>
        </w:rPr>
        <w:t>广东省工程建设项目</w:t>
      </w:r>
      <w:bookmarkStart w:id="0" w:name="_GoBack"/>
      <w:bookmarkEnd w:id="0"/>
      <w:r>
        <w:rPr>
          <w:rFonts w:hint="eastAsia"/>
        </w:rPr>
        <w:t>招标公告</w:t>
      </w:r>
    </w:p>
    <w:tbl>
      <w:tblPr>
        <w:tblStyle w:val="5"/>
        <w:tblW w:type="auto" w:w="0"/>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Layout w:type="fixed"/>
        <w:tblCellMar>
          <w:top w:type="dxa" w:w="0"/>
          <w:left w:type="dxa" w:w="108"/>
          <w:bottom w:type="dxa" w:w="0"/>
          <w:right w:type="dxa" w:w="108"/>
        </w:tblCellMar>
      </w:tblPr>
      <w:tblGrid>
        <w:gridCol w:w="1861"/>
        <w:gridCol w:w="1547"/>
        <w:gridCol w:w="118"/>
        <w:gridCol w:w="1473"/>
        <w:gridCol w:w="1737"/>
        <w:gridCol w:w="1786"/>
      </w:tblGrid>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394"/>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投资项目代码</w:t>
            </w:r>
          </w:p>
        </w:tc>
        <w:tc>
          <w:tcPr>
            <w:tcW w:type="dxa" w:w="6661"/>
            <w:gridSpan w:val="5"/>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91440000617401445C</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371"/>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投资项目名称</w:t>
            </w:r>
          </w:p>
        </w:tc>
        <w:tc>
          <w:tcPr>
            <w:tcW w:type="dxa" w:w="6661"/>
            <w:gridSpan w:val="5"/>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广澳高速公路南沙至珠海段改扩建工程</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383"/>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招标项目名称</w:t>
            </w:r>
          </w:p>
        </w:tc>
        <w:tc>
          <w:tcPr>
            <w:tcW w:type="dxa" w:w="6661"/>
            <w:gridSpan w:val="5"/>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广澳高速公路南沙至珠海段改扩建工程机电工程施工（JD2标）</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929"/>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标段（包）名称</w:t>
            </w:r>
          </w:p>
        </w:tc>
        <w:tc>
          <w:tcPr>
            <w:tcW w:type="dxa" w:w="1547"/>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JD2标</w:t>
            </w:r>
          </w:p>
        </w:tc>
        <w:tc>
          <w:tcPr>
            <w:tcW w:type="dxa" w:w="1591"/>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rPr>
              <w:t>公告性质</w:t>
            </w:r>
          </w:p>
        </w:tc>
        <w:tc>
          <w:tcPr>
            <w:tcW w:type="dxa" w:w="3523"/>
            <w:gridSpan w:val="2"/>
            <w:vAlign w:val="center"/>
          </w:tcPr>
          <w:p>
            <w:pPr>
              <w:jc w:val="center"/>
              <w:rPr>
                <w:rFonts w:ascii="宋体" w:cs="宋体" w:eastAsia="宋体" w:hAnsi="宋体" w:hint="eastAsia"/>
                <w:sz w:val="18"/>
                <w:szCs w:val="18"/>
                <w:vertAlign w:val="baseline"/>
                <w:lang w:eastAsia="zh-CN" w:val="en-US"/>
              </w:rPr>
            </w:pPr>
            <w:r>
              <w:rPr>
                <w:rFonts w:ascii="宋体" w:cs="宋体" w:eastAsia="宋体" w:hAnsi="宋体" w:hint="eastAsia"/>
                <w:sz w:val="18"/>
                <w:szCs w:val="18"/>
                <w:vertAlign w:val="baseline"/>
                <w:lang w:eastAsia="zh-CN" w:val="en-US"/>
              </w:rPr>
              <w:t>正常</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37"/>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资格审查方式</w:t>
            </w:r>
          </w:p>
        </w:tc>
        <w:tc>
          <w:tcPr>
            <w:tcW w:type="dxa" w:w="6661"/>
            <w:gridSpan w:val="5"/>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资格后审</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417"/>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招标项目实施</w:t>
            </w:r>
          </w:p>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(交货)地点</w:t>
            </w:r>
          </w:p>
        </w:tc>
        <w:tc>
          <w:tcPr>
            <w:tcW w:type="dxa" w:w="6661"/>
            <w:gridSpan w:val="5"/>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广州市、中山市</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360"/>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资金来源</w:t>
            </w:r>
          </w:p>
        </w:tc>
        <w:tc>
          <w:tcPr>
            <w:tcW w:type="dxa" w:w="1547"/>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企业自筹、银行贷款</w:t>
            </w:r>
          </w:p>
        </w:tc>
        <w:tc>
          <w:tcPr>
            <w:tcW w:type="dxa" w:w="1591"/>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b/>
                <w:bCs/>
                <w:sz w:val="18"/>
                <w:szCs w:val="18"/>
                <w:vertAlign w:val="baseline"/>
              </w:rPr>
              <w:t>资金来源构成</w:t>
            </w:r>
          </w:p>
        </w:tc>
        <w:tc>
          <w:tcPr>
            <w:tcW w:type="dxa" w:w="3523"/>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企业自筹不少于35%，其余为银行贷款</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746"/>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招标范围及规模</w:t>
            </w:r>
          </w:p>
        </w:tc>
        <w:tc>
          <w:tcPr>
            <w:tcW w:type="dxa" w:w="6661"/>
            <w:gridSpan w:val="5"/>
            <w:vAlign w:val="top"/>
          </w:tcPr>
          <w:p>
            <w:pPr>
              <w:jc w:val="both"/>
              <w:rPr>
                <w:sz w:val="18"/>
              </w:rPr>
            </w:pPr>
            <w:r>
              <w:rPr>
                <w:rFonts w:ascii="宋体" w:hAnsi="宋体" w:cs="宋体" w:eastAsia="宋体"/>
                <w:color w:val=""/>
                <w:sz w:val="18"/>
                <w:u w:val="none"/>
              </w:rPr>
              <w:t xml:space="preserve">    2.1项目概况与招标范围</w:t>
            </w:r>
          </w:p>
          <w:p>
            <w:pPr>
              <w:jc w:val="both"/>
              <w:rPr>
                <w:sz w:val="18"/>
              </w:rPr>
            </w:pPr>
            <w:r>
              <w:rPr>
                <w:rFonts w:ascii="宋体" w:hAnsi="宋体" w:cs="宋体" w:eastAsia="宋体"/>
                <w:color w:val=""/>
                <w:sz w:val="18"/>
                <w:u w:val="none"/>
              </w:rPr>
              <w:t xml:space="preserve">     广澳高速公路南沙至珠海段改扩建工程（以下简称本项目）是京港澳高速G4的重要组成部分，起自广州市南沙区坦尾枢纽互通，接莞佛高速相应路段，沿既有广澳高速改扩建，经横沥、三角、民众、港口，火炬开发区、南朗街道，止于中山市下栅枢纽互通，接广澳高速下栅互通至月环互通段和广澳高速珠海支线，全长50.426公里。全线采用高速公路标准改扩建，起点至中山城区互通段采用双向十车道，设计速度120公里/小时；中山城区互通至终点段采用双向八车道，设计速度100公里/小时。</w:t>
            </w:r>
          </w:p>
          <w:p>
            <w:pPr>
              <w:jc w:val="both"/>
              <w:rPr>
                <w:sz w:val="18"/>
              </w:rPr>
            </w:pPr>
            <w:r>
              <w:rPr>
                <w:rFonts w:ascii="宋体" w:hAnsi="宋体" w:cs="宋体" w:eastAsia="宋体"/>
                <w:color w:val=""/>
                <w:sz w:val="18"/>
                <w:u w:val="none"/>
              </w:rPr>
              <w:t xml:space="preserve">    2.2标段划分</w:t>
            </w:r>
          </w:p>
          <w:p>
            <w:pPr>
              <w:jc w:val="both"/>
              <w:rPr>
                <w:sz w:val="18"/>
              </w:rPr>
            </w:pPr>
            <w:r>
              <w:rPr>
                <w:rFonts w:ascii="宋体" w:hAnsi="宋体" w:cs="宋体" w:eastAsia="宋体"/>
                <w:color w:val=""/>
                <w:sz w:val="18"/>
                <w:u w:val="none"/>
              </w:rPr>
              <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666"/>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招标内容</w:t>
            </w:r>
          </w:p>
        </w:tc>
        <w:tc>
          <w:tcPr>
            <w:tcW w:type="dxa" w:w="6661"/>
            <w:gridSpan w:val="5"/>
            <w:vAlign w:val="top"/>
          </w:tcPr>
          <w:p>
            <w:pPr>
              <w:jc w:val="both"/>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416"/>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工期（交货期）</w:t>
            </w:r>
          </w:p>
        </w:tc>
        <w:tc>
          <w:tcPr>
            <w:tcW w:type="dxa" w:w="6661"/>
            <w:gridSpan w:val="5"/>
            <w:vAlign w:val="center"/>
          </w:tcPr>
          <w:p>
            <w:pPr>
              <w:jc w:val="center"/>
              <w:rPr>
                <w:sz w:val="18"/>
              </w:rPr>
            </w:pPr>
            <w:r>
              <w:rPr>
                <w:rFonts w:ascii="宋体" w:hAnsi="宋体" w:cs="宋体" w:eastAsia="宋体"/>
                <w:color w:val=""/>
                <w:sz w:val="18"/>
                <w:u w:val="none"/>
              </w:rPr>
              <w:t>计划工期：暂定30个月，</w:t>
            </w:r>
          </w:p>
          <w:p>
            <w:pPr>
              <w:jc w:val="center"/>
              <w:rPr>
                <w:sz w:val="18"/>
              </w:rPr>
            </w:pPr>
            <w:r>
              <w:rPr>
                <w:rFonts w:ascii="宋体" w:hAnsi="宋体" w:cs="宋体" w:eastAsia="宋体"/>
                <w:color w:val=""/>
                <w:sz w:val="18"/>
                <w:u w:val="none"/>
              </w:rPr>
              <w:t>计划开工日期：具体开工时间以监理签发的开工令为准</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416"/>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最高投标限价</w:t>
            </w:r>
          </w:p>
        </w:tc>
        <w:tc>
          <w:tcPr>
            <w:tcW w:type="dxa" w:w="6661"/>
            <w:gridSpan w:val="5"/>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有，招标人将在投标文件递交截止之日15天前以补遗书形式公布最高投标限价和下浮率范围</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416"/>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是否接受联合体投标</w:t>
            </w:r>
          </w:p>
        </w:tc>
        <w:tc>
          <w:tcPr>
            <w:tcW w:type="dxa" w:w="6661"/>
            <w:gridSpan w:val="5"/>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否</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22"/>
        </w:trPr>
        <w:tc>
          <w:tcPr>
            <w:tcW w:type="dxa" w:w="1861"/>
            <w:vMerge w:val="restart"/>
            <w:vAlign w:val="center"/>
          </w:tcPr>
          <w:p>
            <w:pPr>
              <w:jc w:val="right"/>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投标资格能力要求</w:t>
            </w:r>
          </w:p>
          <w:p>
            <w:pPr>
              <w:jc w:val="right"/>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(包括但不限于资质</w:t>
            </w:r>
          </w:p>
          <w:p>
            <w:pPr>
              <w:jc w:val="right"/>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人员、业绩等要求)</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rPr>
              <w:t>投标人资格要求</w:t>
            </w:r>
          </w:p>
        </w:tc>
        <w:tc>
          <w:tcPr>
            <w:tcW w:type="dxa" w:w="4996"/>
            <w:gridSpan w:val="3"/>
            <w:vAlign w:val="center"/>
          </w:tcPr>
          <w:p>
            <w:pPr>
              <w:jc w:val="both"/>
              <w:rPr>
                <w:sz w:val="18"/>
              </w:rPr>
            </w:pPr>
            <w:r>
              <w:rPr>
                <w:rFonts w:ascii="宋体" w:hAnsi="宋体" w:cs="宋体" w:eastAsia="宋体"/>
                <w:color w:val=""/>
                <w:sz w:val="18"/>
                <w:u w:val="none"/>
              </w:rPr>
              <w:t>JD2标：1.具有独立法人资格，持有有效的企业法人营业执照；</w:t>
            </w:r>
          </w:p>
          <w:p>
            <w:pPr>
              <w:jc w:val="both"/>
              <w:rPr>
                <w:sz w:val="18"/>
              </w:rPr>
            </w:pPr>
            <w:r>
              <w:rPr>
                <w:rFonts w:ascii="宋体" w:hAnsi="宋体" w:cs="宋体" w:eastAsia="宋体"/>
                <w:color w:val=""/>
                <w:sz w:val="18"/>
                <w:u w:val="none"/>
              </w:rPr>
              <w:t>2.具备住房城乡建设主管部门核发的公路交通工程专业承包一级资质（公路机电工程分项）；</w:t>
            </w:r>
          </w:p>
          <w:p>
            <w:pPr>
              <w:jc w:val="both"/>
              <w:rPr>
                <w:sz w:val="18"/>
              </w:rPr>
            </w:pPr>
            <w:r>
              <w:rPr>
                <w:rFonts w:ascii="宋体" w:hAnsi="宋体" w:cs="宋体" w:eastAsia="宋体"/>
                <w:color w:val=""/>
                <w:sz w:val="18"/>
                <w:u w:val="none"/>
              </w:rPr>
              <w:t>3.持有有效的安全生产许可证。</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462"/>
        </w:trPr>
        <w:tc>
          <w:tcPr>
            <w:tcW w:type="dxa" w:w="1861"/>
            <w:vMerge w:val="continue"/>
            <w:vAlign w:val="center"/>
          </w:tcPr>
          <w:p>
            <w:pPr>
              <w:jc w:val="center"/>
              <w:rPr>
                <w:rFonts w:ascii="宋体" w:cs="宋体" w:eastAsia="宋体" w:hAnsi="宋体" w:hint="eastAsia"/>
                <w:b/>
                <w:bCs/>
                <w:sz w:val="18"/>
                <w:szCs w:val="18"/>
                <w:vertAlign w:val="baseline"/>
              </w:rPr>
            </w:pP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rPr>
              <w:t>投标人业绩要求</w:t>
            </w:r>
          </w:p>
        </w:tc>
        <w:tc>
          <w:tcPr>
            <w:tcW w:type="dxa" w:w="4996"/>
            <w:gridSpan w:val="3"/>
            <w:vAlign w:val="center"/>
          </w:tcPr>
          <w:p>
            <w:pPr>
              <w:jc w:val="both"/>
              <w:rPr>
                <w:sz w:val="18"/>
              </w:rPr>
            </w:pPr>
            <w:r>
              <w:rPr>
                <w:rFonts w:ascii="宋体" w:hAnsi="宋体" w:cs="宋体" w:eastAsia="宋体"/>
                <w:color w:val=""/>
                <w:sz w:val="18"/>
                <w:u w:val="none"/>
              </w:rPr>
              <w:t>JD2标：近五年内，成功完成过：</w:t>
            </w:r>
          </w:p>
          <w:p>
            <w:pPr>
              <w:jc w:val="both"/>
              <w:rPr>
                <w:sz w:val="18"/>
              </w:rPr>
            </w:pPr>
            <w:r>
              <w:rPr>
                <w:rFonts w:ascii="宋体" w:hAnsi="宋体" w:cs="宋体" w:eastAsia="宋体"/>
                <w:color w:val=""/>
                <w:sz w:val="18"/>
                <w:u w:val="none"/>
              </w:rPr>
              <w:t>类似工程机电工程项目（同时含通信、监控和收费系统）至少3个标段（其中至少1个标段的合同金额≥10000万元），且累计路线长度≥60km及4个收费站。</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1018"/>
        </w:trPr>
        <w:tc>
          <w:tcPr>
            <w:tcW w:type="dxa" w:w="1861"/>
            <w:vMerge w:val="restart"/>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是否采用电子</w:t>
            </w:r>
          </w:p>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招标投标方式</w:t>
            </w:r>
          </w:p>
        </w:tc>
        <w:tc>
          <w:tcPr>
            <w:tcW w:type="dxa" w:w="1665"/>
            <w:gridSpan w:val="2"/>
            <w:vMerge w:val="restart"/>
            <w:vAlign w:val="center"/>
          </w:tcPr>
          <w:p>
            <w:pPr>
              <w:jc w:val="center"/>
              <w:rPr>
                <w:rFonts w:ascii="宋体" w:cs="宋体" w:eastAsia="宋体" w:hAnsi="宋体" w:hint="eastAsia"/>
                <w:sz w:val="18"/>
                <w:szCs w:val="18"/>
                <w:vertAlign w:val="baseline"/>
                <w:lang w:eastAsia="zh-CN" w:val="en-US"/>
              </w:rPr>
            </w:pPr>
            <w:r>
              <w:rPr>
                <w:rFonts w:ascii="宋体" w:cs="宋体" w:eastAsia="宋体" w:hAnsi="宋体" w:hint="eastAsia"/>
                <w:sz w:val="18"/>
                <w:szCs w:val="18"/>
                <w:vertAlign w:val="baseline"/>
                <w:lang w:eastAsia="zh-CN" w:val="en-US"/>
              </w:rPr>
              <w:t>是</w:t>
            </w:r>
          </w:p>
        </w:tc>
        <w:tc>
          <w:tcPr>
            <w:tcW w:type="dxa" w:w="1473"/>
            <w:vMerge w:val="restart"/>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获取资格预审</w:t>
            </w:r>
          </w:p>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/招标文件的</w:t>
            </w:r>
          </w:p>
          <w:p>
            <w:pPr>
              <w:jc w:val="center"/>
              <w:rPr>
                <w:rFonts w:ascii="宋体" w:cs="宋体" w:eastAsia="宋体" w:hAnsi="宋体" w:hint="eastAsia"/>
                <w:sz w:val="18"/>
                <w:szCs w:val="18"/>
                <w:vertAlign w:val="baseline"/>
              </w:rPr>
            </w:pPr>
            <w:r>
              <w:rPr>
                <w:rFonts w:ascii="宋体" w:cs="宋体" w:eastAsia="宋体" w:hAnsi="宋体" w:hint="eastAsia"/>
                <w:b/>
                <w:bCs/>
                <w:sz w:val="18"/>
                <w:szCs w:val="18"/>
                <w:vertAlign w:val="baseline"/>
              </w:rPr>
              <w:t>方式</w:t>
            </w:r>
          </w:p>
        </w:tc>
        <w:tc>
          <w:tcPr>
            <w:tcW w:type="dxa" w:w="1737"/>
            <w:vAlign w:val="center"/>
          </w:tcPr>
          <w:p>
            <w:pPr>
              <w:jc w:val="both"/>
              <w:rPr>
                <w:rFonts w:ascii="宋体" w:cs="宋体" w:eastAsia="宋体" w:hAnsi="宋体" w:hint="eastAsia"/>
                <w:sz w:val="18"/>
                <w:szCs w:val="18"/>
                <w:vertAlign w:val="baseline"/>
              </w:rPr>
            </w:pPr>
            <w:r>
              <w:rPr>
                <w:rFonts w:ascii="宋体" w:cs="宋体" w:eastAsia="宋体" w:hAnsi="宋体" w:hint="eastAsia"/>
                <w:sz w:val="18"/>
                <w:szCs w:val="18"/>
                <w:vertAlign w:val="baseline"/>
              </w:rPr>
              <w:t>下载资格预审/招标文件的网络地址</w:t>
            </w:r>
          </w:p>
        </w:tc>
        <w:tc>
          <w:tcPr>
            <w:tcW w:type="dxa" w:w="1786"/>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广东省公路水运工程建设项目电子招投标交易平台（http://jtcbs.gdcd.gov.cn:30887/tenderlogin）</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808"/>
        </w:trPr>
        <w:tc>
          <w:tcPr>
            <w:tcW w:type="dxa" w:w="1861"/>
            <w:vMerge w:val="continue"/>
            <w:vAlign w:val="center"/>
          </w:tcPr>
          <w:p>
            <w:pPr>
              <w:jc w:val="center"/>
              <w:rPr>
                <w:rFonts w:ascii="宋体" w:cs="宋体" w:eastAsia="宋体" w:hAnsi="宋体" w:hint="eastAsia"/>
                <w:b/>
                <w:bCs/>
                <w:sz w:val="18"/>
                <w:szCs w:val="18"/>
                <w:vertAlign w:val="baseline"/>
              </w:rPr>
            </w:pPr>
          </w:p>
        </w:tc>
        <w:tc>
          <w:tcPr>
            <w:tcW w:type="dxa" w:w="1665"/>
            <w:gridSpan w:val="2"/>
            <w:vMerge w:val="continue"/>
            <w:vAlign w:val="center"/>
          </w:tcPr>
          <w:p>
            <w:pPr>
              <w:jc w:val="center"/>
              <w:rPr>
                <w:rFonts w:ascii="宋体" w:cs="宋体" w:eastAsia="宋体" w:hAnsi="宋体" w:hint="eastAsia"/>
                <w:sz w:val="18"/>
                <w:szCs w:val="18"/>
                <w:vertAlign w:val="baseline"/>
              </w:rPr>
            </w:pPr>
          </w:p>
        </w:tc>
        <w:tc>
          <w:tcPr>
            <w:tcW w:type="dxa" w:w="1473"/>
            <w:vMerge w:val="continue"/>
            <w:vAlign w:val="center"/>
          </w:tcPr>
          <w:p>
            <w:pPr>
              <w:jc w:val="center"/>
              <w:rPr>
                <w:rFonts w:ascii="宋体" w:cs="宋体" w:eastAsia="宋体" w:hAnsi="宋体" w:hint="eastAsia"/>
                <w:sz w:val="18"/>
                <w:szCs w:val="18"/>
                <w:vertAlign w:val="baseline"/>
              </w:rPr>
            </w:pPr>
          </w:p>
        </w:tc>
        <w:tc>
          <w:tcPr>
            <w:tcW w:type="dxa" w:w="1737"/>
            <w:vAlign w:val="center"/>
          </w:tcPr>
          <w:p>
            <w:pPr>
              <w:jc w:val="both"/>
              <w:rPr>
                <w:rFonts w:ascii="宋体" w:cs="宋体" w:eastAsia="宋体" w:hAnsi="宋体" w:hint="eastAsia"/>
                <w:sz w:val="18"/>
                <w:szCs w:val="18"/>
                <w:vertAlign w:val="baseline"/>
              </w:rPr>
            </w:pPr>
            <w:r>
              <w:rPr>
                <w:rFonts w:ascii="宋体" w:cs="宋体" w:eastAsia="宋体" w:hAnsi="宋体" w:hint="eastAsia"/>
                <w:sz w:val="18"/>
                <w:szCs w:val="18"/>
                <w:vertAlign w:val="baseline"/>
              </w:rPr>
              <w:t>获取纸质资格预审/招标文件的方式</w:t>
            </w:r>
          </w:p>
        </w:tc>
        <w:tc>
          <w:tcPr>
            <w:tcW w:type="dxa" w:w="1786"/>
            <w:vAlign w:val="center"/>
          </w:tcPr>
          <w:p>
            <w:pPr>
              <w:jc w:val="center"/>
              <w:rPr>
                <w:rFonts w:ascii="宋体" w:cs="宋体" w:eastAsia="宋体" w:hAnsi="宋体" w:hint="eastAsia"/>
                <w:sz w:val="18"/>
                <w:szCs w:val="18"/>
                <w:vertAlign w:val="baseline"/>
              </w:rPr>
            </w:pP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808"/>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获取资格预审/招标文件开始时间</w:t>
            </w:r>
          </w:p>
        </w:tc>
        <w:tc>
          <w:tcPr>
            <w:tcW w:type="dxa" w:w="1665"/>
            <w:gridSpan w:val="2"/>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2025年12月03日</w:t>
            </w:r>
          </w:p>
        </w:tc>
        <w:tc>
          <w:tcPr>
            <w:tcW w:type="dxa" w:w="1473"/>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获取资格预审</w:t>
            </w:r>
          </w:p>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/招标文件截</w:t>
            </w:r>
          </w:p>
          <w:p>
            <w:pPr>
              <w:jc w:val="center"/>
              <w:rPr>
                <w:rFonts w:ascii="宋体" w:cs="宋体" w:eastAsia="宋体" w:hAnsi="宋体" w:hint="eastAsia"/>
                <w:sz w:val="18"/>
                <w:szCs w:val="18"/>
                <w:vertAlign w:val="baseline"/>
              </w:rPr>
            </w:pPr>
            <w:r>
              <w:rPr>
                <w:rFonts w:ascii="宋体" w:cs="宋体" w:eastAsia="宋体" w:hAnsi="宋体" w:hint="eastAsia"/>
                <w:b/>
                <w:bCs/>
                <w:sz w:val="18"/>
                <w:szCs w:val="18"/>
                <w:vertAlign w:val="baseline"/>
              </w:rPr>
              <w:t>止时间</w:t>
            </w:r>
          </w:p>
        </w:tc>
        <w:tc>
          <w:tcPr>
            <w:tcW w:type="dxa" w:w="3523"/>
            <w:gridSpan w:val="2"/>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2025年12月09日</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808"/>
        </w:trPr>
        <w:tc>
          <w:tcPr>
            <w:tcW w:type="dxa" w:w="1861"/>
            <w:vAlign w:val="center"/>
          </w:tcPr>
          <w:p>
            <w:pPr>
              <w:jc w:val="center"/>
              <w:rPr>
                <w:rFonts w:ascii="宋体" w:cs="宋体" w:eastAsia="宋体" w:hAnsi="宋体" w:hint="eastAsia"/>
                <w:b/>
                <w:bCs/>
                <w:sz w:val="18"/>
                <w:szCs w:val="18"/>
                <w:vertAlign w:val="baseline"/>
              </w:rPr>
            </w:pPr>
            <w:r>
              <w:rPr>
                <w:rFonts w:ascii="宋体" w:cs="宋体" w:eastAsia="宋体" w:hAnsi="宋体" w:hint="eastAsia"/>
                <w:b/>
                <w:bCs/>
                <w:sz w:val="18"/>
                <w:szCs w:val="18"/>
                <w:vertAlign w:val="baseline"/>
              </w:rPr>
              <w:t>递交资格预审/投标文件截止时间</w:t>
            </w:r>
          </w:p>
        </w:tc>
        <w:tc>
          <w:tcPr>
            <w:tcW w:type="dxa" w:w="1665"/>
            <w:gridSpan w:val="2"/>
            <w:vAlign w:val="center"/>
          </w:tcPr>
          <w:p>
            <w:pPr>
              <w:jc w:val="center"/>
              <w:rPr>
                <w:rFonts w:ascii="宋体" w:cs="宋体" w:eastAsia="宋体" w:hAnsi="宋体" w:hint="default"/>
                <w:sz w:val="18"/>
                <w:szCs w:val="18"/>
                <w:vertAlign w:val="baseline"/>
                <w:lang w:eastAsia="zh-CN" w:val="en-US"/>
              </w:rPr>
            </w:pPr>
            <w:r>
              <w:rPr>
                <w:rFonts w:ascii="宋体" w:cs="宋体" w:eastAsia="宋体" w:hAnsi="宋体" w:hint="eastAsia"/>
                <w:sz w:val="18"/>
                <w:szCs w:val="18"/>
                <w:vertAlign w:val="baseline"/>
                <w:lang w:eastAsia="zh-CN" w:val="en-US"/>
              </w:rPr>
              <w:t>2025年12月25日09时30分</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资格预审/投标文件递交方式</w:t>
            </w:r>
          </w:p>
        </w:tc>
        <w:tc>
          <w:tcPr>
            <w:tcW w:type="dxa" w:w="3523"/>
            <w:gridSpan w:val="2"/>
            <w:vAlign w:val="center"/>
          </w:tcPr>
          <w:p>
            <w:pPr>
              <w:jc w:val="both"/>
              <w:rPr>
                <w:sz w:val="18"/>
              </w:rPr>
            </w:pPr>
            <w:r>
              <w:rPr>
                <w:rFonts w:ascii="宋体" w:hAnsi="宋体" w:cs="宋体" w:eastAsia="宋体"/>
                <w:color w:val=""/>
                <w:sz w:val="18"/>
                <w:u w:val="none"/>
              </w:rPr>
              <w:t>投标文件递交的截止时间(投标截止时间，下同)为2025年12月25日9时30分。</w:t>
            </w:r>
          </w:p>
          <w:p>
            <w:pPr>
              <w:jc w:val="both"/>
              <w:rPr>
                <w:sz w:val="18"/>
              </w:rPr>
            </w:pPr>
            <w:r>
              <w:rPr>
                <w:rFonts w:ascii="宋体" w:hAnsi="宋体" w:cs="宋体" w:eastAsia="宋体"/>
                <w:color w:val=""/>
                <w:sz w:val="18"/>
                <w:u w:val="none"/>
              </w:rPr>
              <w:t>  投标文件电子文件统一采用网络上传的方式，投标人于2025年12月10日00时00分至2025年12月25日9时30分将电子文件完整上传。递交投标文件纸质文件截止时间为2025年12月25日9时30分，投标人应于2025年12月25日9时0分至2025年12月25日9时30分将投标文件纸质文件递交至广州公共资源交易中心相应的开标室，具体开标室见交易中心大厅公告（广州市天河区天润路333号）。</w:t>
            </w:r>
          </w:p>
          <w:p>
            <w:pPr>
              <w:jc w:val="both"/>
              <w:rPr>
                <w:sz w:val="18"/>
              </w:rPr>
            </w:pPr>
            <w:r>
              <w:rPr>
                <w:rFonts w:ascii="宋体" w:hAnsi="宋体" w:cs="宋体" w:eastAsia="宋体"/>
                <w:color w:val=""/>
                <w:sz w:val="18"/>
                <w:u w:val="none"/>
              </w:rPr>
              <w:t>逾期送达的、未送达指定地点的或不按照招标文件要求密封的投标文件，招标人将予以拒收</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80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开标时间</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2025年12月25日09时30分</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开标地点</w:t>
            </w:r>
          </w:p>
        </w:tc>
        <w:tc>
          <w:tcPr>
            <w:tcW w:type="dxa" w:w="3523"/>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rPr>
              <w:t>广州公共资源交易中心</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7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发布公告媒介</w:t>
            </w:r>
          </w:p>
        </w:tc>
        <w:tc>
          <w:tcPr>
            <w:tcW w:type="dxa" w:w="6661"/>
            <w:gridSpan w:val="5"/>
            <w:vAlign w:val="center"/>
          </w:tcPr>
          <w:p>
            <w:pPr>
              <w:jc w:val="both"/>
              <w:rPr>
                <w:sz w:val="18"/>
              </w:rPr>
            </w:pPr>
            <w:r>
              <w:rPr>
                <w:rFonts w:ascii="宋体" w:hAnsi="宋体" w:cs="宋体" w:eastAsia="宋体"/>
                <w:color w:val=""/>
                <w:sz w:val="18"/>
                <w:u w:val="none"/>
              </w:rPr>
              <w:t xml:space="preserve">    本次招标公告同时在广东省招标投标监管网、广州公共资源交易中心网、粤采易阳光采购平台上发布。如公告详细内容不一致者，以广东省招标投标监管网公告为准。</w:t>
            </w:r>
          </w:p>
          <w:p>
            <w:pPr>
              <w:jc w:val="both"/>
              <w:rPr>
                <w:sz w:val="18"/>
              </w:rPr>
            </w:pPr>
            <w:r>
              <w:rPr>
                <w:rFonts w:ascii="宋体" w:hAnsi="宋体" w:cs="宋体" w:eastAsia="宋体"/>
                <w:color w:val=""/>
                <w:sz w:val="18"/>
                <w:u w:val="none"/>
              </w:rPr>
              <w:t>7.在规定的投标期间，如某个标段报名并购买招标文件的投标人不足3家时，招标人有权选择以下任一方式：（1）在广东省招标投标监管网及广州公共资源交易中心网站发布公告延长上述投标人家数不足的标段投标登记时间，在延期投标登记时间内，已投标登记投标人的资料仍有效并可自行补充资料，未投标登记的投标人可根据公告的约定进行投标登记；（2）对上述投标人家数不足的标段依法重新组织招标或不再招标。</w:t>
            </w:r>
          </w:p>
          <w:p>
            <w:pPr>
              <w:jc w:val="both"/>
              <w:rPr>
                <w:sz w:val="18"/>
              </w:rPr>
            </w:pPr>
            <w:r>
              <w:rPr>
                <w:rFonts w:ascii="宋体" w:hAnsi="宋体" w:cs="宋体" w:eastAsia="宋体"/>
                <w:color w:val=""/>
                <w:sz w:val="18"/>
                <w:u w:val="none"/>
              </w:rPr>
              <w:t>7.1如对本次招标活动、招标公告有异议的，请向招标人提交异议书(联系方式见本招标公告第8条)。异议书必须由法定代表人或其授权代表签字并加盖单位公章，并在规定时间内递交。如果异议书由授权代表签字，则应同时提交授权委托书原件及法定代表人、授权代表的身份证复印件。异议书应包括以下内容:</w:t>
            </w:r>
          </w:p>
          <w:p>
            <w:pPr>
              <w:jc w:val="both"/>
              <w:rPr>
                <w:sz w:val="18"/>
              </w:rPr>
            </w:pPr>
            <w:r>
              <w:rPr>
                <w:rFonts w:ascii="宋体" w:hAnsi="宋体" w:cs="宋体" w:eastAsia="宋体"/>
                <w:color w:val=""/>
                <w:sz w:val="18"/>
                <w:u w:val="none"/>
              </w:rPr>
              <w:t>(1)异议人的名称、地址及有效联系方式;</w:t>
            </w:r>
          </w:p>
          <w:p>
            <w:pPr>
              <w:jc w:val="both"/>
              <w:rPr>
                <w:sz w:val="18"/>
              </w:rPr>
            </w:pPr>
            <w:r>
              <w:rPr>
                <w:rFonts w:ascii="宋体" w:hAnsi="宋体" w:cs="宋体" w:eastAsia="宋体"/>
                <w:color w:val=""/>
                <w:sz w:val="18"/>
                <w:u w:val="none"/>
              </w:rPr>
              <w:t>(2)异议事项的基本事实;</w:t>
            </w:r>
          </w:p>
          <w:p>
            <w:pPr>
              <w:jc w:val="both"/>
              <w:rPr>
                <w:sz w:val="18"/>
              </w:rPr>
            </w:pPr>
            <w:r>
              <w:rPr>
                <w:rFonts w:ascii="宋体" w:hAnsi="宋体" w:cs="宋体" w:eastAsia="宋体"/>
                <w:color w:val=""/>
                <w:sz w:val="18"/>
                <w:u w:val="none"/>
              </w:rPr>
              <w:t>(3)相关请求及主张;</w:t>
            </w:r>
          </w:p>
          <w:p>
            <w:pPr>
              <w:jc w:val="both"/>
              <w:rPr>
                <w:sz w:val="18"/>
              </w:rPr>
            </w:pPr>
            <w:r>
              <w:rPr>
                <w:rFonts w:ascii="宋体" w:hAnsi="宋体" w:cs="宋体" w:eastAsia="宋体"/>
                <w:color w:val=""/>
                <w:sz w:val="18"/>
                <w:u w:val="none"/>
              </w:rPr>
              <w:t>(4)相关证明材料。</w:t>
            </w:r>
          </w:p>
          <w:p>
            <w:pPr>
              <w:jc w:val="both"/>
              <w:rPr>
                <w:sz w:val="18"/>
              </w:rPr>
            </w:pPr>
            <w:r>
              <w:rPr>
                <w:rFonts w:ascii="宋体" w:hAnsi="宋体" w:cs="宋体" w:eastAsia="宋体"/>
                <w:color w:val=""/>
                <w:sz w:val="18"/>
                <w:u w:val="none"/>
              </w:rPr>
              <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80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招标人</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京珠高速公路广珠段有限公司</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联系地址</w:t>
            </w:r>
          </w:p>
        </w:tc>
        <w:tc>
          <w:tcPr>
            <w:tcW w:type="dxa" w:w="3523"/>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中山市南朗镇关塘村京珠高速公路广珠段改扩建管理处</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0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招标人联系人</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屈工</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联系电话</w:t>
            </w:r>
          </w:p>
        </w:tc>
        <w:tc>
          <w:tcPr>
            <w:tcW w:type="dxa" w:w="3523"/>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19886418198</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8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招标代理机构</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联系地址</w:t>
            </w:r>
          </w:p>
        </w:tc>
        <w:tc>
          <w:tcPr>
            <w:tcW w:type="dxa" w:w="3523"/>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8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招标代理联系人</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联系电话</w:t>
            </w:r>
          </w:p>
        </w:tc>
        <w:tc>
          <w:tcPr>
            <w:tcW w:type="dxa" w:w="3523"/>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
            </w: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8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招标监督机构</w:t>
            </w:r>
          </w:p>
        </w:tc>
        <w:tc>
          <w:tcPr>
            <w:tcW w:type="dxa" w:w="1665"/>
            <w:gridSpan w:val="2"/>
            <w:vAlign w:val="center"/>
          </w:tcPr>
          <w:p>
            <w:pPr>
              <w:jc w:val="center"/>
              <w:rPr>
                <w:rFonts w:ascii="宋体" w:cs="宋体" w:eastAsia="宋体" w:hAnsi="宋体" w:hint="eastAsia"/>
                <w:sz w:val="18"/>
                <w:szCs w:val="18"/>
                <w:vertAlign w:val="baseline"/>
              </w:rPr>
            </w:pPr>
            <w:r>
              <w:rPr>
                <w:rFonts w:ascii="宋体" w:cs="宋体" w:eastAsia="宋体" w:hAnsi="宋体" w:hint="eastAsia"/>
                <w:sz w:val="18"/>
                <w:szCs w:val="18"/>
                <w:vertAlign w:val="baseline"/>
                <w:lang w:eastAsia="zh-CN" w:val="en-US"/>
              </w:rPr>
              <w:t/>
            </w:r>
          </w:p>
        </w:tc>
        <w:tc>
          <w:tcPr>
            <w:tcW w:type="dxa" w:w="1473"/>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联系电话</w:t>
            </w:r>
          </w:p>
        </w:tc>
        <w:tc>
          <w:tcPr>
            <w:tcW w:type="dxa" w:w="3523"/>
            <w:gridSpan w:val="2"/>
            <w:vAlign w:val="center"/>
          </w:tcPr>
          <w:p>
            <w:pPr>
              <w:jc w:val="center"/>
              <w:rPr>
                <w:rFonts w:ascii="宋体" w:cs="宋体" w:eastAsia="宋体" w:hAnsi="宋体" w:hint="eastAsia"/>
                <w:sz w:val="18"/>
                <w:szCs w:val="18"/>
                <w:vertAlign w:val="baseline"/>
              </w:rPr>
            </w:pPr>
          </w:p>
        </w:tc>
      </w:tr>
      <w:tr>
        <w:tblPrEx>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Ex>
        <w:trPr>
          <w:trHeight w:hRule="atLeast" w:val="588"/>
        </w:trPr>
        <w:tc>
          <w:tcPr>
            <w:tcW w:type="dxa" w:w="1861"/>
            <w:vAlign w:val="center"/>
          </w:tcPr>
          <w:p>
            <w:pPr>
              <w:jc w:val="center"/>
              <w:rPr>
                <w:rFonts w:ascii="宋体" w:cs="宋体" w:eastAsia="宋体" w:hAnsi="宋体" w:hint="eastAsia"/>
                <w:b/>
                <w:bCs/>
                <w:sz w:val="18"/>
                <w:szCs w:val="18"/>
                <w:vertAlign w:val="baseline"/>
                <w:lang w:eastAsia="zh-CN" w:val="en-US"/>
              </w:rPr>
            </w:pPr>
            <w:r>
              <w:rPr>
                <w:rFonts w:ascii="宋体" w:cs="宋体" w:eastAsia="宋体" w:hAnsi="宋体" w:hint="eastAsia"/>
                <w:b/>
                <w:bCs/>
                <w:sz w:val="18"/>
                <w:szCs w:val="18"/>
                <w:vertAlign w:val="baseline"/>
                <w:lang w:eastAsia="zh-CN" w:val="en-US"/>
              </w:rPr>
              <w:t>其他依法应当载明的内容</w:t>
            </w:r>
          </w:p>
        </w:tc>
        <w:tc>
          <w:tcPr>
            <w:tcW w:type="dxa" w:w="6661"/>
            <w:gridSpan w:val="5"/>
            <w:vAlign w:val="center"/>
          </w:tcPr>
          <w:p>
            <w:pPr>
              <w:jc w:val="center"/>
              <w:rPr>
                <w:rFonts w:ascii="宋体" w:cs="宋体" w:eastAsia="宋体" w:hAnsi="宋体" w:hint="eastAsia"/>
                <w:sz w:val="18"/>
                <w:szCs w:val="18"/>
                <w:vertAlign w:val="baseline"/>
              </w:rPr>
            </w:pPr>
          </w:p>
        </w:tc>
      </w:tr>
    </w:tbl>
    <w:p>
      <w:pPr>
        <w:rPr>
          <w:rFonts w:ascii="宋体" w:cs="宋体" w:eastAsia="宋体" w:hAnsi="宋体" w:hint="eastAsia"/>
        </w:rPr>
      </w:pPr>
    </w:p>
    <w:sectPr>
      <w:pgSz w:h="16838" w:w="11906"/>
      <w:pgMar w:bottom="1440" w:footer="992" w:gutter="0" w:header="851" w:left="1800" w:right="1800" w:top="1440"/>
      <w:cols w:num="1" w:space="425"/>
      <w:docGrid w:charSpace="0" w:linePitch="312" w:type="line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kYzBmYzViNmM1OWM4MGVhN2RmMzhiYTQ1MGQ4MTgifQ=="/>
  </w:docVars>
  <w:rsids>
    <w:rsidRoot w:val="00000000"/>
    <w:rsid w:val="028247F4"/>
    <w:rsid w:val="0396194E"/>
    <w:rsid w:val="04620439"/>
    <w:rsid w:val="05687A1E"/>
    <w:rsid w:val="05932FA0"/>
    <w:rsid w:val="072445B9"/>
    <w:rsid w:val="08B7634F"/>
    <w:rsid w:val="0A7B4003"/>
    <w:rsid w:val="0ADD625D"/>
    <w:rsid w:val="0B085689"/>
    <w:rsid w:val="0B66715B"/>
    <w:rsid w:val="0BEA32BC"/>
    <w:rsid w:val="0CC86D0F"/>
    <w:rsid w:val="11F8062F"/>
    <w:rsid w:val="133815F1"/>
    <w:rsid w:val="1424395D"/>
    <w:rsid w:val="151F6812"/>
    <w:rsid w:val="17BA3F9F"/>
    <w:rsid w:val="18FA3AAC"/>
    <w:rsid w:val="1903629F"/>
    <w:rsid w:val="1937087B"/>
    <w:rsid w:val="19BD16CC"/>
    <w:rsid w:val="1A8D6F59"/>
    <w:rsid w:val="1AE77ACD"/>
    <w:rsid w:val="1BA63D15"/>
    <w:rsid w:val="1E9A4F48"/>
    <w:rsid w:val="1F015BE8"/>
    <w:rsid w:val="1F6F644D"/>
    <w:rsid w:val="22240889"/>
    <w:rsid w:val="2288155B"/>
    <w:rsid w:val="244F43AD"/>
    <w:rsid w:val="24C5104D"/>
    <w:rsid w:val="25205A7B"/>
    <w:rsid w:val="25EF5485"/>
    <w:rsid w:val="26192901"/>
    <w:rsid w:val="26BB1EFF"/>
    <w:rsid w:val="27C844E7"/>
    <w:rsid w:val="2A3C3357"/>
    <w:rsid w:val="2AF66BF8"/>
    <w:rsid w:val="2BB24EAC"/>
    <w:rsid w:val="2C243739"/>
    <w:rsid w:val="2D1B36F8"/>
    <w:rsid w:val="2DAC7BED"/>
    <w:rsid w:val="2FBA5573"/>
    <w:rsid w:val="307C6264"/>
    <w:rsid w:val="32F5208D"/>
    <w:rsid w:val="33492641"/>
    <w:rsid w:val="33D47D4F"/>
    <w:rsid w:val="34BE7E51"/>
    <w:rsid w:val="358A56C2"/>
    <w:rsid w:val="35DF39AD"/>
    <w:rsid w:val="37CE29CF"/>
    <w:rsid w:val="385D5DEF"/>
    <w:rsid w:val="38E31CCA"/>
    <w:rsid w:val="396B18F5"/>
    <w:rsid w:val="3A0674A4"/>
    <w:rsid w:val="3ADC46EA"/>
    <w:rsid w:val="3CAF4612"/>
    <w:rsid w:val="3E972B6C"/>
    <w:rsid w:val="3FA50A7A"/>
    <w:rsid w:val="40185875"/>
    <w:rsid w:val="403666A1"/>
    <w:rsid w:val="40FD53A3"/>
    <w:rsid w:val="412F7925"/>
    <w:rsid w:val="42355B4F"/>
    <w:rsid w:val="43076734"/>
    <w:rsid w:val="4327700E"/>
    <w:rsid w:val="43AF4742"/>
    <w:rsid w:val="43ED593A"/>
    <w:rsid w:val="44093E52"/>
    <w:rsid w:val="44711472"/>
    <w:rsid w:val="450B3510"/>
    <w:rsid w:val="45F11042"/>
    <w:rsid w:val="46E719AA"/>
    <w:rsid w:val="473F6691"/>
    <w:rsid w:val="478F466E"/>
    <w:rsid w:val="485D29BF"/>
    <w:rsid w:val="48724017"/>
    <w:rsid w:val="49DC0844"/>
    <w:rsid w:val="4B1331CA"/>
    <w:rsid w:val="4BB26B7D"/>
    <w:rsid w:val="4C1A1186"/>
    <w:rsid w:val="4C235C4C"/>
    <w:rsid w:val="4EDF7A58"/>
    <w:rsid w:val="4F626994"/>
    <w:rsid w:val="4FAD422B"/>
    <w:rsid w:val="4FCD042A"/>
    <w:rsid w:val="50037A14"/>
    <w:rsid w:val="50C35086"/>
    <w:rsid w:val="50CD3B67"/>
    <w:rsid w:val="546E63A5"/>
    <w:rsid w:val="55F14746"/>
    <w:rsid w:val="57812F2D"/>
    <w:rsid w:val="587578B0"/>
    <w:rsid w:val="58B242BD"/>
    <w:rsid w:val="59E26240"/>
    <w:rsid w:val="5C321615"/>
    <w:rsid w:val="5C53318D"/>
    <w:rsid w:val="5CE9261B"/>
    <w:rsid w:val="5D301FF8"/>
    <w:rsid w:val="5DA84284"/>
    <w:rsid w:val="5ED93504"/>
    <w:rsid w:val="5F107065"/>
    <w:rsid w:val="60592C21"/>
    <w:rsid w:val="60EA79A6"/>
    <w:rsid w:val="612C2AD6"/>
    <w:rsid w:val="62944BFA"/>
    <w:rsid w:val="638D1ED6"/>
    <w:rsid w:val="63DA4A6C"/>
    <w:rsid w:val="65165D18"/>
    <w:rsid w:val="657C227E"/>
    <w:rsid w:val="65A2329F"/>
    <w:rsid w:val="676E4DB6"/>
    <w:rsid w:val="6779459B"/>
    <w:rsid w:val="686178A3"/>
    <w:rsid w:val="68BE495C"/>
    <w:rsid w:val="68CF4DBB"/>
    <w:rsid w:val="69C615E3"/>
    <w:rsid w:val="6A1B23CD"/>
    <w:rsid w:val="6A2230B3"/>
    <w:rsid w:val="6BDA0D35"/>
    <w:rsid w:val="6C1A459F"/>
    <w:rsid w:val="6C2E3313"/>
    <w:rsid w:val="6CA51AD2"/>
    <w:rsid w:val="6D01750D"/>
    <w:rsid w:val="6D747CDF"/>
    <w:rsid w:val="6E0F17B6"/>
    <w:rsid w:val="6E586D17"/>
    <w:rsid w:val="6F603095"/>
    <w:rsid w:val="706728F0"/>
    <w:rsid w:val="71CA611F"/>
    <w:rsid w:val="72AB7B7B"/>
    <w:rsid w:val="745B748A"/>
    <w:rsid w:val="74777E8B"/>
    <w:rsid w:val="751A73BE"/>
    <w:rsid w:val="764C2334"/>
    <w:rsid w:val="781B08C4"/>
    <w:rsid w:val="786170B2"/>
    <w:rsid w:val="7A276C5B"/>
    <w:rsid w:val="7A737ACF"/>
    <w:rsid w:val="7AB30DC5"/>
    <w:rsid w:val="7B0F7299"/>
    <w:rsid w:val="7B263107"/>
    <w:rsid w:val="7BE54F72"/>
    <w:rsid w:val="7C142DB9"/>
    <w:rsid w:val="7CBA4636"/>
  </w:rsids>
  <m:mathPr>
    <m:mathFont m:val="Cambria Math"/>
    <m:brkBin m:val="before"/>
    <m:brkBinSub m:val="--"/>
    <m:smallFrac m:val="0"/>
    <m:dispDef/>
    <m:lMargin m:val="0"/>
    <m:rMargin m:val="0"/>
    <m:defJc m:val="centerGroup"/>
    <m:wrapIndent m:val="1440"/>
    <m:intLim m:val="subSup"/>
    <m:naryLim m:val="undOvr"/>
  </m:mathPr>
  <w:themeFontLang w:eastAsia="zh-CN" w:val="en-US"/>
  <w:clrSchemeMapping w:accent1="accent1" w:accent2="accent2" w:accent3="accent3" w:accent4="accent4" w:accent5="accent5" w:accent6="accent6" w:bg1="light1" w:bg2="light2" w:followedHyperlink="followedHyperlink" w:hyperlink="hyperlink" w:t1="dark1" w:t2="dark2"/>
  <w:doNotIncludeSubdocsInStats/>
</w:settings>
</file>

<file path=word/styles.xml><?xml version="1.0" encoding="utf-8"?>
<w:style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psCustomData="http://www.wps.cn/officeDocument/2013/wpsCustomData" mc:Ignorable="w14">
  <w:docDefaults>
    <w:rPrDefault>
      <w:rPr>
        <w:rFonts w:ascii="Times New Roman" w:cs="Times New Roman" w:eastAsia="宋体" w:hAnsi="Times New Roman"/>
      </w:rPr>
    </w:rPrDefault>
    <w:pPrDefault/>
  </w:docDefaults>
  <w:latentStyles w:count="260" w:defLockedState="0" w:defQFormat="0" w:defSemiHidden="1" w:defUIPriority="99" w:defUnhideWhenUsed="1">
    <w:lsdException w:name="Normal" w:qFormat="1" w:semiHidden="0" w:uiPriority="0" w:unhideWhenUsed="0"/>
    <w:lsdException w:name="heading 1" w:qFormat="1" w:semiHidden="0" w:uiPriority="0" w:unhideWhenUsed="0"/>
    <w:lsdException w:name="heading 2" w:qFormat="1" w:semiHidden="0" w:uiPriority="0"/>
    <w:lsdException w:name="heading 3" w:qFormat="1" w:uiPriority="0"/>
    <w:lsdException w:name="heading 4" w:qFormat="1" w:uiPriority="0"/>
    <w:lsdException w:name="heading 5" w:qFormat="1" w:uiPriority="0"/>
    <w:lsdException w:name="heading 6" w:qFormat="1" w:uiPriority="0"/>
    <w:lsdException w:name="heading 7" w:qFormat="1" w:uiPriority="0"/>
    <w:lsdException w:name="heading 8" w:qFormat="1" w:uiPriority="0"/>
    <w:lsdException w:name="heading 9" w:qFormat="1" w:uiPriority="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qFormat="1" w:uiPriority="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qFormat="1" w:semiHidden="0" w:uiPriority="0" w:unhideWhenUsed="0"/>
    <w:lsdException w:name="Closing" w:semiHidden="0" w:uiPriority="0" w:unhideWhenUsed="0"/>
    <w:lsdException w:name="Signature" w:semiHidden="0" w:uiPriority="0" w:unhideWhenUsed="0"/>
    <w:lsdException w:name="Default Paragraph Font" w:qFormat="1"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qFormat="1"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qFormat="1" w:semiHidden="0" w:uiPriority="0" w:unhideWhenUsed="0"/>
    <w:lsdException w:name="Emphasis" w:qFormat="1"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qFormat="1"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qFormat="1"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default="1" w:styleId="1" w:type="paragraph">
    <w:name w:val="Normal"/>
    <w:qFormat/>
    <w:uiPriority w:val="0"/>
    <w:pPr>
      <w:widowControl w:val="0"/>
      <w:jc w:val="both"/>
    </w:pPr>
    <w:rPr>
      <w:rFonts w:asciiTheme="minorHAnsi" w:cstheme="minorBidi" w:eastAsiaTheme="minorEastAsia" w:hAnsiTheme="minorHAnsi"/>
      <w:kern w:val="2"/>
      <w:sz w:val="21"/>
      <w:szCs w:val="24"/>
      <w:lang w:bidi="ar-SA" w:eastAsia="zh-CN" w:val="en-US"/>
    </w:rPr>
  </w:style>
  <w:style w:styleId="2" w:type="paragraph">
    <w:name w:val="heading 2"/>
    <w:basedOn w:val="1"/>
    <w:next w:val="1"/>
    <w:unhideWhenUsed/>
    <w:qFormat/>
    <w:uiPriority w:val="0"/>
    <w:pPr>
      <w:keepNext/>
      <w:keepLines/>
      <w:spacing w:after="260" w:afterAutospacing="0" w:afterLines="0" w:before="260" w:beforeAutospacing="0" w:beforeLines="0" w:line="413" w:lineRule="auto"/>
      <w:outlineLvl w:val="1"/>
    </w:pPr>
    <w:rPr>
      <w:rFonts w:ascii="Arial" w:eastAsia="黑体" w:hAnsi="Arial"/>
      <w:b/>
      <w:sz w:val="32"/>
    </w:rPr>
  </w:style>
  <w:style w:default="1" w:styleId="6" w:type="character">
    <w:name w:val="Default Paragraph Font"/>
    <w:semiHidden/>
    <w:qFormat/>
    <w:uiPriority w:val="0"/>
  </w:style>
  <w:style w:default="1" w:styleId="4" w:type="table">
    <w:name w:val="Normal Table"/>
    <w:semiHidden/>
    <w:qFormat/>
    <w:uiPriority w:val="0"/>
    <w:tblPr>
      <w:tblCellMar>
        <w:top w:type="dxa" w:w="0"/>
        <w:left w:type="dxa" w:w="108"/>
        <w:bottom w:type="dxa" w:w="0"/>
        <w:right w:type="dxa" w:w="108"/>
      </w:tblCellMar>
    </w:tblPr>
  </w:style>
  <w:style w:styleId="3" w:type="paragraph">
    <w:name w:val="HTML Preformatted"/>
    <w:basedOn w:val="1"/>
    <w:uiPriority w:val="0"/>
    <w:pPr>
      <w:tabs>
        <w:tab w:pos="916" w:val="left"/>
        <w:tab w:pos="1832" w:val="left"/>
        <w:tab w:pos="2748" w:val="left"/>
        <w:tab w:pos="3664" w:val="left"/>
        <w:tab w:pos="4580" w:val="left"/>
        <w:tab w:pos="5496" w:val="left"/>
        <w:tab w:pos="6412" w:val="left"/>
        <w:tab w:pos="7328" w:val="left"/>
        <w:tab w:pos="8244" w:val="left"/>
        <w:tab w:pos="9160" w:val="left"/>
        <w:tab w:pos="10076" w:val="left"/>
        <w:tab w:pos="10992" w:val="left"/>
        <w:tab w:pos="11908" w:val="left"/>
        <w:tab w:pos="12824" w:val="left"/>
        <w:tab w:pos="13740" w:val="left"/>
        <w:tab w:pos="14656" w:val="left"/>
      </w:tabs>
      <w:jc w:val="left"/>
    </w:pPr>
    <w:rPr>
      <w:rFonts w:ascii="宋体" w:cs="宋体" w:eastAsia="宋体" w:hAnsi="宋体" w:hint="eastAsia"/>
      <w:kern w:val="0"/>
      <w:sz w:val="24"/>
      <w:szCs w:val="24"/>
      <w:lang w:bidi="ar" w:eastAsia="zh-CN" w:val="en-US"/>
    </w:rPr>
  </w:style>
  <w:style w:styleId="5" w:type="table">
    <w:name w:val="Table Grid"/>
    <w:basedOn w:val="4"/>
    <w:qFormat/>
    <w:uiPriority w:val="0"/>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2023-10-30T03:10:00Z</dcterms:created>
  <dc:creator>ct</dc:creator>
  <cp:lastModifiedBy>空白</cp:lastModifiedBy>
  <dcterms:modified xsi:type="dcterms:W3CDTF">2023-11-08T02:35:37Z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KSOProductBuildVer" pid="2">
    <vt:lpwstr>2052-12.1.0.15712</vt:lpwstr>
  </property>
  <property fmtid="{D5CDD505-2E9C-101B-9397-08002B2CF9AE}" name="ICV" pid="3">
    <vt:lpwstr>DE513D7F1DA64BA78ED3D63D32C30144_12</vt:lpwstr>
  </property>
</Properties>
</file>