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5E6E5">
      <w:pPr>
        <w:spacing w:line="360" w:lineRule="auto"/>
        <w:jc w:val="right"/>
        <w:rPr>
          <w:rFonts w:ascii="宋体" w:cs="Courier New"/>
          <w:b/>
          <w:bCs/>
          <w:color w:val="auto"/>
          <w:sz w:val="72"/>
          <w:szCs w:val="72"/>
          <w:highlight w:val="none"/>
        </w:rPr>
      </w:pPr>
      <w:r>
        <w:rPr>
          <w:rFonts w:ascii="宋体" w:hAnsi="宋体" w:cs="Courier New"/>
          <w:bCs/>
          <w:color w:val="auto"/>
          <w:sz w:val="22"/>
          <w:szCs w:val="22"/>
          <w:highlight w:val="none"/>
        </w:rPr>
        <w:t>合同编号：</w:t>
      </w:r>
      <w:r>
        <w:rPr>
          <w:rFonts w:hint="eastAsia" w:ascii="宋体" w:hAnsi="宋体" w:cs="Courier New"/>
          <w:bCs/>
          <w:color w:val="auto"/>
          <w:sz w:val="22"/>
          <w:szCs w:val="22"/>
          <w:highlight w:val="none"/>
        </w:rPr>
        <w:t>穗东进产业园</w:t>
      </w:r>
      <w:r>
        <w:rPr>
          <w:rFonts w:hint="eastAsia" w:ascii="宋体" w:hAnsi="宋体" w:cs="Courier New"/>
          <w:bCs/>
          <w:color w:val="auto"/>
          <w:sz w:val="22"/>
          <w:szCs w:val="22"/>
          <w:highlight w:val="none"/>
          <w:u w:val="single"/>
        </w:rPr>
        <w:t xml:space="preserve">                </w:t>
      </w:r>
      <w:r>
        <w:rPr>
          <w:rFonts w:hint="eastAsia" w:ascii="宋体" w:hAnsi="宋体" w:cs="Courier New"/>
          <w:bCs/>
          <w:color w:val="auto"/>
          <w:sz w:val="22"/>
          <w:szCs w:val="22"/>
          <w:highlight w:val="none"/>
        </w:rPr>
        <w:t xml:space="preserve"> 号</w:t>
      </w:r>
    </w:p>
    <w:p w14:paraId="6146B508">
      <w:pPr>
        <w:spacing w:line="360" w:lineRule="auto"/>
        <w:jc w:val="center"/>
        <w:rPr>
          <w:rFonts w:hint="eastAsia" w:ascii="宋体" w:hAnsi="宋体" w:cs="Courier New"/>
          <w:bCs/>
          <w:color w:val="auto"/>
          <w:szCs w:val="21"/>
          <w:highlight w:val="none"/>
        </w:rPr>
      </w:pPr>
    </w:p>
    <w:p w14:paraId="6FC450C4">
      <w:pPr>
        <w:spacing w:line="360" w:lineRule="auto"/>
        <w:jc w:val="center"/>
        <w:rPr>
          <w:rFonts w:hint="eastAsia" w:ascii="宋体" w:hAnsi="宋体" w:cs="Courier New"/>
          <w:bCs/>
          <w:color w:val="auto"/>
          <w:szCs w:val="21"/>
          <w:highlight w:val="none"/>
        </w:rPr>
      </w:pPr>
    </w:p>
    <w:p w14:paraId="494FB238">
      <w:pPr>
        <w:spacing w:line="360" w:lineRule="auto"/>
        <w:rPr>
          <w:rFonts w:hint="eastAsia" w:ascii="宋体" w:hAnsi="宋体" w:cs="Courier New"/>
          <w:bCs/>
          <w:color w:val="auto"/>
          <w:szCs w:val="21"/>
          <w:highlight w:val="none"/>
        </w:rPr>
      </w:pPr>
    </w:p>
    <w:p w14:paraId="3070F471">
      <w:pPr>
        <w:spacing w:line="360" w:lineRule="auto"/>
        <w:jc w:val="center"/>
        <w:rPr>
          <w:rFonts w:hint="eastAsia" w:ascii="宋体" w:hAnsi="宋体" w:cs="Courier New"/>
          <w:bCs/>
          <w:color w:val="auto"/>
          <w:szCs w:val="21"/>
          <w:highlight w:val="none"/>
        </w:rPr>
      </w:pPr>
    </w:p>
    <w:p w14:paraId="4A8DBF55">
      <w:pPr>
        <w:spacing w:line="360" w:lineRule="auto"/>
        <w:jc w:val="center"/>
        <w:rPr>
          <w:rFonts w:hint="eastAsia" w:ascii="宋体" w:hAnsi="宋体" w:cs="Courier New"/>
          <w:bCs/>
          <w:color w:val="auto"/>
          <w:szCs w:val="21"/>
          <w:highlight w:val="none"/>
        </w:rPr>
      </w:pPr>
    </w:p>
    <w:p w14:paraId="1BFA30E5">
      <w:pPr>
        <w:spacing w:line="360" w:lineRule="auto"/>
        <w:jc w:val="center"/>
        <w:rPr>
          <w:rFonts w:hint="eastAsia" w:ascii="宋体" w:hAnsi="宋体" w:cs="Courier New"/>
          <w:bCs/>
          <w:color w:val="auto"/>
          <w:szCs w:val="21"/>
          <w:highlight w:val="none"/>
        </w:rPr>
      </w:pPr>
    </w:p>
    <w:p w14:paraId="41BE5347">
      <w:pPr>
        <w:spacing w:line="360" w:lineRule="auto"/>
        <w:jc w:val="center"/>
        <w:rPr>
          <w:rFonts w:ascii="宋体" w:cs="Courier New"/>
          <w:b/>
          <w:bCs/>
          <w:color w:val="auto"/>
          <w:sz w:val="72"/>
          <w:szCs w:val="72"/>
          <w:highlight w:val="none"/>
        </w:rPr>
      </w:pPr>
      <w:r>
        <w:rPr>
          <w:rFonts w:ascii="宋体" w:hAnsi="宋体" w:cs="Courier New"/>
          <w:bCs/>
          <w:color w:val="auto"/>
          <w:szCs w:val="21"/>
          <w:highlight w:val="none"/>
        </w:rPr>
        <w:t xml:space="preserve">          </w:t>
      </w:r>
      <w:r>
        <w:rPr>
          <w:rFonts w:hint="eastAsia" w:ascii="宋体" w:hAnsi="宋体" w:cs="Courier New"/>
          <w:b/>
          <w:bCs/>
          <w:color w:val="auto"/>
          <w:sz w:val="72"/>
          <w:szCs w:val="72"/>
          <w:highlight w:val="none"/>
        </w:rPr>
        <w:t>建设工程监理合同</w:t>
      </w:r>
    </w:p>
    <w:p w14:paraId="7A9B0DEA">
      <w:pPr>
        <w:spacing w:line="360" w:lineRule="auto"/>
        <w:jc w:val="center"/>
        <w:rPr>
          <w:rFonts w:eastAsia="仿宋_GB2312"/>
          <w:b/>
          <w:color w:val="auto"/>
          <w:sz w:val="32"/>
          <w:highlight w:val="none"/>
        </w:rPr>
      </w:pPr>
    </w:p>
    <w:p w14:paraId="7152E68D">
      <w:pPr>
        <w:spacing w:line="360" w:lineRule="auto"/>
        <w:jc w:val="center"/>
        <w:rPr>
          <w:rFonts w:eastAsia="仿宋_GB2312"/>
          <w:b/>
          <w:color w:val="auto"/>
          <w:sz w:val="28"/>
          <w:highlight w:val="none"/>
        </w:rPr>
      </w:pPr>
      <w:r>
        <w:rPr>
          <w:rFonts w:eastAsia="仿宋_GB2312"/>
          <w:b/>
          <w:color w:val="auto"/>
          <w:sz w:val="28"/>
          <w:highlight w:val="none"/>
        </w:rPr>
        <w:t xml:space="preserve"> </w:t>
      </w:r>
    </w:p>
    <w:p w14:paraId="4616A43E">
      <w:pPr>
        <w:spacing w:line="360" w:lineRule="auto"/>
        <w:jc w:val="center"/>
        <w:rPr>
          <w:rFonts w:eastAsia="仿宋_GB2312"/>
          <w:b/>
          <w:color w:val="auto"/>
          <w:sz w:val="28"/>
          <w:highlight w:val="none"/>
        </w:rPr>
      </w:pPr>
    </w:p>
    <w:p w14:paraId="063E293E">
      <w:pPr>
        <w:spacing w:line="360" w:lineRule="auto"/>
        <w:jc w:val="center"/>
        <w:rPr>
          <w:rFonts w:eastAsia="仿宋_GB2312"/>
          <w:b/>
          <w:color w:val="auto"/>
          <w:sz w:val="28"/>
          <w:highlight w:val="none"/>
        </w:rPr>
      </w:pPr>
    </w:p>
    <w:p w14:paraId="3A0A6616">
      <w:pPr>
        <w:spacing w:line="360" w:lineRule="auto"/>
        <w:rPr>
          <w:rFonts w:eastAsia="仿宋_GB2312"/>
          <w:b/>
          <w:color w:val="auto"/>
          <w:sz w:val="28"/>
          <w:highlight w:val="none"/>
        </w:rPr>
      </w:pPr>
    </w:p>
    <w:p w14:paraId="79F6101B">
      <w:pPr>
        <w:spacing w:line="360" w:lineRule="auto"/>
        <w:jc w:val="center"/>
        <w:rPr>
          <w:rFonts w:eastAsia="仿宋_GB2312"/>
          <w:b/>
          <w:color w:val="auto"/>
          <w:sz w:val="28"/>
          <w:highlight w:val="none"/>
        </w:rPr>
      </w:pPr>
    </w:p>
    <w:p w14:paraId="3BD8117F">
      <w:pPr>
        <w:spacing w:line="800" w:lineRule="exact"/>
        <w:ind w:firstLine="1560" w:firstLineChars="650"/>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lang w:val="en-US" w:eastAsia="zh-CN"/>
        </w:rPr>
        <w:t>广州东部外贸综合服务产业园项目监理</w:t>
      </w:r>
      <w:r>
        <w:rPr>
          <w:rFonts w:hint="eastAsia" w:ascii="宋体" w:hAnsi="宋体"/>
          <w:color w:val="auto"/>
          <w:sz w:val="24"/>
          <w:highlight w:val="none"/>
        </w:rPr>
        <w:t xml:space="preserve">   </w:t>
      </w:r>
    </w:p>
    <w:p w14:paraId="3FDBF9C2">
      <w:pPr>
        <w:spacing w:line="800" w:lineRule="exact"/>
        <w:ind w:firstLine="1560" w:firstLineChars="650"/>
        <w:rPr>
          <w:rFonts w:hint="eastAsia" w:ascii="宋体" w:hAnsi="宋体"/>
          <w:color w:val="auto"/>
          <w:sz w:val="24"/>
          <w:highlight w:val="none"/>
          <w:u w:val="single"/>
        </w:rPr>
      </w:pPr>
      <w:r>
        <w:rPr>
          <w:rFonts w:hint="eastAsia" w:ascii="宋体" w:hAnsi="宋体"/>
          <w:color w:val="auto"/>
          <w:sz w:val="24"/>
          <w:highlight w:val="none"/>
        </w:rPr>
        <w:t>委 托 人：</w:t>
      </w:r>
      <w:r>
        <w:rPr>
          <w:rFonts w:hint="eastAsia" w:ascii="宋体" w:hAnsi="宋体"/>
          <w:color w:val="auto"/>
          <w:sz w:val="24"/>
          <w:highlight w:val="none"/>
          <w:u w:val="single"/>
        </w:rPr>
        <w:t>广州增城智</w:t>
      </w:r>
      <w:r>
        <w:rPr>
          <w:rFonts w:hint="eastAsia" w:ascii="宋体" w:hAnsi="宋体"/>
          <w:color w:val="auto"/>
          <w:sz w:val="24"/>
          <w:highlight w:val="none"/>
          <w:u w:val="single"/>
          <w:lang w:val="en-US" w:eastAsia="zh-CN"/>
        </w:rPr>
        <w:t>通</w:t>
      </w:r>
      <w:r>
        <w:rPr>
          <w:rFonts w:hint="eastAsia" w:ascii="宋体" w:hAnsi="宋体"/>
          <w:color w:val="auto"/>
          <w:sz w:val="24"/>
          <w:highlight w:val="none"/>
          <w:u w:val="single"/>
        </w:rPr>
        <w:t>投资发展有限公司</w:t>
      </w:r>
    </w:p>
    <w:p w14:paraId="2F70D660">
      <w:pPr>
        <w:snapToGrid w:val="0"/>
        <w:spacing w:line="800" w:lineRule="exact"/>
        <w:ind w:firstLine="1560" w:firstLineChars="650"/>
        <w:rPr>
          <w:rFonts w:hint="eastAsia" w:ascii="宋体" w:hAnsi="宋体"/>
          <w:color w:val="auto"/>
          <w:sz w:val="24"/>
          <w:highlight w:val="none"/>
        </w:rPr>
      </w:pPr>
      <w:r>
        <w:rPr>
          <w:rFonts w:hint="eastAsia" w:ascii="宋体" w:hAnsi="宋体"/>
          <w:color w:val="auto"/>
          <w:sz w:val="24"/>
          <w:highlight w:val="none"/>
        </w:rPr>
        <w:t>监 理 人：</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57D0A93">
      <w:pPr>
        <w:snapToGrid w:val="0"/>
        <w:spacing w:line="800" w:lineRule="exact"/>
        <w:ind w:firstLine="1560" w:firstLineChars="650"/>
        <w:rPr>
          <w:rFonts w:hint="eastAsia" w:ascii="宋体" w:hAnsi="宋体" w:cs="仿宋_GB2312"/>
          <w:color w:val="auto"/>
          <w:sz w:val="24"/>
          <w:highlight w:val="none"/>
          <w:u w:val="single"/>
        </w:rPr>
      </w:pPr>
      <w:r>
        <w:rPr>
          <w:rFonts w:hint="eastAsia" w:ascii="宋体" w:hAnsi="宋体" w:cs="仿宋_GB2312"/>
          <w:color w:val="auto"/>
          <w:sz w:val="24"/>
          <w:highlight w:val="none"/>
        </w:rPr>
        <w:t>签订日期：</w:t>
      </w:r>
      <w:r>
        <w:rPr>
          <w:rFonts w:hint="eastAsia" w:ascii="宋体" w:hAnsi="宋体" w:cs="仿宋_GB2312"/>
          <w:color w:val="auto"/>
          <w:sz w:val="24"/>
          <w:highlight w:val="none"/>
          <w:u w:val="single"/>
          <w:lang w:val="en-US" w:eastAsia="zh-CN"/>
        </w:rPr>
        <w:t>2025</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月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2DF0C215">
      <w:pPr>
        <w:snapToGrid w:val="0"/>
        <w:spacing w:line="800" w:lineRule="exact"/>
        <w:ind w:firstLine="1560" w:firstLineChars="650"/>
        <w:rPr>
          <w:rFonts w:hint="eastAsia" w:ascii="宋体" w:hAnsi="宋体" w:cs="仿宋_GB2312"/>
          <w:color w:val="auto"/>
          <w:sz w:val="28"/>
          <w:szCs w:val="28"/>
          <w:highlight w:val="none"/>
        </w:rPr>
      </w:pPr>
      <w:r>
        <w:rPr>
          <w:rFonts w:hint="eastAsia" w:ascii="宋体" w:hAnsi="宋体" w:cs="仿宋_GB2312"/>
          <w:color w:val="auto"/>
          <w:sz w:val="24"/>
          <w:highlight w:val="none"/>
        </w:rPr>
        <w:t>签订地点：广州市增城区</w:t>
      </w:r>
    </w:p>
    <w:p w14:paraId="19B5D560">
      <w:pPr>
        <w:spacing w:line="360" w:lineRule="auto"/>
        <w:rPr>
          <w:rFonts w:ascii="宋体"/>
          <w:color w:val="auto"/>
          <w:highlight w:val="none"/>
        </w:rPr>
        <w:sectPr>
          <w:headerReference r:id="rId3" w:type="default"/>
          <w:footerReference r:id="rId4" w:type="default"/>
          <w:pgSz w:w="11906" w:h="16838"/>
          <w:pgMar w:top="1418" w:right="1418" w:bottom="1276" w:left="1418" w:header="851" w:footer="1191" w:gutter="0"/>
          <w:cols w:space="720" w:num="1"/>
          <w:docGrid w:type="lines" w:linePitch="312" w:charSpace="0"/>
        </w:sectPr>
      </w:pPr>
    </w:p>
    <w:p w14:paraId="65EAEF61">
      <w:pPr>
        <w:pStyle w:val="3"/>
        <w:jc w:val="center"/>
        <w:rPr>
          <w:rFonts w:ascii="宋体"/>
          <w:b w:val="0"/>
          <w:color w:val="auto"/>
          <w:sz w:val="32"/>
          <w:highlight w:val="none"/>
        </w:rPr>
      </w:pPr>
      <w:r>
        <w:rPr>
          <w:rFonts w:hint="eastAsia" w:ascii="宋体" w:hAnsi="宋体"/>
          <w:b w:val="0"/>
          <w:color w:val="auto"/>
          <w:sz w:val="32"/>
          <w:highlight w:val="none"/>
        </w:rPr>
        <w:t>第一部分</w:t>
      </w:r>
      <w:r>
        <w:rPr>
          <w:rFonts w:ascii="宋体" w:hAnsi="宋体"/>
          <w:b w:val="0"/>
          <w:color w:val="auto"/>
          <w:sz w:val="32"/>
          <w:highlight w:val="none"/>
        </w:rPr>
        <w:t xml:space="preserve">  </w:t>
      </w:r>
      <w:r>
        <w:rPr>
          <w:rFonts w:hint="eastAsia" w:ascii="宋体" w:hAnsi="宋体"/>
          <w:b w:val="0"/>
          <w:color w:val="auto"/>
          <w:sz w:val="32"/>
          <w:highlight w:val="none"/>
        </w:rPr>
        <w:t>协议书</w:t>
      </w:r>
    </w:p>
    <w:p w14:paraId="18E5FD79">
      <w:pPr>
        <w:adjustRightInd w:val="0"/>
        <w:snapToGrid w:val="0"/>
        <w:spacing w:line="360" w:lineRule="auto"/>
        <w:ind w:firstLine="482" w:firstLineChars="200"/>
        <w:rPr>
          <w:rFonts w:hint="eastAsia" w:ascii="宋体" w:hAnsi="宋体" w:cs="宋体"/>
          <w:b/>
          <w:color w:val="auto"/>
          <w:sz w:val="24"/>
          <w:highlight w:val="none"/>
          <w:u w:val="single"/>
        </w:rPr>
      </w:pPr>
      <w:r>
        <w:rPr>
          <w:rFonts w:hint="eastAsia" w:ascii="宋体" w:hAnsi="宋体" w:cs="宋体"/>
          <w:b/>
          <w:color w:val="auto"/>
          <w:sz w:val="24"/>
          <w:highlight w:val="none"/>
        </w:rPr>
        <w:t>委托人（全称）：</w:t>
      </w:r>
      <w:r>
        <w:rPr>
          <w:rFonts w:hint="eastAsia" w:ascii="宋体" w:hAnsi="宋体" w:cs="宋体"/>
          <w:b/>
          <w:color w:val="auto"/>
          <w:sz w:val="24"/>
          <w:highlight w:val="none"/>
          <w:u w:val="single"/>
        </w:rPr>
        <w:t>广州增城智</w:t>
      </w:r>
      <w:r>
        <w:rPr>
          <w:rFonts w:hint="eastAsia" w:ascii="宋体" w:hAnsi="宋体" w:cs="宋体"/>
          <w:b/>
          <w:color w:val="auto"/>
          <w:sz w:val="24"/>
          <w:highlight w:val="none"/>
          <w:u w:val="single"/>
          <w:lang w:val="en-US" w:eastAsia="zh-CN"/>
        </w:rPr>
        <w:t>通</w:t>
      </w:r>
      <w:r>
        <w:rPr>
          <w:rFonts w:hint="eastAsia" w:ascii="宋体" w:hAnsi="宋体" w:cs="宋体"/>
          <w:b/>
          <w:color w:val="auto"/>
          <w:sz w:val="24"/>
          <w:highlight w:val="none"/>
          <w:u w:val="single"/>
        </w:rPr>
        <w:t>投资发展有限公司</w:t>
      </w:r>
    </w:p>
    <w:p w14:paraId="54398638">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统一社会信用代码：</w:t>
      </w:r>
      <w:r>
        <w:rPr>
          <w:rFonts w:hint="eastAsia" w:ascii="宋体" w:hAnsi="宋体" w:cs="宋体"/>
          <w:b/>
          <w:color w:val="auto"/>
          <w:sz w:val="24"/>
          <w:highlight w:val="none"/>
          <w:u w:val="single"/>
        </w:rPr>
        <w:t>91440118MAE3JHUB66</w:t>
      </w:r>
      <w:r>
        <w:rPr>
          <w:rFonts w:hint="eastAsia" w:ascii="宋体" w:hAnsi="宋体" w:cs="宋体"/>
          <w:b/>
          <w:color w:val="auto"/>
          <w:sz w:val="24"/>
          <w:highlight w:val="none"/>
        </w:rPr>
        <w:t xml:space="preserve"> </w:t>
      </w:r>
    </w:p>
    <w:p w14:paraId="4CB8AB1C">
      <w:pPr>
        <w:adjustRightInd w:val="0"/>
        <w:snapToGrid w:val="0"/>
        <w:spacing w:line="360" w:lineRule="auto"/>
        <w:ind w:firstLine="482" w:firstLineChars="200"/>
        <w:rPr>
          <w:rFonts w:hint="eastAsia" w:ascii="宋体" w:hAnsi="宋体" w:cs="宋体"/>
          <w:b/>
          <w:color w:val="auto"/>
          <w:kern w:val="0"/>
          <w:sz w:val="24"/>
          <w:highlight w:val="none"/>
        </w:rPr>
      </w:pPr>
      <w:r>
        <w:rPr>
          <w:rFonts w:hint="eastAsia" w:ascii="宋体" w:hAnsi="宋体" w:cs="宋体"/>
          <w:b/>
          <w:color w:val="auto"/>
          <w:sz w:val="24"/>
          <w:highlight w:val="none"/>
        </w:rPr>
        <w:t>法定代表人：</w:t>
      </w:r>
      <w:r>
        <w:rPr>
          <w:rFonts w:hint="eastAsia" w:ascii="宋体" w:hAnsi="宋体" w:cs="宋体"/>
          <w:b/>
          <w:color w:val="auto"/>
          <w:sz w:val="24"/>
          <w:highlight w:val="none"/>
          <w:u w:val="single"/>
          <w:lang w:val="en-US" w:eastAsia="zh-CN"/>
        </w:rPr>
        <w:t>邓俊</w:t>
      </w:r>
    </w:p>
    <w:p w14:paraId="0B271755">
      <w:pPr>
        <w:pStyle w:val="7"/>
        <w:spacing w:before="0" w:beforeAutospacing="0" w:line="360" w:lineRule="auto"/>
        <w:ind w:right="120" w:firstLine="482" w:firstLineChars="200"/>
        <w:rPr>
          <w:rFonts w:hint="eastAsia"/>
          <w:b/>
          <w:color w:val="auto"/>
          <w:highlight w:val="none"/>
        </w:rPr>
      </w:pPr>
      <w:r>
        <w:rPr>
          <w:rFonts w:hint="eastAsia"/>
          <w:b/>
          <w:color w:val="auto"/>
          <w:highlight w:val="none"/>
        </w:rPr>
        <w:t>地      址：</w:t>
      </w:r>
      <w:r>
        <w:rPr>
          <w:rFonts w:hint="eastAsia" w:ascii="宋体" w:hAnsi="宋体" w:cs="宋体"/>
          <w:b/>
          <w:color w:val="auto"/>
          <w:sz w:val="24"/>
          <w:highlight w:val="none"/>
          <w:u w:val="single"/>
        </w:rPr>
        <w:t>广州市增城区中新镇乌石二路64号207房附近企业</w:t>
      </w:r>
      <w:r>
        <w:rPr>
          <w:rFonts w:hint="eastAsia"/>
          <w:b/>
          <w:color w:val="auto"/>
          <w:highlight w:val="none"/>
        </w:rPr>
        <w:t xml:space="preserve">                                           </w:t>
      </w:r>
    </w:p>
    <w:p w14:paraId="5F3BE912">
      <w:pPr>
        <w:adjustRightInd w:val="0"/>
        <w:snapToGrid w:val="0"/>
        <w:spacing w:line="360" w:lineRule="auto"/>
        <w:ind w:firstLine="482" w:firstLineChars="200"/>
        <w:rPr>
          <w:rFonts w:hint="eastAsia" w:ascii="宋体" w:hAnsi="宋体" w:cs="宋体"/>
          <w:b/>
          <w:color w:val="auto"/>
          <w:sz w:val="24"/>
          <w:highlight w:val="none"/>
        </w:rPr>
      </w:pPr>
    </w:p>
    <w:p w14:paraId="318A6C62">
      <w:pPr>
        <w:adjustRightInd w:val="0"/>
        <w:snapToGrid w:val="0"/>
        <w:spacing w:line="360" w:lineRule="auto"/>
        <w:ind w:firstLine="482" w:firstLineChars="200"/>
        <w:rPr>
          <w:rFonts w:hint="eastAsia" w:ascii="宋体" w:hAnsi="宋体" w:cs="宋体"/>
          <w:b/>
          <w:color w:val="auto"/>
          <w:sz w:val="24"/>
          <w:highlight w:val="none"/>
          <w:u w:val="single"/>
        </w:rPr>
      </w:pPr>
    </w:p>
    <w:p w14:paraId="1821FA2E">
      <w:pPr>
        <w:adjustRightInd w:val="0"/>
        <w:snapToGrid w:val="0"/>
        <w:spacing w:line="360" w:lineRule="auto"/>
        <w:ind w:firstLine="482" w:firstLineChars="200"/>
        <w:rPr>
          <w:rFonts w:hint="eastAsia" w:ascii="宋体" w:hAnsi="宋体" w:cs="宋体"/>
          <w:b/>
          <w:color w:val="auto"/>
          <w:sz w:val="24"/>
          <w:highlight w:val="none"/>
          <w:u w:val="single"/>
        </w:rPr>
      </w:pPr>
      <w:r>
        <w:rPr>
          <w:rFonts w:hint="eastAsia" w:ascii="宋体" w:hAnsi="宋体" w:cs="宋体"/>
          <w:b/>
          <w:color w:val="auto"/>
          <w:sz w:val="24"/>
          <w:highlight w:val="none"/>
        </w:rPr>
        <w:t>监理人（全称）：</w:t>
      </w:r>
      <w:r>
        <w:rPr>
          <w:rFonts w:hint="eastAsia" w:ascii="宋体" w:hAnsi="宋体" w:cs="宋体"/>
          <w:b/>
          <w:color w:val="auto"/>
          <w:sz w:val="24"/>
          <w:highlight w:val="none"/>
          <w:u w:val="single"/>
        </w:rPr>
        <w:t xml:space="preserve">                                          </w:t>
      </w:r>
    </w:p>
    <w:p w14:paraId="46108BDD">
      <w:pPr>
        <w:adjustRightInd w:val="0"/>
        <w:snapToGrid w:val="0"/>
        <w:spacing w:line="360" w:lineRule="auto"/>
        <w:ind w:firstLine="482" w:firstLineChars="200"/>
        <w:rPr>
          <w:rFonts w:hint="eastAsia" w:ascii="宋体" w:hAnsi="宋体" w:cs="宋体"/>
          <w:b/>
          <w:color w:val="auto"/>
          <w:sz w:val="24"/>
          <w:highlight w:val="none"/>
          <w:u w:val="single"/>
        </w:rPr>
      </w:pPr>
      <w:r>
        <w:rPr>
          <w:rFonts w:hint="eastAsia" w:ascii="宋体" w:hAnsi="宋体" w:cs="宋体"/>
          <w:b/>
          <w:color w:val="auto"/>
          <w:sz w:val="24"/>
          <w:highlight w:val="none"/>
        </w:rPr>
        <w:t>统一社会信用代码：</w:t>
      </w:r>
      <w:r>
        <w:rPr>
          <w:rFonts w:hint="eastAsia" w:ascii="宋体" w:hAnsi="宋体" w:cs="宋体"/>
          <w:b/>
          <w:color w:val="auto"/>
          <w:sz w:val="24"/>
          <w:highlight w:val="none"/>
          <w:u w:val="single"/>
        </w:rPr>
        <w:t xml:space="preserve">                                        </w:t>
      </w:r>
    </w:p>
    <w:p w14:paraId="54C24EDF">
      <w:pPr>
        <w:adjustRightInd w:val="0"/>
        <w:snapToGrid w:val="0"/>
        <w:spacing w:line="360" w:lineRule="auto"/>
        <w:ind w:firstLine="482" w:firstLineChars="200"/>
        <w:rPr>
          <w:rFonts w:hint="eastAsia" w:ascii="宋体" w:hAnsi="宋体" w:cs="宋体"/>
          <w:b/>
          <w:color w:val="auto"/>
          <w:sz w:val="24"/>
          <w:highlight w:val="none"/>
          <w:u w:val="single"/>
        </w:rPr>
      </w:pPr>
      <w:r>
        <w:rPr>
          <w:rFonts w:hint="eastAsia" w:ascii="宋体" w:hAnsi="宋体" w:cs="宋体"/>
          <w:b/>
          <w:color w:val="auto"/>
          <w:sz w:val="24"/>
          <w:highlight w:val="none"/>
        </w:rPr>
        <w:t>法定代表人：</w:t>
      </w:r>
      <w:r>
        <w:rPr>
          <w:rFonts w:hint="eastAsia" w:ascii="宋体" w:hAnsi="宋体" w:cs="宋体"/>
          <w:b/>
          <w:color w:val="auto"/>
          <w:sz w:val="24"/>
          <w:highlight w:val="none"/>
          <w:u w:val="single"/>
        </w:rPr>
        <w:t xml:space="preserve">                                              </w:t>
      </w:r>
    </w:p>
    <w:p w14:paraId="5FCFF961">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地      址：</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 xml:space="preserve"> </w:t>
      </w:r>
    </w:p>
    <w:p w14:paraId="08008B98">
      <w:pPr>
        <w:rPr>
          <w:color w:val="auto"/>
          <w:highlight w:val="none"/>
        </w:rPr>
      </w:pPr>
    </w:p>
    <w:p w14:paraId="7361E45B">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根据《中华人民共和国民法典》《中华人民共和国建筑法》及其他有关法律法规，遵循平等、自愿、公平和诚信的原则，双方就下述工程委托监理与相关服务事项协商一致，订立本合同。</w:t>
      </w:r>
    </w:p>
    <w:p w14:paraId="5460BDD2">
      <w:pPr>
        <w:adjustRightInd w:val="0"/>
        <w:snapToGrid w:val="0"/>
        <w:spacing w:line="360" w:lineRule="auto"/>
        <w:ind w:firstLine="482" w:firstLineChars="200"/>
        <w:rPr>
          <w:rFonts w:ascii="宋体"/>
          <w:b/>
          <w:color w:val="auto"/>
          <w:sz w:val="24"/>
          <w:highlight w:val="none"/>
        </w:rPr>
      </w:pPr>
      <w:r>
        <w:rPr>
          <w:rFonts w:hint="eastAsia" w:ascii="宋体" w:hAnsi="宋体"/>
          <w:b/>
          <w:color w:val="auto"/>
          <w:sz w:val="24"/>
          <w:highlight w:val="none"/>
        </w:rPr>
        <w:t>一、监理工程概况及监理目标</w:t>
      </w:r>
    </w:p>
    <w:p w14:paraId="3D9781A7">
      <w:pPr>
        <w:adjustRightInd w:val="0"/>
        <w:snapToGrid w:val="0"/>
        <w:spacing w:line="360" w:lineRule="auto"/>
        <w:ind w:left="0" w:leftChars="0"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）工程名称：</w:t>
      </w:r>
      <w:r>
        <w:rPr>
          <w:rFonts w:hint="eastAsia" w:ascii="宋体" w:hAnsi="宋体"/>
          <w:color w:val="auto"/>
          <w:sz w:val="24"/>
          <w:highlight w:val="none"/>
          <w:u w:val="single"/>
          <w:lang w:val="en-US" w:eastAsia="zh-CN"/>
        </w:rPr>
        <w:t>广州东部外贸综合服务产业园项目</w:t>
      </w:r>
    </w:p>
    <w:p w14:paraId="1A813E4E">
      <w:pPr>
        <w:adjustRightInd w:val="0"/>
        <w:snapToGrid w:val="0"/>
        <w:spacing w:line="360" w:lineRule="auto"/>
        <w:ind w:firstLine="480" w:firstLineChars="200"/>
        <w:rPr>
          <w:rFonts w:hint="eastAsia"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）工程地点：</w:t>
      </w:r>
      <w:r>
        <w:rPr>
          <w:rFonts w:hint="eastAsia" w:ascii="宋体" w:hAnsi="宋体"/>
          <w:color w:val="auto"/>
          <w:sz w:val="24"/>
          <w:highlight w:val="none"/>
          <w:u w:val="single"/>
        </w:rPr>
        <w:t>位于广州市增城区</w:t>
      </w:r>
      <w:r>
        <w:rPr>
          <w:rFonts w:hint="eastAsia" w:ascii="宋体" w:hAnsi="宋体"/>
          <w:color w:val="auto"/>
          <w:sz w:val="24"/>
          <w:highlight w:val="none"/>
          <w:u w:val="single"/>
          <w:lang w:val="en-US" w:eastAsia="zh-CN"/>
        </w:rPr>
        <w:t>中新</w:t>
      </w:r>
      <w:r>
        <w:rPr>
          <w:rFonts w:hint="eastAsia" w:ascii="宋体" w:hAnsi="宋体"/>
          <w:color w:val="auto"/>
          <w:sz w:val="24"/>
          <w:highlight w:val="none"/>
          <w:u w:val="single"/>
        </w:rPr>
        <w:t>镇</w:t>
      </w:r>
      <w:r>
        <w:rPr>
          <w:rFonts w:hint="eastAsia" w:ascii="宋体" w:hAnsi="宋体"/>
          <w:color w:val="auto"/>
          <w:sz w:val="24"/>
          <w:highlight w:val="none"/>
          <w:u w:val="single"/>
          <w:lang w:val="en-US" w:eastAsia="zh-CN"/>
        </w:rPr>
        <w:t>公铁联运一期，福宁大道西侧</w:t>
      </w:r>
      <w:r>
        <w:rPr>
          <w:rFonts w:ascii="宋体" w:hAnsi="宋体"/>
          <w:color w:val="auto"/>
          <w:sz w:val="24"/>
          <w:highlight w:val="none"/>
          <w:u w:val="single"/>
        </w:rPr>
        <w:t>。</w:t>
      </w:r>
    </w:p>
    <w:p w14:paraId="6B3D2AFB">
      <w:pPr>
        <w:widowControl/>
        <w:adjustRightInd w:val="0"/>
        <w:snapToGrid w:val="0"/>
        <w:spacing w:line="360" w:lineRule="auto"/>
        <w:ind w:firstLine="480" w:firstLineChars="200"/>
        <w:jc w:val="left"/>
        <w:rPr>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）工程规模：</w:t>
      </w:r>
      <w:r>
        <w:rPr>
          <w:rFonts w:hint="eastAsia" w:ascii="宋体" w:hAnsi="宋体"/>
          <w:color w:val="auto"/>
          <w:sz w:val="24"/>
          <w:highlight w:val="none"/>
          <w:u w:val="single"/>
        </w:rPr>
        <w:t>本项目占地约70.86亩(含拟获取的5.4亩），容积率约2.3，总建筑面积约96526.03㎡，拟建设2栋高标准智能仓库（四层，中间通过盘道相连）和1栋配套办公楼，海关监管中心位于其中一栋仓库的首层。</w:t>
      </w:r>
    </w:p>
    <w:p w14:paraId="78056509">
      <w:pPr>
        <w:adjustRightInd w:val="0"/>
        <w:snapToGrid w:val="0"/>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）监理范围：</w:t>
      </w:r>
      <w:r>
        <w:rPr>
          <w:rFonts w:hint="eastAsia" w:ascii="宋体" w:hAnsi="宋体"/>
          <w:color w:val="auto"/>
          <w:sz w:val="24"/>
          <w:highlight w:val="none"/>
          <w:u w:val="none"/>
        </w:rPr>
        <w:t>负责本</w:t>
      </w:r>
      <w:r>
        <w:rPr>
          <w:rFonts w:hint="eastAsia" w:ascii="宋体" w:hAnsi="宋体"/>
          <w:color w:val="auto"/>
          <w:sz w:val="24"/>
          <w:highlight w:val="none"/>
          <w:u w:val="none"/>
        </w:rPr>
        <w:t>工程建设范围的所有工程内容的全过程监理，包括</w:t>
      </w:r>
      <w:r>
        <w:rPr>
          <w:rFonts w:hint="eastAsia" w:ascii="宋体" w:hAnsi="宋体"/>
          <w:color w:val="auto"/>
          <w:sz w:val="24"/>
          <w:highlight w:val="none"/>
          <w:u w:val="none"/>
          <w:lang w:val="en-US" w:eastAsia="zh-CN"/>
        </w:rPr>
        <w:t>塔楼、裙楼及用地红线内的主体结构、电气工程、给排水工程、消防系统、智能化工程、外立面、园林绿化、道路、市政综合管线及永久围墙等；</w:t>
      </w:r>
      <w:r>
        <w:rPr>
          <w:rFonts w:hint="eastAsia" w:ascii="宋体" w:hAnsi="宋体"/>
          <w:color w:val="auto"/>
          <w:sz w:val="24"/>
          <w:highlight w:val="none"/>
          <w:u w:val="none"/>
        </w:rPr>
        <w:t xml:space="preserve">包括施工准备阶段、施工阶段、工程收尾阶段（包括但不限于竣工验收、整改、工程移交、实物移交及工程结算）及工程质量保修期阶段的质量控制，安全生产监督管理、投资控制、进度控制、合同管理、信息管理、组织协调、档案管理等全过程监理工作（含项目管理）工作。 </w:t>
      </w:r>
    </w:p>
    <w:p w14:paraId="2F05AAC9">
      <w:pPr>
        <w:adjustRightInd w:val="0"/>
        <w:snapToGrid w:val="0"/>
        <w:spacing w:line="360" w:lineRule="auto"/>
        <w:ind w:firstLine="0" w:firstLineChars="0"/>
        <w:rPr>
          <w:rFonts w:hint="eastAsia" w:ascii="宋体" w:hAnsi="宋体"/>
          <w:color w:val="auto"/>
          <w:sz w:val="24"/>
          <w:highlight w:val="none"/>
          <w:u w:val="none"/>
        </w:rPr>
      </w:pPr>
      <w:r>
        <w:rPr>
          <w:rFonts w:hint="eastAsia" w:ascii="宋体" w:hAnsi="宋体"/>
          <w:color w:val="auto"/>
          <w:sz w:val="24"/>
          <w:highlight w:val="none"/>
          <w:u w:val="none"/>
        </w:rPr>
        <w:t>本工程实施全过程（包括但不限于</w:t>
      </w:r>
      <w:r>
        <w:rPr>
          <w:rFonts w:hint="eastAsia" w:ascii="宋体" w:hAnsi="宋体"/>
          <w:color w:val="auto"/>
          <w:sz w:val="24"/>
          <w:highlight w:val="none"/>
          <w:u w:val="single"/>
        </w:rPr>
        <w:t>土石方、支护、地基与基础、建筑、结构、装修装饰、电气、高压外电、永久用水、给排水、临水临电、电梯、消防、安防、智能化、光纤入户、通信（含5G信号覆盖）、自控、环保、建筑防雷、通风空调、市政排水、道路、环境绿化、高低压供电、二次装修、幕墙、白蚁防治、绿色建筑、海绵城市、水土保持、发电机等专业（工程）的实施阶段）过程及工程保修阶段的监理和工程交工、竣工、工程建设档案资料收集整理、过程造价审核、工程结算审核等相关工作</w:t>
      </w:r>
      <w:r>
        <w:rPr>
          <w:rFonts w:hint="eastAsia" w:ascii="宋体" w:hAnsi="宋体"/>
          <w:color w:val="auto"/>
          <w:sz w:val="24"/>
          <w:highlight w:val="none"/>
          <w:u w:val="none"/>
          <w:lang w:eastAsia="zh-CN"/>
        </w:rPr>
        <w:t>。</w:t>
      </w:r>
      <w:r>
        <w:rPr>
          <w:rFonts w:hint="eastAsia" w:ascii="宋体" w:hAnsi="宋体"/>
          <w:color w:val="auto"/>
          <w:sz w:val="24"/>
          <w:highlight w:val="none"/>
          <w:u w:val="none"/>
        </w:rPr>
        <w:t>)</w:t>
      </w:r>
    </w:p>
    <w:p w14:paraId="7358E1DD">
      <w:pPr>
        <w:adjustRightInd w:val="0"/>
        <w:snapToGrid w:val="0"/>
        <w:spacing w:line="360" w:lineRule="auto"/>
        <w:ind w:firstLine="360" w:firstLineChars="150"/>
        <w:rPr>
          <w:rFonts w:hint="eastAsia" w:ascii="宋体" w:hAnsi="宋体"/>
          <w:color w:val="auto"/>
          <w:sz w:val="24"/>
          <w:highlight w:val="none"/>
          <w:u w:val="none"/>
        </w:rPr>
      </w:pPr>
      <w:r>
        <w:rPr>
          <w:rFonts w:hint="eastAsia" w:ascii="宋体" w:hAnsi="宋体"/>
          <w:color w:val="auto"/>
          <w:sz w:val="24"/>
          <w:highlight w:val="none"/>
          <w:u w:val="none"/>
        </w:rPr>
        <w:t>①除上述工作范围外，监理人还须按委托人的要求提前进场参与开工前期的准备和筹划工作，协助委托人制定工程管理办法、各参建方职责及有关事务性工作等。</w:t>
      </w:r>
    </w:p>
    <w:p w14:paraId="478B4974">
      <w:pPr>
        <w:adjustRightInd w:val="0"/>
        <w:snapToGrid w:val="0"/>
        <w:spacing w:line="360" w:lineRule="auto"/>
        <w:ind w:firstLine="360" w:firstLineChars="150"/>
        <w:rPr>
          <w:rFonts w:hint="eastAsia" w:ascii="宋体" w:hAnsi="宋体"/>
          <w:color w:val="auto"/>
          <w:sz w:val="24"/>
          <w:highlight w:val="none"/>
          <w:u w:val="none"/>
        </w:rPr>
      </w:pPr>
      <w:r>
        <w:rPr>
          <w:rFonts w:hint="eastAsia" w:ascii="宋体" w:hAnsi="宋体"/>
          <w:color w:val="auto"/>
          <w:sz w:val="24"/>
          <w:highlight w:val="none"/>
          <w:u w:val="none"/>
        </w:rPr>
        <w:t>②配合委托人完成各个阶段的规划、国土、消防、人防、环保、绿色建筑、节能等政府部门审批环节的报建报批工作。协助办理工程开工、报批及验收所需的各项手续，包括但不限于施工许可证、报建手续、临水、临电报批及临时设施设置、施工占道手续、余泥排放证、排污手续、排水接驳、水质检测、排水许可证、排污口规范化、环保检测、环保验收、消防验收、防雷验收、白蚁防治、海绵城市</w:t>
      </w:r>
      <w:r>
        <w:rPr>
          <w:rFonts w:hint="eastAsia" w:ascii="宋体" w:hAnsi="宋体"/>
          <w:color w:val="auto"/>
          <w:sz w:val="24"/>
          <w:highlight w:val="none"/>
          <w:u w:val="none"/>
        </w:rPr>
        <w:t>、水土保持、</w:t>
      </w:r>
      <w:r>
        <w:rPr>
          <w:rFonts w:hint="eastAsia" w:ascii="宋体" w:hAnsi="宋体"/>
          <w:color w:val="auto"/>
          <w:sz w:val="24"/>
          <w:highlight w:val="none"/>
          <w:u w:val="none"/>
        </w:rPr>
        <w:t>节能备案、永久用水、永久用电、竣工验收备案。</w:t>
      </w:r>
    </w:p>
    <w:p w14:paraId="0573F3B5">
      <w:pPr>
        <w:adjustRightInd w:val="0"/>
        <w:snapToGrid w:val="0"/>
        <w:spacing w:line="360" w:lineRule="auto"/>
        <w:ind w:firstLine="360" w:firstLineChars="150"/>
        <w:rPr>
          <w:rFonts w:hint="eastAsia" w:ascii="宋体" w:hAnsi="宋体"/>
          <w:color w:val="auto"/>
          <w:sz w:val="24"/>
          <w:highlight w:val="none"/>
          <w:u w:val="none"/>
        </w:rPr>
      </w:pPr>
      <w:r>
        <w:rPr>
          <w:rFonts w:hint="eastAsia" w:ascii="宋体" w:hAnsi="宋体"/>
          <w:color w:val="auto"/>
          <w:sz w:val="24"/>
          <w:highlight w:val="none"/>
          <w:u w:val="none"/>
        </w:rPr>
        <w:t>③包括项目实施阶段的施工前期准备、施工管理、施工图会审、进度款和变更审核、投资控制、竣工验收、工程结算、资产移交、质量保修等工作，并对工程项目进行质量、进度、投资、合同、信息、环保、安全文明施工等方面进行有效管理和控制，直至办理竣工验收手续和工程结算、质量保修期满等的全过程监理服务和工程相关协调工作。具体的监理工程量，以各子项目的设计图纸为准。</w:t>
      </w:r>
    </w:p>
    <w:p w14:paraId="6C339BD3">
      <w:pPr>
        <w:numPr>
          <w:ilvl w:val="0"/>
          <w:numId w:val="1"/>
        </w:numPr>
        <w:adjustRightInd w:val="0"/>
        <w:snapToGrid w:val="0"/>
        <w:spacing w:line="360" w:lineRule="auto"/>
        <w:ind w:firstLine="496" w:firstLineChars="200"/>
        <w:rPr>
          <w:rFonts w:hint="eastAsia" w:ascii="宋体" w:hAnsi="宋体"/>
          <w:color w:val="auto"/>
          <w:spacing w:val="4"/>
          <w:sz w:val="24"/>
          <w:highlight w:val="none"/>
          <w:u w:val="none"/>
        </w:rPr>
      </w:pPr>
      <w:r>
        <w:rPr>
          <w:rFonts w:hint="eastAsia" w:ascii="宋体" w:hAnsi="宋体"/>
          <w:color w:val="auto"/>
          <w:spacing w:val="4"/>
          <w:sz w:val="24"/>
          <w:highlight w:val="none"/>
        </w:rPr>
        <w:t>质量标准：</w:t>
      </w:r>
      <w:r>
        <w:rPr>
          <w:rFonts w:hint="eastAsia" w:ascii="宋体" w:hAnsi="宋体"/>
          <w:color w:val="auto"/>
          <w:spacing w:val="4"/>
          <w:sz w:val="24"/>
          <w:highlight w:val="none"/>
          <w:u w:val="none"/>
        </w:rPr>
        <w:t>按国家相关规定执行的合格标准。</w:t>
      </w:r>
      <w:r>
        <w:rPr>
          <w:rFonts w:hint="eastAsia" w:ascii="宋体" w:hAnsi="宋体"/>
          <w:color w:val="auto"/>
          <w:sz w:val="24"/>
          <w:highlight w:val="none"/>
        </w:rPr>
        <w:t>质量创优目标：</w:t>
      </w:r>
      <w:r>
        <w:rPr>
          <w:rFonts w:hint="eastAsia" w:ascii="宋体" w:hAnsi="宋体"/>
          <w:color w:val="auto"/>
          <w:sz w:val="24"/>
          <w:szCs w:val="24"/>
          <w:highlight w:val="none"/>
          <w:u w:val="single"/>
        </w:rPr>
        <w:t>广州市建设工程优质奖</w:t>
      </w:r>
      <w:r>
        <w:rPr>
          <w:rFonts w:hint="eastAsia" w:ascii="宋体" w:hAnsi="宋体"/>
          <w:color w:val="auto"/>
          <w:sz w:val="24"/>
          <w:highlight w:val="none"/>
        </w:rPr>
        <w:t>。</w:t>
      </w:r>
    </w:p>
    <w:p w14:paraId="2A1AF674">
      <w:pPr>
        <w:adjustRightInd w:val="0"/>
        <w:snapToGrid w:val="0"/>
        <w:spacing w:line="360" w:lineRule="auto"/>
        <w:ind w:firstLine="496" w:firstLineChars="200"/>
        <w:rPr>
          <w:rFonts w:hint="eastAsia" w:ascii="宋体" w:hAnsi="宋体"/>
          <w:color w:val="auto"/>
          <w:spacing w:val="4"/>
          <w:sz w:val="24"/>
          <w:highlight w:val="none"/>
          <w:u w:val="none"/>
        </w:rPr>
      </w:pPr>
      <w:r>
        <w:rPr>
          <w:rFonts w:hint="eastAsia" w:ascii="宋体" w:hAnsi="宋体"/>
          <w:color w:val="auto"/>
          <w:spacing w:val="4"/>
          <w:sz w:val="24"/>
          <w:highlight w:val="none"/>
        </w:rPr>
        <w:t>（6）进度控制目标：</w:t>
      </w:r>
      <w:r>
        <w:rPr>
          <w:rFonts w:hint="eastAsia" w:ascii="宋体" w:hAnsi="宋体"/>
          <w:color w:val="auto"/>
          <w:spacing w:val="4"/>
          <w:sz w:val="24"/>
          <w:highlight w:val="none"/>
          <w:u w:val="none"/>
        </w:rPr>
        <w:t>根据委托方的合理要求进行必要调整，确保本工程按期或提前完成。</w:t>
      </w:r>
    </w:p>
    <w:p w14:paraId="794F2A70">
      <w:pPr>
        <w:adjustRightInd w:val="0"/>
        <w:snapToGrid w:val="0"/>
        <w:spacing w:line="360" w:lineRule="auto"/>
        <w:ind w:firstLine="496" w:firstLineChars="200"/>
        <w:rPr>
          <w:rFonts w:hint="eastAsia" w:ascii="宋体" w:hAnsi="宋体"/>
          <w:color w:val="auto"/>
          <w:spacing w:val="4"/>
          <w:sz w:val="24"/>
          <w:highlight w:val="none"/>
          <w:u w:val="none"/>
        </w:rPr>
      </w:pPr>
      <w:r>
        <w:rPr>
          <w:rFonts w:hint="eastAsia" w:ascii="宋体" w:hAnsi="宋体"/>
          <w:color w:val="auto"/>
          <w:spacing w:val="4"/>
          <w:sz w:val="24"/>
          <w:highlight w:val="none"/>
        </w:rPr>
        <w:t>（7）安全生产文明施工控制目标：</w:t>
      </w:r>
      <w:r>
        <w:rPr>
          <w:rFonts w:hint="eastAsia" w:ascii="宋体" w:hAnsi="宋体"/>
          <w:color w:val="auto"/>
          <w:spacing w:val="4"/>
          <w:sz w:val="24"/>
          <w:highlight w:val="none"/>
          <w:u w:val="none"/>
        </w:rPr>
        <w:t>杜绝一般事故等级及以上的伤亡事故且工伤责任事故死亡人数为零。</w:t>
      </w:r>
      <w:r>
        <w:rPr>
          <w:rFonts w:hint="eastAsia" w:ascii="宋体" w:hAnsi="宋体"/>
          <w:color w:val="auto"/>
          <w:sz w:val="24"/>
          <w:highlight w:val="none"/>
        </w:rPr>
        <w:t>安全文明创优目标：</w:t>
      </w:r>
      <w:r>
        <w:rPr>
          <w:rFonts w:hint="eastAsia" w:ascii="宋体" w:hAnsi="宋体"/>
          <w:color w:val="auto"/>
          <w:sz w:val="24"/>
          <w:highlight w:val="none"/>
          <w:u w:val="single"/>
        </w:rPr>
        <w:t>广州市建设工程安全文明绿色施工样板工地。</w:t>
      </w:r>
    </w:p>
    <w:p w14:paraId="3C787484">
      <w:pPr>
        <w:adjustRightInd w:val="0"/>
        <w:snapToGrid w:val="0"/>
        <w:spacing w:line="360" w:lineRule="auto"/>
        <w:ind w:firstLine="496" w:firstLineChars="200"/>
        <w:rPr>
          <w:rFonts w:hint="eastAsia" w:ascii="宋体" w:hAnsi="宋体"/>
          <w:color w:val="auto"/>
          <w:spacing w:val="4"/>
          <w:sz w:val="24"/>
          <w:highlight w:val="none"/>
        </w:rPr>
      </w:pPr>
      <w:r>
        <w:rPr>
          <w:rFonts w:hint="eastAsia" w:ascii="宋体" w:hAnsi="宋体"/>
          <w:color w:val="auto"/>
          <w:spacing w:val="4"/>
          <w:sz w:val="24"/>
          <w:highlight w:val="none"/>
        </w:rPr>
        <w:t>（8）监理服务期限：</w:t>
      </w:r>
      <w:r>
        <w:rPr>
          <w:rFonts w:ascii="宋体" w:hAnsi="宋体" w:cs="宋体"/>
          <w:strike w:val="0"/>
          <w:dstrike w:val="0"/>
          <w:color w:val="auto"/>
          <w:sz w:val="24"/>
          <w:highlight w:val="none"/>
        </w:rPr>
        <w:t>本项目工程实施阶段工期暂定为</w:t>
      </w:r>
      <w:r>
        <w:rPr>
          <w:rFonts w:hint="eastAsia" w:ascii="宋体" w:hAnsi="宋体" w:cs="宋体"/>
          <w:strike w:val="0"/>
          <w:dstrike w:val="0"/>
          <w:color w:val="auto"/>
          <w:sz w:val="24"/>
          <w:highlight w:val="none"/>
        </w:rPr>
        <w:t>【</w:t>
      </w:r>
      <w:r>
        <w:rPr>
          <w:rFonts w:hint="eastAsia" w:ascii="宋体" w:hAnsi="宋体" w:cs="宋体"/>
          <w:strike w:val="0"/>
          <w:dstrike w:val="0"/>
          <w:color w:val="auto"/>
          <w:sz w:val="24"/>
          <w:highlight w:val="none"/>
          <w:lang w:val="en-US" w:eastAsia="zh-CN"/>
        </w:rPr>
        <w:t>20</w:t>
      </w:r>
      <w:r>
        <w:rPr>
          <w:rFonts w:hint="eastAsia" w:ascii="宋体" w:hAnsi="宋体" w:cs="宋体"/>
          <w:strike w:val="0"/>
          <w:dstrike w:val="0"/>
          <w:color w:val="auto"/>
          <w:sz w:val="24"/>
          <w:highlight w:val="none"/>
        </w:rPr>
        <w:t>】</w:t>
      </w:r>
      <w:r>
        <w:rPr>
          <w:rFonts w:ascii="宋体" w:hAnsi="宋体" w:cs="宋体"/>
          <w:strike w:val="0"/>
          <w:dstrike w:val="0"/>
          <w:color w:val="auto"/>
          <w:sz w:val="24"/>
          <w:highlight w:val="none"/>
        </w:rPr>
        <w:t>个月，实际工期以实际实施阶段工期安排为准</w:t>
      </w:r>
      <w:r>
        <w:rPr>
          <w:rFonts w:hint="eastAsia" w:ascii="宋体" w:hAnsi="宋体" w:cs="宋体"/>
          <w:strike w:val="0"/>
          <w:dstrike w:val="0"/>
          <w:color w:val="auto"/>
          <w:sz w:val="24"/>
          <w:highlight w:val="none"/>
        </w:rPr>
        <w:t>，</w:t>
      </w:r>
      <w:r>
        <w:rPr>
          <w:rFonts w:ascii="宋体" w:hAnsi="宋体" w:cs="宋体"/>
          <w:color w:val="auto"/>
          <w:sz w:val="24"/>
          <w:highlight w:val="none"/>
        </w:rPr>
        <w:t>监理服务周期自施工准备阶段起至</w:t>
      </w:r>
      <w:r>
        <w:rPr>
          <w:rFonts w:hint="eastAsia" w:ascii="宋体" w:hAnsi="宋体" w:cs="宋体"/>
          <w:color w:val="auto"/>
          <w:sz w:val="24"/>
          <w:highlight w:val="none"/>
        </w:rPr>
        <w:t>本项目工程质量保修期满且本项目工程竣工结算审定满60天止</w:t>
      </w:r>
      <w:r>
        <w:rPr>
          <w:rFonts w:ascii="宋体" w:hAnsi="宋体" w:cs="宋体"/>
          <w:color w:val="auto"/>
          <w:sz w:val="24"/>
          <w:highlight w:val="none"/>
        </w:rPr>
        <w:t>，具体服务周期随项目实际实施周期调整</w:t>
      </w:r>
      <w:r>
        <w:rPr>
          <w:rFonts w:hint="eastAsia" w:ascii="宋体" w:hAnsi="宋体"/>
          <w:color w:val="auto"/>
          <w:spacing w:val="4"/>
          <w:sz w:val="24"/>
          <w:highlight w:val="none"/>
        </w:rPr>
        <w:t>。</w:t>
      </w:r>
    </w:p>
    <w:p w14:paraId="1B225EBE">
      <w:pPr>
        <w:adjustRightInd w:val="0"/>
        <w:snapToGrid w:val="0"/>
        <w:spacing w:line="360" w:lineRule="auto"/>
        <w:ind w:firstLine="482" w:firstLineChars="200"/>
        <w:rPr>
          <w:rFonts w:ascii="宋体"/>
          <w:color w:val="auto"/>
          <w:sz w:val="24"/>
          <w:highlight w:val="none"/>
        </w:rPr>
      </w:pPr>
      <w:r>
        <w:rPr>
          <w:rFonts w:hint="eastAsia" w:ascii="宋体" w:hAnsi="宋体"/>
          <w:b/>
          <w:color w:val="auto"/>
          <w:sz w:val="24"/>
          <w:highlight w:val="none"/>
        </w:rPr>
        <w:t>二、</w:t>
      </w:r>
      <w:r>
        <w:rPr>
          <w:rFonts w:hint="eastAsia" w:ascii="宋体" w:hAnsi="宋体"/>
          <w:color w:val="auto"/>
          <w:sz w:val="24"/>
          <w:highlight w:val="none"/>
        </w:rPr>
        <w:t>本协议书中的有关词语含义与本合同《专用条款》《标准条款》中赋予它们的定义相同。</w:t>
      </w:r>
    </w:p>
    <w:p w14:paraId="7270823E">
      <w:pPr>
        <w:adjustRightInd w:val="0"/>
        <w:snapToGrid w:val="0"/>
        <w:spacing w:line="360" w:lineRule="auto"/>
        <w:ind w:right="11" w:firstLine="480" w:firstLineChars="200"/>
        <w:rPr>
          <w:rFonts w:hint="eastAsia" w:ascii="宋体" w:hAnsi="宋体"/>
          <w:bCs/>
          <w:color w:val="auto"/>
          <w:sz w:val="24"/>
          <w:highlight w:val="none"/>
        </w:rPr>
      </w:pPr>
      <w:r>
        <w:rPr>
          <w:rFonts w:hint="eastAsia" w:ascii="宋体" w:hAnsi="宋体"/>
          <w:color w:val="auto"/>
          <w:sz w:val="24"/>
          <w:highlight w:val="none"/>
        </w:rPr>
        <w:t>三、</w:t>
      </w:r>
      <w:r>
        <w:rPr>
          <w:rFonts w:hint="eastAsia" w:ascii="宋体" w:hAnsi="宋体"/>
          <w:bCs/>
          <w:color w:val="auto"/>
          <w:sz w:val="24"/>
          <w:highlight w:val="none"/>
        </w:rPr>
        <w:t>下列文件应被认为是组成本合同的一部分，并互为补充和解释，如各文件存在冲突之处，以如下排列次序在前者优先适用：</w:t>
      </w:r>
    </w:p>
    <w:p w14:paraId="7F8B43A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（1）履行本合同的相关补充协议（含工程洽商记录、会议纪要、变更、现场签证、索赔和合同价款调整报告等修正文件）；</w:t>
      </w:r>
    </w:p>
    <w:p w14:paraId="7AA52F9F">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）本协议书；</w:t>
      </w:r>
    </w:p>
    <w:p w14:paraId="35B53AC9">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）中标通知书；</w:t>
      </w:r>
    </w:p>
    <w:p w14:paraId="4172BB74">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）本合同专用条款；</w:t>
      </w:r>
    </w:p>
    <w:p w14:paraId="4F7467D5">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）本合同附件；</w:t>
      </w:r>
    </w:p>
    <w:p w14:paraId="18AAB79C">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）本合同标准条款；</w:t>
      </w:r>
    </w:p>
    <w:p w14:paraId="3213696C">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）本合同工程监理招标文件</w:t>
      </w:r>
      <w:r>
        <w:rPr>
          <w:rFonts w:hint="eastAsia" w:ascii="宋体" w:hAnsi="宋体"/>
          <w:bCs/>
          <w:color w:val="auto"/>
          <w:sz w:val="24"/>
          <w:highlight w:val="none"/>
        </w:rPr>
        <w:t>（含招标文件补充文件、澄清文件、答疑文件等，属本条第（</w:t>
      </w:r>
      <w:r>
        <w:rPr>
          <w:rFonts w:ascii="宋体" w:hAnsi="宋体"/>
          <w:bCs/>
          <w:color w:val="auto"/>
          <w:sz w:val="24"/>
          <w:highlight w:val="none"/>
        </w:rPr>
        <w:t>2</w:t>
      </w:r>
      <w:r>
        <w:rPr>
          <w:rFonts w:hint="eastAsia" w:ascii="宋体" w:hAnsi="宋体"/>
          <w:bCs/>
          <w:color w:val="auto"/>
          <w:sz w:val="24"/>
          <w:highlight w:val="none"/>
        </w:rPr>
        <w:t>）、（</w:t>
      </w:r>
      <w:r>
        <w:rPr>
          <w:rFonts w:ascii="宋体" w:hAnsi="宋体"/>
          <w:bCs/>
          <w:color w:val="auto"/>
          <w:sz w:val="24"/>
          <w:highlight w:val="none"/>
        </w:rPr>
        <w:t>4</w:t>
      </w:r>
      <w:r>
        <w:rPr>
          <w:rFonts w:hint="eastAsia" w:ascii="宋体" w:hAnsi="宋体"/>
          <w:bCs/>
          <w:color w:val="auto"/>
          <w:sz w:val="24"/>
          <w:highlight w:val="none"/>
        </w:rPr>
        <w:t>）、（</w:t>
      </w:r>
      <w:r>
        <w:rPr>
          <w:rFonts w:ascii="宋体" w:hAnsi="宋体"/>
          <w:bCs/>
          <w:color w:val="auto"/>
          <w:sz w:val="24"/>
          <w:highlight w:val="none"/>
        </w:rPr>
        <w:t>5</w:t>
      </w:r>
      <w:r>
        <w:rPr>
          <w:rFonts w:hint="eastAsia" w:ascii="宋体" w:hAnsi="宋体"/>
          <w:bCs/>
          <w:color w:val="auto"/>
          <w:sz w:val="24"/>
          <w:highlight w:val="none"/>
        </w:rPr>
        <w:t>）、（</w:t>
      </w:r>
      <w:r>
        <w:rPr>
          <w:rFonts w:ascii="宋体" w:hAnsi="宋体"/>
          <w:bCs/>
          <w:color w:val="auto"/>
          <w:sz w:val="24"/>
          <w:highlight w:val="none"/>
        </w:rPr>
        <w:t>6</w:t>
      </w:r>
      <w:r>
        <w:rPr>
          <w:rFonts w:hint="eastAsia" w:ascii="宋体" w:hAnsi="宋体"/>
          <w:bCs/>
          <w:color w:val="auto"/>
          <w:sz w:val="24"/>
          <w:highlight w:val="none"/>
        </w:rPr>
        <w:t>）项内容的除外）</w:t>
      </w:r>
      <w:r>
        <w:rPr>
          <w:rFonts w:hint="eastAsia" w:ascii="宋体" w:hAnsi="宋体"/>
          <w:color w:val="auto"/>
          <w:sz w:val="24"/>
          <w:highlight w:val="none"/>
        </w:rPr>
        <w:t>；</w:t>
      </w:r>
    </w:p>
    <w:p w14:paraId="5353C8C4">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8</w:t>
      </w:r>
      <w:r>
        <w:rPr>
          <w:rFonts w:hint="eastAsia" w:ascii="宋体" w:hAnsi="宋体"/>
          <w:color w:val="auto"/>
          <w:sz w:val="24"/>
          <w:highlight w:val="none"/>
        </w:rPr>
        <w:t>）本合同工程监理投标文件</w:t>
      </w:r>
      <w:r>
        <w:rPr>
          <w:rFonts w:hint="eastAsia" w:ascii="宋体" w:hAnsi="宋体"/>
          <w:bCs/>
          <w:color w:val="auto"/>
          <w:sz w:val="24"/>
          <w:highlight w:val="none"/>
        </w:rPr>
        <w:t>（含投标文件澄清等，属本条前述各项内容的除外）；</w:t>
      </w:r>
    </w:p>
    <w:p w14:paraId="5731DA22">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）组成本合同的其他文件。</w:t>
      </w:r>
    </w:p>
    <w:p w14:paraId="21201618">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上述各项合同文件包括合同当事人就该项合同文件所作出的补充和修改，属于同一类内容的文件，应以最新签署的为准。通过上述顺序解释仍无法明确的事项，由委托人与监理人协商解决；如协商不成，由委托人按照公平合理和有利于本合同工程建设的原则作出决定，监理人应无条件执行。</w:t>
      </w:r>
    </w:p>
    <w:p w14:paraId="302465A7">
      <w:pPr>
        <w:adjustRightInd w:val="0"/>
        <w:snapToGrid w:val="0"/>
        <w:spacing w:line="360" w:lineRule="auto"/>
        <w:ind w:right="11" w:firstLine="480" w:firstLineChars="200"/>
        <w:rPr>
          <w:rFonts w:hint="eastAsia" w:ascii="宋体" w:hAnsi="宋体"/>
          <w:color w:val="auto"/>
          <w:sz w:val="24"/>
          <w:highlight w:val="none"/>
        </w:rPr>
      </w:pPr>
      <w:r>
        <w:rPr>
          <w:rFonts w:hint="eastAsia" w:ascii="宋体" w:hAnsi="宋体"/>
          <w:color w:val="auto"/>
          <w:sz w:val="24"/>
          <w:highlight w:val="none"/>
        </w:rPr>
        <w:t>四、</w:t>
      </w:r>
      <w:r>
        <w:rPr>
          <w:rFonts w:hint="eastAsia" w:ascii="宋体" w:hAnsi="宋体"/>
          <w:bCs/>
          <w:color w:val="auto"/>
          <w:sz w:val="24"/>
          <w:highlight w:val="none"/>
        </w:rPr>
        <w:t>本合同自委托人、监理人双方法定代表人（或其授权代理人）签字/盖章并加盖公章之日起生效</w:t>
      </w:r>
      <w:r>
        <w:rPr>
          <w:rFonts w:hint="eastAsia" w:ascii="宋体" w:hAnsi="宋体"/>
          <w:color w:val="auto"/>
          <w:sz w:val="24"/>
          <w:highlight w:val="none"/>
        </w:rPr>
        <w:t>。</w:t>
      </w:r>
    </w:p>
    <w:p w14:paraId="25721101">
      <w:pPr>
        <w:adjustRightInd w:val="0"/>
        <w:snapToGrid w:val="0"/>
        <w:spacing w:line="360" w:lineRule="auto"/>
        <w:ind w:right="11" w:firstLine="480" w:firstLineChars="200"/>
        <w:rPr>
          <w:rFonts w:hint="eastAsia" w:ascii="宋体" w:hAnsi="宋体"/>
          <w:color w:val="auto"/>
          <w:sz w:val="24"/>
          <w:highlight w:val="none"/>
        </w:rPr>
      </w:pPr>
      <w:r>
        <w:rPr>
          <w:rFonts w:hint="eastAsia" w:ascii="宋体" w:hAnsi="宋体"/>
          <w:color w:val="auto"/>
          <w:sz w:val="24"/>
          <w:highlight w:val="none"/>
        </w:rPr>
        <w:t>委托人有权在提前7天书面通知监理人的情况下解除本合同。</w:t>
      </w:r>
    </w:p>
    <w:p w14:paraId="57D04413">
      <w:pPr>
        <w:adjustRightInd w:val="0"/>
        <w:snapToGrid w:val="0"/>
        <w:spacing w:line="500" w:lineRule="exact"/>
        <w:ind w:right="11" w:firstLine="480" w:firstLineChars="200"/>
        <w:rPr>
          <w:rFonts w:hint="eastAsia" w:ascii="宋体" w:hAnsi="宋体"/>
          <w:color w:val="auto"/>
          <w:sz w:val="24"/>
          <w:highlight w:val="none"/>
        </w:rPr>
      </w:pPr>
      <w:r>
        <w:rPr>
          <w:rFonts w:hint="eastAsia" w:ascii="宋体" w:hAnsi="宋体"/>
          <w:color w:val="auto"/>
          <w:sz w:val="24"/>
          <w:highlight w:val="none"/>
        </w:rPr>
        <w:t>本合同工程总监理工程师姓名：</w:t>
      </w:r>
      <w:r>
        <w:rPr>
          <w:rFonts w:hint="eastAsia" w:ascii="宋体" w:hAnsi="宋体"/>
          <w:color w:val="auto"/>
          <w:sz w:val="24"/>
          <w:highlight w:val="none"/>
          <w:u w:val="single"/>
        </w:rPr>
        <w:t xml:space="preserve">                   </w:t>
      </w: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r>
        <w:rPr>
          <w:rFonts w:hint="eastAsia" w:ascii="宋体" w:hAnsi="宋体"/>
          <w:color w:val="auto"/>
          <w:sz w:val="24"/>
          <w:highlight w:val="none"/>
        </w:rPr>
        <w:t>，注册号：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3D6C023">
      <w:pPr>
        <w:adjustRightInd w:val="0"/>
        <w:snapToGrid w:val="0"/>
        <w:spacing w:line="500" w:lineRule="exact"/>
        <w:ind w:right="11" w:firstLine="480" w:firstLineChars="200"/>
        <w:rPr>
          <w:rFonts w:hint="eastAsia" w:ascii="宋体" w:hAnsi="宋体"/>
          <w:color w:val="auto"/>
          <w:sz w:val="24"/>
          <w:highlight w:val="none"/>
        </w:rPr>
      </w:pPr>
      <w:r>
        <w:rPr>
          <w:rFonts w:hint="eastAsia" w:ascii="宋体" w:hAnsi="宋体"/>
          <w:color w:val="auto"/>
          <w:sz w:val="24"/>
          <w:highlight w:val="none"/>
        </w:rPr>
        <w:t>五、监理服务费的计取</w:t>
      </w:r>
    </w:p>
    <w:p w14:paraId="358D821E">
      <w:pPr>
        <w:adjustRightInd w:val="0"/>
        <w:snapToGrid w:val="0"/>
        <w:spacing w:line="500" w:lineRule="exact"/>
        <w:ind w:right="11" w:firstLine="480" w:firstLineChars="200"/>
        <w:rPr>
          <w:rFonts w:hint="eastAsia" w:ascii="宋体" w:hAnsi="宋体"/>
          <w:color w:val="auto"/>
          <w:sz w:val="24"/>
          <w:highlight w:val="none"/>
        </w:rPr>
      </w:pPr>
      <w:bookmarkStart w:id="0" w:name="_Hlk114756073"/>
      <w:r>
        <w:rPr>
          <w:rFonts w:hint="eastAsia" w:hAnsi="宋体" w:cs="宋体"/>
          <w:color w:val="auto"/>
          <w:sz w:val="24"/>
          <w:highlight w:val="none"/>
        </w:rPr>
        <w:t>委托人及监理人双方同意本合同约定的监理范围和监理服务期内的施工监理服务收费合同价为人民币</w:t>
      </w:r>
      <w:r>
        <w:rPr>
          <w:rFonts w:hint="eastAsia" w:hAnsi="宋体" w:cs="宋体"/>
          <w:color w:val="auto"/>
          <w:sz w:val="24"/>
          <w:highlight w:val="none"/>
          <w:u w:val="single"/>
        </w:rPr>
        <w:t xml:space="preserve">                  </w:t>
      </w:r>
      <w:r>
        <w:rPr>
          <w:rFonts w:hint="eastAsia" w:hAnsi="宋体" w:cs="宋体"/>
          <w:color w:val="auto"/>
          <w:sz w:val="24"/>
          <w:highlight w:val="none"/>
        </w:rPr>
        <w:t>元（大写：人民币</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olor w:val="auto"/>
          <w:kern w:val="0"/>
          <w:sz w:val="24"/>
          <w:highlight w:val="none"/>
        </w:rPr>
        <w:t>其中不含税价款为</w:t>
      </w:r>
      <w:r>
        <w:rPr>
          <w:rFonts w:hint="eastAsia" w:hAnsi="宋体" w:cs="宋体"/>
          <w:color w:val="auto"/>
          <w:sz w:val="24"/>
          <w:highlight w:val="none"/>
        </w:rPr>
        <w:t>人民币</w:t>
      </w:r>
      <w:r>
        <w:rPr>
          <w:rFonts w:hint="eastAsia" w:hAnsi="宋体" w:cs="宋体"/>
          <w:color w:val="auto"/>
          <w:sz w:val="24"/>
          <w:highlight w:val="none"/>
          <w:u w:val="single"/>
        </w:rPr>
        <w:t xml:space="preserve">                </w:t>
      </w:r>
      <w:r>
        <w:rPr>
          <w:rFonts w:hint="eastAsia" w:hAnsi="宋体"/>
          <w:color w:val="auto"/>
          <w:kern w:val="0"/>
          <w:sz w:val="24"/>
          <w:highlight w:val="none"/>
        </w:rPr>
        <w:t>元，</w:t>
      </w:r>
      <w:bookmarkEnd w:id="0"/>
      <w:r>
        <w:rPr>
          <w:rFonts w:hint="eastAsia" w:hAnsi="宋体"/>
          <w:color w:val="auto"/>
          <w:kern w:val="0"/>
          <w:sz w:val="24"/>
          <w:highlight w:val="none"/>
        </w:rPr>
        <w:t>增值税税款为</w:t>
      </w:r>
      <w:r>
        <w:rPr>
          <w:rFonts w:hint="eastAsia" w:hAnsi="宋体" w:cs="宋体"/>
          <w:color w:val="auto"/>
          <w:sz w:val="24"/>
          <w:highlight w:val="none"/>
        </w:rPr>
        <w:t>人民币</w:t>
      </w:r>
      <w:r>
        <w:rPr>
          <w:rFonts w:hint="eastAsia" w:hAnsi="宋体" w:cs="宋体"/>
          <w:color w:val="auto"/>
          <w:sz w:val="24"/>
          <w:highlight w:val="none"/>
          <w:u w:val="single"/>
        </w:rPr>
        <w:t xml:space="preserve">            </w:t>
      </w:r>
      <w:r>
        <w:rPr>
          <w:rFonts w:hint="eastAsia" w:hAnsi="宋体"/>
          <w:color w:val="auto"/>
          <w:kern w:val="0"/>
          <w:sz w:val="24"/>
          <w:highlight w:val="none"/>
        </w:rPr>
        <w:t>元，</w:t>
      </w:r>
      <w:r>
        <w:rPr>
          <w:rFonts w:hint="eastAsia" w:ascii="宋体" w:hAnsi="宋体" w:cs="宋体"/>
          <w:bCs/>
          <w:color w:val="auto"/>
          <w:kern w:val="0"/>
          <w:sz w:val="24"/>
          <w:highlight w:val="none"/>
        </w:rPr>
        <w:t>增值税税率</w:t>
      </w:r>
      <w:r>
        <w:rPr>
          <w:rFonts w:hint="eastAsia" w:ascii="宋体" w:hAnsi="宋体" w:cs="宋体"/>
          <w:bCs/>
          <w:color w:val="auto"/>
          <w:kern w:val="0"/>
          <w:sz w:val="24"/>
          <w:highlight w:val="none"/>
          <w:u w:val="single"/>
          <w:lang w:val="en-US" w:eastAsia="zh-CN"/>
        </w:rPr>
        <w:t xml:space="preserve">    </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rPr>
        <w:t>%</w:t>
      </w:r>
      <w:r>
        <w:rPr>
          <w:rFonts w:hint="eastAsia" w:ascii="宋体" w:hAnsi="宋体"/>
          <w:color w:val="auto"/>
          <w:sz w:val="24"/>
          <w:highlight w:val="none"/>
        </w:rPr>
        <w:t>。在合同履行期间，如遇国家的税率政策调整，合同含税价格不因国家税率变化而变化，合同不含税价格按国家的税率政策进行调整。监理服务费为固定总价包干，结算价不得超过监理服务费中标价。</w:t>
      </w:r>
    </w:p>
    <w:p w14:paraId="04CAEBE6">
      <w:pPr>
        <w:adjustRightInd w:val="0"/>
        <w:snapToGrid w:val="0"/>
        <w:spacing w:line="500" w:lineRule="exact"/>
        <w:ind w:right="11" w:firstLine="480" w:firstLineChars="200"/>
        <w:rPr>
          <w:rFonts w:hint="eastAsia" w:ascii="宋体" w:hAnsi="宋体"/>
          <w:color w:val="auto"/>
          <w:sz w:val="24"/>
          <w:highlight w:val="none"/>
        </w:rPr>
      </w:pPr>
      <w:r>
        <w:rPr>
          <w:rFonts w:hint="eastAsia" w:ascii="宋体" w:hAnsi="宋体"/>
          <w:color w:val="auto"/>
          <w:sz w:val="24"/>
          <w:highlight w:val="none"/>
        </w:rPr>
        <w:t>六、委托人有独立决定最终实施方案的权利，如果委托人决定进行实施方案调整的，监理人应予以配合，不视为委托人违约，不得以此为理由向委托人进行索赔或要求增加监理服务费用。</w:t>
      </w:r>
    </w:p>
    <w:p w14:paraId="7486E10F">
      <w:pPr>
        <w:adjustRightInd w:val="0"/>
        <w:snapToGrid w:val="0"/>
        <w:spacing w:line="440" w:lineRule="exact"/>
        <w:ind w:firstLine="480" w:firstLineChars="200"/>
        <w:rPr>
          <w:rFonts w:hint="eastAsia" w:ascii="宋体" w:hAnsi="宋体"/>
          <w:color w:val="auto"/>
          <w:sz w:val="24"/>
          <w:highlight w:val="none"/>
          <w:lang w:eastAsia="zh-CN"/>
        </w:rPr>
      </w:pPr>
      <w:r>
        <w:rPr>
          <w:rFonts w:hint="eastAsia" w:ascii="宋体" w:hAnsi="宋体"/>
          <w:color w:val="auto"/>
          <w:sz w:val="24"/>
          <w:highlight w:val="none"/>
        </w:rPr>
        <w:t>七、</w:t>
      </w:r>
      <w:r>
        <w:rPr>
          <w:rFonts w:hint="eastAsia" w:ascii="宋体" w:hAnsi="宋体"/>
          <w:bCs/>
          <w:color w:val="auto"/>
          <w:sz w:val="24"/>
          <w:highlight w:val="none"/>
        </w:rPr>
        <w:t>本合同正本一式贰份，</w:t>
      </w:r>
      <w:r>
        <w:rPr>
          <w:rFonts w:hint="eastAsia" w:ascii="宋体" w:hAnsi="宋体"/>
          <w:color w:val="auto"/>
          <w:sz w:val="24"/>
          <w:highlight w:val="none"/>
        </w:rPr>
        <w:t>委托人</w:t>
      </w:r>
      <w:r>
        <w:rPr>
          <w:rFonts w:hint="eastAsia" w:ascii="宋体" w:hAnsi="宋体"/>
          <w:bCs/>
          <w:color w:val="auto"/>
          <w:sz w:val="24"/>
          <w:highlight w:val="none"/>
        </w:rPr>
        <w:t>、</w:t>
      </w:r>
      <w:r>
        <w:rPr>
          <w:rFonts w:hint="eastAsia" w:ascii="宋体" w:hAnsi="宋体"/>
          <w:color w:val="auto"/>
          <w:sz w:val="24"/>
          <w:highlight w:val="none"/>
        </w:rPr>
        <w:t>监理人</w:t>
      </w:r>
      <w:r>
        <w:rPr>
          <w:rFonts w:hint="eastAsia" w:ascii="宋体" w:hAnsi="宋体"/>
          <w:bCs/>
          <w:color w:val="auto"/>
          <w:sz w:val="24"/>
          <w:highlight w:val="none"/>
        </w:rPr>
        <w:t>各执壹份；副本陆份，</w:t>
      </w:r>
      <w:r>
        <w:rPr>
          <w:rFonts w:hint="eastAsia" w:ascii="宋体" w:hAnsi="宋体"/>
          <w:color w:val="auto"/>
          <w:sz w:val="24"/>
          <w:highlight w:val="none"/>
        </w:rPr>
        <w:t>委托人</w:t>
      </w:r>
      <w:r>
        <w:rPr>
          <w:rFonts w:hint="eastAsia" w:ascii="宋体" w:hAnsi="宋体"/>
          <w:bCs/>
          <w:color w:val="auto"/>
          <w:sz w:val="24"/>
          <w:highlight w:val="none"/>
        </w:rPr>
        <w:t>执叁份，</w:t>
      </w:r>
      <w:r>
        <w:rPr>
          <w:rFonts w:hint="eastAsia" w:ascii="宋体" w:hAnsi="宋体"/>
          <w:color w:val="auto"/>
          <w:sz w:val="24"/>
          <w:highlight w:val="none"/>
        </w:rPr>
        <w:t>监理人</w:t>
      </w:r>
      <w:r>
        <w:rPr>
          <w:rFonts w:hint="eastAsia" w:ascii="宋体" w:hAnsi="宋体"/>
          <w:bCs/>
          <w:color w:val="auto"/>
          <w:sz w:val="24"/>
          <w:highlight w:val="none"/>
        </w:rPr>
        <w:t>执叁份。</w:t>
      </w:r>
      <w:r>
        <w:rPr>
          <w:rFonts w:hint="eastAsia" w:ascii="宋体" w:hAnsi="宋体"/>
          <w:color w:val="auto"/>
          <w:sz w:val="24"/>
          <w:highlight w:val="none"/>
        </w:rPr>
        <w:t>合同正、副本具有同等效力，但当合同正本与副本的表述不一致时，以合同正本为准。</w:t>
      </w:r>
    </w:p>
    <w:p w14:paraId="3A4386D0">
      <w:pPr>
        <w:adjustRightInd w:val="0"/>
        <w:snapToGrid w:val="0"/>
        <w:spacing w:line="440" w:lineRule="exact"/>
        <w:rPr>
          <w:rFonts w:hint="eastAsia" w:ascii="宋体" w:hAnsi="宋体"/>
          <w:color w:val="auto"/>
          <w:sz w:val="24"/>
          <w:highlight w:val="none"/>
          <w:lang w:eastAsia="zh-CN"/>
        </w:rPr>
      </w:pPr>
    </w:p>
    <w:tbl>
      <w:tblPr>
        <w:tblStyle w:val="8"/>
        <w:tblW w:w="8915"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8"/>
        <w:gridCol w:w="425"/>
        <w:gridCol w:w="4272"/>
      </w:tblGrid>
      <w:tr w14:paraId="73DC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218" w:type="dxa"/>
            <w:tcBorders>
              <w:top w:val="nil"/>
              <w:left w:val="nil"/>
              <w:bottom w:val="nil"/>
              <w:right w:val="nil"/>
            </w:tcBorders>
          </w:tcPr>
          <w:p w14:paraId="1D52C47E">
            <w:pPr>
              <w:widowControl/>
              <w:wordWrap w:val="0"/>
              <w:topLinePunct/>
              <w:adjustRightInd w:val="0"/>
              <w:snapToGrid w:val="0"/>
              <w:spacing w:line="480" w:lineRule="exact"/>
              <w:ind w:left="3120" w:hanging="3120" w:hangingChars="1300"/>
              <w:rPr>
                <w:rFonts w:hint="eastAsia" w:ascii="宋体" w:hAnsi="宋体"/>
                <w:bCs/>
                <w:color w:val="auto"/>
                <w:sz w:val="24"/>
                <w:highlight w:val="none"/>
              </w:rPr>
            </w:pPr>
            <w:r>
              <w:rPr>
                <w:rFonts w:hint="eastAsia" w:ascii="宋体" w:hAnsi="宋体"/>
                <w:bCs/>
                <w:color w:val="auto"/>
                <w:sz w:val="24"/>
                <w:highlight w:val="none"/>
              </w:rPr>
              <w:t>委托人：</w:t>
            </w:r>
            <w:r>
              <w:rPr>
                <w:rFonts w:hint="eastAsia" w:ascii="宋体" w:hAnsi="宋体" w:cs="宋体"/>
                <w:b/>
                <w:color w:val="auto"/>
                <w:sz w:val="24"/>
                <w:highlight w:val="none"/>
                <w:u w:val="single"/>
              </w:rPr>
              <w:t>广州增城智</w:t>
            </w:r>
            <w:r>
              <w:rPr>
                <w:rFonts w:hint="eastAsia" w:ascii="宋体" w:hAnsi="宋体" w:cs="宋体"/>
                <w:b/>
                <w:color w:val="auto"/>
                <w:sz w:val="24"/>
                <w:highlight w:val="none"/>
                <w:u w:val="single"/>
                <w:lang w:val="en-US" w:eastAsia="zh-CN"/>
              </w:rPr>
              <w:t>通</w:t>
            </w:r>
            <w:r>
              <w:rPr>
                <w:rFonts w:hint="eastAsia" w:ascii="宋体" w:hAnsi="宋体" w:cs="宋体"/>
                <w:b/>
                <w:color w:val="auto"/>
                <w:sz w:val="24"/>
                <w:highlight w:val="none"/>
                <w:u w:val="single"/>
              </w:rPr>
              <w:t>投资发展有限公司</w:t>
            </w:r>
            <w:r>
              <w:rPr>
                <w:rFonts w:hint="eastAsia" w:ascii="宋体" w:hAnsi="宋体"/>
                <w:bCs/>
                <w:color w:val="auto"/>
                <w:sz w:val="24"/>
                <w:highlight w:val="none"/>
                <w:u w:val="single"/>
              </w:rPr>
              <w:t>（ 盖章）</w:t>
            </w:r>
          </w:p>
        </w:tc>
        <w:tc>
          <w:tcPr>
            <w:tcW w:w="425" w:type="dxa"/>
            <w:tcBorders>
              <w:top w:val="nil"/>
              <w:left w:val="nil"/>
              <w:bottom w:val="nil"/>
              <w:right w:val="nil"/>
            </w:tcBorders>
          </w:tcPr>
          <w:p w14:paraId="7954411B">
            <w:pPr>
              <w:widowControl/>
              <w:wordWrap w:val="0"/>
              <w:topLinePunct/>
              <w:adjustRightInd w:val="0"/>
              <w:snapToGrid w:val="0"/>
              <w:spacing w:line="480" w:lineRule="exact"/>
              <w:rPr>
                <w:rFonts w:hint="eastAsia" w:ascii="宋体" w:hAnsi="宋体"/>
                <w:bCs/>
                <w:color w:val="auto"/>
                <w:sz w:val="24"/>
                <w:highlight w:val="none"/>
              </w:rPr>
            </w:pPr>
          </w:p>
        </w:tc>
        <w:tc>
          <w:tcPr>
            <w:tcW w:w="4272" w:type="dxa"/>
            <w:tcBorders>
              <w:top w:val="nil"/>
              <w:left w:val="nil"/>
              <w:bottom w:val="nil"/>
              <w:right w:val="nil"/>
            </w:tcBorders>
          </w:tcPr>
          <w:p w14:paraId="53B7EB63">
            <w:pPr>
              <w:widowControl/>
              <w:wordWrap w:val="0"/>
              <w:topLinePunct/>
              <w:adjustRightInd w:val="0"/>
              <w:snapToGrid w:val="0"/>
              <w:spacing w:line="480" w:lineRule="exact"/>
              <w:ind w:left="3120" w:hanging="3120" w:hangingChars="1300"/>
              <w:rPr>
                <w:rFonts w:hint="eastAsia" w:ascii="宋体" w:hAnsi="宋体"/>
                <w:bCs/>
                <w:color w:val="auto"/>
                <w:sz w:val="24"/>
                <w:highlight w:val="none"/>
              </w:rPr>
            </w:pPr>
            <w:r>
              <w:rPr>
                <w:rFonts w:hint="eastAsia" w:ascii="宋体" w:hAnsi="宋体"/>
                <w:bCs/>
                <w:color w:val="auto"/>
                <w:sz w:val="24"/>
                <w:highlight w:val="none"/>
              </w:rPr>
              <w:t>监理人：</w:t>
            </w:r>
            <w:r>
              <w:rPr>
                <w:rFonts w:hint="eastAsia" w:ascii="宋体" w:hAnsi="宋体"/>
                <w:bCs/>
                <w:color w:val="auto"/>
                <w:sz w:val="24"/>
                <w:highlight w:val="none"/>
                <w:u w:val="single"/>
              </w:rPr>
              <w:t xml:space="preserve">                      </w:t>
            </w:r>
            <w:r>
              <w:rPr>
                <w:rFonts w:hint="eastAsia" w:ascii="宋体" w:hAnsi="宋体"/>
                <w:bCs/>
                <w:color w:val="auto"/>
                <w:sz w:val="24"/>
                <w:highlight w:val="none"/>
                <w:u w:val="none"/>
              </w:rPr>
              <w:t xml:space="preserve">   </w:t>
            </w:r>
            <w:r>
              <w:rPr>
                <w:rFonts w:hint="eastAsia" w:ascii="宋体" w:hAnsi="宋体"/>
                <w:bCs/>
                <w:color w:val="auto"/>
                <w:sz w:val="24"/>
                <w:highlight w:val="none"/>
                <w:u w:val="single"/>
              </w:rPr>
              <w:t>（ 盖章）</w:t>
            </w:r>
          </w:p>
        </w:tc>
      </w:tr>
      <w:tr w14:paraId="431A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218" w:type="dxa"/>
            <w:tcBorders>
              <w:top w:val="nil"/>
              <w:left w:val="nil"/>
              <w:bottom w:val="nil"/>
              <w:right w:val="nil"/>
            </w:tcBorders>
            <w:vAlign w:val="center"/>
          </w:tcPr>
          <w:p w14:paraId="5E3079D0">
            <w:pPr>
              <w:spacing w:line="460" w:lineRule="exact"/>
              <w:ind w:right="120"/>
              <w:rPr>
                <w:rFonts w:hint="eastAsia" w:ascii="宋体" w:hAnsi="宋体"/>
                <w:bCs/>
                <w:color w:val="auto"/>
                <w:sz w:val="24"/>
                <w:highlight w:val="none"/>
                <w:u w:val="single"/>
              </w:rPr>
            </w:pPr>
            <w:r>
              <w:rPr>
                <w:rFonts w:hint="eastAsia" w:ascii="宋体" w:hAnsi="宋体"/>
                <w:bCs/>
                <w:color w:val="auto"/>
                <w:sz w:val="24"/>
                <w:highlight w:val="none"/>
              </w:rPr>
              <w:t>单位地址：</w:t>
            </w:r>
            <w:r>
              <w:rPr>
                <w:rFonts w:hint="eastAsia" w:ascii="宋体" w:hAnsi="宋体"/>
                <w:bCs/>
                <w:color w:val="auto"/>
                <w:sz w:val="24"/>
                <w:highlight w:val="none"/>
                <w:u w:val="single"/>
              </w:rPr>
              <w:t xml:space="preserve">                          </w:t>
            </w:r>
          </w:p>
          <w:p w14:paraId="56EF6881">
            <w:pPr>
              <w:widowControl/>
              <w:wordWrap w:val="0"/>
              <w:topLinePunct/>
              <w:adjustRightInd w:val="0"/>
              <w:snapToGrid w:val="0"/>
              <w:spacing w:line="480" w:lineRule="exact"/>
              <w:rPr>
                <w:rFonts w:hint="eastAsia" w:ascii="宋体" w:hAnsi="宋体"/>
                <w:bCs/>
                <w:color w:val="auto"/>
                <w:sz w:val="24"/>
                <w:highlight w:val="none"/>
              </w:rPr>
            </w:pPr>
            <w:r>
              <w:rPr>
                <w:rFonts w:hint="eastAsia" w:ascii="宋体" w:hAnsi="宋体"/>
                <w:bCs/>
                <w:color w:val="auto"/>
                <w:sz w:val="24"/>
                <w:highlight w:val="none"/>
              </w:rPr>
              <w:t xml:space="preserve"> </w:t>
            </w:r>
          </w:p>
        </w:tc>
        <w:tc>
          <w:tcPr>
            <w:tcW w:w="425" w:type="dxa"/>
            <w:tcBorders>
              <w:top w:val="nil"/>
              <w:left w:val="nil"/>
              <w:bottom w:val="nil"/>
              <w:right w:val="nil"/>
            </w:tcBorders>
          </w:tcPr>
          <w:p w14:paraId="38A549A2">
            <w:pPr>
              <w:widowControl/>
              <w:wordWrap w:val="0"/>
              <w:topLinePunct/>
              <w:adjustRightInd w:val="0"/>
              <w:snapToGrid w:val="0"/>
              <w:spacing w:line="480" w:lineRule="exact"/>
              <w:rPr>
                <w:rFonts w:hint="eastAsia" w:ascii="宋体" w:hAnsi="宋体"/>
                <w:bCs/>
                <w:color w:val="auto"/>
                <w:sz w:val="24"/>
                <w:highlight w:val="none"/>
              </w:rPr>
            </w:pPr>
          </w:p>
        </w:tc>
        <w:tc>
          <w:tcPr>
            <w:tcW w:w="4272" w:type="dxa"/>
            <w:tcBorders>
              <w:top w:val="nil"/>
              <w:left w:val="nil"/>
              <w:bottom w:val="nil"/>
              <w:right w:val="nil"/>
            </w:tcBorders>
            <w:vAlign w:val="center"/>
          </w:tcPr>
          <w:p w14:paraId="09D29889">
            <w:pPr>
              <w:widowControl/>
              <w:spacing w:line="360" w:lineRule="auto"/>
              <w:rPr>
                <w:rFonts w:hint="eastAsia" w:ascii="宋体" w:hAnsi="宋体"/>
                <w:bCs/>
                <w:color w:val="auto"/>
                <w:sz w:val="24"/>
                <w:highlight w:val="none"/>
              </w:rPr>
            </w:pPr>
            <w:r>
              <w:rPr>
                <w:rFonts w:hint="eastAsia" w:ascii="宋体" w:hAnsi="宋体"/>
                <w:bCs/>
                <w:color w:val="auto"/>
                <w:sz w:val="24"/>
                <w:highlight w:val="none"/>
              </w:rPr>
              <w:t>单位地址：</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u w:val="none"/>
              </w:rPr>
              <w:t xml:space="preserve">   </w:t>
            </w:r>
          </w:p>
        </w:tc>
      </w:tr>
      <w:tr w14:paraId="763C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218" w:type="dxa"/>
            <w:tcBorders>
              <w:top w:val="nil"/>
              <w:left w:val="nil"/>
              <w:bottom w:val="nil"/>
              <w:right w:val="nil"/>
            </w:tcBorders>
            <w:vAlign w:val="center"/>
          </w:tcPr>
          <w:p w14:paraId="553B3084">
            <w:pPr>
              <w:widowControl/>
              <w:wordWrap w:val="0"/>
              <w:topLinePunct/>
              <w:adjustRightInd w:val="0"/>
              <w:snapToGrid w:val="0"/>
              <w:spacing w:line="480" w:lineRule="exact"/>
              <w:rPr>
                <w:rFonts w:hint="eastAsia" w:ascii="宋体" w:hAnsi="宋体"/>
                <w:bCs/>
                <w:color w:val="auto"/>
                <w:sz w:val="24"/>
                <w:highlight w:val="none"/>
              </w:rPr>
            </w:pPr>
            <w:r>
              <w:rPr>
                <w:rFonts w:hint="eastAsia" w:ascii="宋体" w:hAnsi="宋体"/>
                <w:bCs/>
                <w:color w:val="auto"/>
                <w:sz w:val="24"/>
                <w:highlight w:val="none"/>
              </w:rPr>
              <w:t>法定代表人：</w:t>
            </w:r>
            <w:r>
              <w:rPr>
                <w:rFonts w:hint="eastAsia" w:ascii="宋体" w:hAnsi="宋体"/>
                <w:bCs/>
                <w:color w:val="auto"/>
                <w:sz w:val="24"/>
                <w:highlight w:val="none"/>
                <w:u w:val="single"/>
              </w:rPr>
              <w:t xml:space="preserve">                      </w:t>
            </w:r>
          </w:p>
        </w:tc>
        <w:tc>
          <w:tcPr>
            <w:tcW w:w="425" w:type="dxa"/>
            <w:tcBorders>
              <w:top w:val="nil"/>
              <w:left w:val="nil"/>
              <w:bottom w:val="nil"/>
              <w:right w:val="nil"/>
            </w:tcBorders>
          </w:tcPr>
          <w:p w14:paraId="3C68DB0B">
            <w:pPr>
              <w:widowControl/>
              <w:wordWrap w:val="0"/>
              <w:topLinePunct/>
              <w:adjustRightInd w:val="0"/>
              <w:snapToGrid w:val="0"/>
              <w:spacing w:line="480" w:lineRule="exact"/>
              <w:rPr>
                <w:rFonts w:hint="eastAsia" w:ascii="宋体" w:hAnsi="宋体"/>
                <w:bCs/>
                <w:color w:val="auto"/>
                <w:sz w:val="24"/>
                <w:highlight w:val="none"/>
              </w:rPr>
            </w:pPr>
          </w:p>
        </w:tc>
        <w:tc>
          <w:tcPr>
            <w:tcW w:w="4272" w:type="dxa"/>
            <w:tcBorders>
              <w:top w:val="nil"/>
              <w:left w:val="nil"/>
              <w:bottom w:val="nil"/>
              <w:right w:val="nil"/>
            </w:tcBorders>
            <w:vAlign w:val="center"/>
          </w:tcPr>
          <w:p w14:paraId="0AB402C1">
            <w:pPr>
              <w:widowControl/>
              <w:wordWrap w:val="0"/>
              <w:topLinePunct/>
              <w:adjustRightInd w:val="0"/>
              <w:snapToGrid w:val="0"/>
              <w:spacing w:line="480" w:lineRule="exact"/>
              <w:rPr>
                <w:rFonts w:hint="eastAsia" w:ascii="宋体" w:hAnsi="宋体"/>
                <w:bCs/>
                <w:color w:val="auto"/>
                <w:sz w:val="24"/>
                <w:highlight w:val="none"/>
              </w:rPr>
            </w:pPr>
            <w:r>
              <w:rPr>
                <w:rFonts w:hint="eastAsia" w:ascii="宋体" w:hAnsi="宋体"/>
                <w:bCs/>
                <w:color w:val="auto"/>
                <w:sz w:val="24"/>
                <w:highlight w:val="none"/>
              </w:rPr>
              <w:t>法定代表人：</w:t>
            </w:r>
            <w:r>
              <w:rPr>
                <w:rFonts w:hint="eastAsia" w:ascii="宋体" w:hAnsi="宋体"/>
                <w:bCs/>
                <w:color w:val="auto"/>
                <w:sz w:val="24"/>
                <w:highlight w:val="none"/>
                <w:u w:val="single"/>
              </w:rPr>
              <w:t xml:space="preserve">                    </w:t>
            </w:r>
          </w:p>
        </w:tc>
      </w:tr>
      <w:tr w14:paraId="5A19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4218" w:type="dxa"/>
            <w:tcBorders>
              <w:top w:val="nil"/>
              <w:left w:val="nil"/>
              <w:bottom w:val="nil"/>
              <w:right w:val="nil"/>
            </w:tcBorders>
            <w:vAlign w:val="center"/>
          </w:tcPr>
          <w:p w14:paraId="5E59270C">
            <w:pPr>
              <w:widowControl/>
              <w:wordWrap w:val="0"/>
              <w:topLinePunct/>
              <w:adjustRightInd w:val="0"/>
              <w:snapToGrid w:val="0"/>
              <w:spacing w:line="480" w:lineRule="exact"/>
              <w:rPr>
                <w:rFonts w:hint="eastAsia" w:ascii="宋体" w:hAnsi="宋体"/>
                <w:bCs/>
                <w:color w:val="auto"/>
                <w:sz w:val="24"/>
                <w:highlight w:val="none"/>
              </w:rPr>
            </w:pPr>
            <w:r>
              <w:rPr>
                <w:rFonts w:hint="eastAsia" w:ascii="宋体" w:hAnsi="宋体"/>
                <w:bCs/>
                <w:color w:val="auto"/>
                <w:sz w:val="24"/>
                <w:highlight w:val="none"/>
              </w:rPr>
              <w:t>或其委托代理人：</w:t>
            </w:r>
            <w:r>
              <w:rPr>
                <w:rFonts w:hint="eastAsia" w:ascii="宋体" w:hAnsi="宋体"/>
                <w:bCs/>
                <w:color w:val="auto"/>
                <w:sz w:val="24"/>
                <w:highlight w:val="none"/>
                <w:u w:val="single"/>
              </w:rPr>
              <w:t xml:space="preserve">                 </w:t>
            </w:r>
          </w:p>
        </w:tc>
        <w:tc>
          <w:tcPr>
            <w:tcW w:w="425" w:type="dxa"/>
            <w:tcBorders>
              <w:top w:val="nil"/>
              <w:left w:val="nil"/>
              <w:bottom w:val="nil"/>
              <w:right w:val="nil"/>
            </w:tcBorders>
          </w:tcPr>
          <w:p w14:paraId="2D2CFFC9">
            <w:pPr>
              <w:widowControl/>
              <w:wordWrap w:val="0"/>
              <w:topLinePunct/>
              <w:adjustRightInd w:val="0"/>
              <w:snapToGrid w:val="0"/>
              <w:spacing w:line="480" w:lineRule="exact"/>
              <w:rPr>
                <w:rFonts w:hint="eastAsia" w:ascii="宋体" w:hAnsi="宋体"/>
                <w:bCs/>
                <w:color w:val="auto"/>
                <w:sz w:val="24"/>
                <w:highlight w:val="none"/>
              </w:rPr>
            </w:pPr>
          </w:p>
        </w:tc>
        <w:tc>
          <w:tcPr>
            <w:tcW w:w="4272" w:type="dxa"/>
            <w:tcBorders>
              <w:top w:val="nil"/>
              <w:left w:val="nil"/>
              <w:bottom w:val="nil"/>
              <w:right w:val="nil"/>
            </w:tcBorders>
            <w:vAlign w:val="center"/>
          </w:tcPr>
          <w:p w14:paraId="3851BF08">
            <w:pPr>
              <w:widowControl/>
              <w:wordWrap w:val="0"/>
              <w:topLinePunct/>
              <w:adjustRightInd w:val="0"/>
              <w:snapToGrid w:val="0"/>
              <w:spacing w:line="480" w:lineRule="exact"/>
              <w:rPr>
                <w:rFonts w:hint="eastAsia" w:ascii="宋体" w:hAnsi="宋体"/>
                <w:bCs/>
                <w:color w:val="auto"/>
                <w:sz w:val="24"/>
                <w:highlight w:val="none"/>
              </w:rPr>
            </w:pPr>
            <w:r>
              <w:rPr>
                <w:rFonts w:hint="eastAsia" w:ascii="宋体" w:hAnsi="宋体"/>
                <w:bCs/>
                <w:color w:val="auto"/>
                <w:sz w:val="24"/>
                <w:highlight w:val="none"/>
              </w:rPr>
              <w:t>或其委托代理人：</w:t>
            </w:r>
            <w:r>
              <w:rPr>
                <w:rFonts w:hint="eastAsia" w:ascii="宋体" w:hAnsi="宋体"/>
                <w:bCs/>
                <w:color w:val="auto"/>
                <w:sz w:val="24"/>
                <w:highlight w:val="none"/>
                <w:u w:val="single"/>
              </w:rPr>
              <w:t xml:space="preserve">                 </w:t>
            </w:r>
          </w:p>
        </w:tc>
      </w:tr>
      <w:tr w14:paraId="3561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218" w:type="dxa"/>
            <w:tcBorders>
              <w:top w:val="nil"/>
              <w:left w:val="nil"/>
              <w:bottom w:val="nil"/>
              <w:right w:val="nil"/>
            </w:tcBorders>
            <w:vAlign w:val="center"/>
          </w:tcPr>
          <w:p w14:paraId="36F95AFA">
            <w:pPr>
              <w:widowControl/>
              <w:wordWrap w:val="0"/>
              <w:topLinePunct/>
              <w:adjustRightInd w:val="0"/>
              <w:snapToGrid w:val="0"/>
              <w:spacing w:line="480" w:lineRule="exact"/>
              <w:rPr>
                <w:rFonts w:hint="eastAsia" w:ascii="宋体" w:hAnsi="宋体"/>
                <w:bCs/>
                <w:color w:val="auto"/>
                <w:sz w:val="24"/>
                <w:highlight w:val="none"/>
              </w:rPr>
            </w:pPr>
            <w:r>
              <w:rPr>
                <w:rFonts w:hint="eastAsia" w:ascii="宋体" w:hAnsi="宋体"/>
                <w:bCs/>
                <w:color w:val="auto"/>
                <w:sz w:val="24"/>
                <w:highlight w:val="none"/>
              </w:rPr>
              <w:t xml:space="preserve">税 </w:t>
            </w:r>
            <w:r>
              <w:rPr>
                <w:rFonts w:ascii="宋体" w:hAnsi="宋体"/>
                <w:bCs/>
                <w:color w:val="auto"/>
                <w:sz w:val="24"/>
                <w:highlight w:val="none"/>
              </w:rPr>
              <w:t xml:space="preserve">   </w:t>
            </w:r>
            <w:r>
              <w:rPr>
                <w:rFonts w:hint="eastAsia" w:ascii="宋体" w:hAnsi="宋体"/>
                <w:bCs/>
                <w:color w:val="auto"/>
                <w:sz w:val="24"/>
                <w:highlight w:val="none"/>
              </w:rPr>
              <w:t>号：</w:t>
            </w:r>
            <w:r>
              <w:rPr>
                <w:rFonts w:hint="eastAsia" w:ascii="宋体" w:hAnsi="宋体"/>
                <w:bCs/>
                <w:color w:val="auto"/>
                <w:sz w:val="24"/>
                <w:highlight w:val="none"/>
                <w:u w:val="single"/>
              </w:rPr>
              <w:t xml:space="preserve">                       </w:t>
            </w:r>
          </w:p>
        </w:tc>
        <w:tc>
          <w:tcPr>
            <w:tcW w:w="425" w:type="dxa"/>
            <w:tcBorders>
              <w:top w:val="nil"/>
              <w:left w:val="nil"/>
              <w:bottom w:val="nil"/>
              <w:right w:val="nil"/>
            </w:tcBorders>
          </w:tcPr>
          <w:p w14:paraId="0DE822DB">
            <w:pPr>
              <w:widowControl/>
              <w:wordWrap w:val="0"/>
              <w:topLinePunct/>
              <w:adjustRightInd w:val="0"/>
              <w:snapToGrid w:val="0"/>
              <w:spacing w:line="480" w:lineRule="exact"/>
              <w:rPr>
                <w:rFonts w:hint="eastAsia" w:ascii="宋体" w:hAnsi="宋体"/>
                <w:bCs/>
                <w:color w:val="auto"/>
                <w:sz w:val="24"/>
                <w:highlight w:val="none"/>
              </w:rPr>
            </w:pPr>
          </w:p>
        </w:tc>
        <w:tc>
          <w:tcPr>
            <w:tcW w:w="4272" w:type="dxa"/>
            <w:tcBorders>
              <w:top w:val="nil"/>
              <w:left w:val="nil"/>
              <w:bottom w:val="nil"/>
              <w:right w:val="nil"/>
            </w:tcBorders>
            <w:vAlign w:val="center"/>
          </w:tcPr>
          <w:p w14:paraId="0E1D879C">
            <w:pPr>
              <w:widowControl/>
              <w:wordWrap w:val="0"/>
              <w:topLinePunct/>
              <w:adjustRightInd w:val="0"/>
              <w:snapToGrid w:val="0"/>
              <w:spacing w:line="480" w:lineRule="exact"/>
              <w:rPr>
                <w:rFonts w:hint="eastAsia" w:ascii="宋体" w:hAnsi="宋体"/>
                <w:bCs/>
                <w:color w:val="auto"/>
                <w:sz w:val="24"/>
                <w:highlight w:val="none"/>
              </w:rPr>
            </w:pPr>
            <w:r>
              <w:rPr>
                <w:rFonts w:hint="eastAsia" w:ascii="宋体" w:hAnsi="宋体"/>
                <w:bCs/>
                <w:color w:val="auto"/>
                <w:sz w:val="24"/>
                <w:highlight w:val="none"/>
              </w:rPr>
              <w:t xml:space="preserve">税 </w:t>
            </w:r>
            <w:r>
              <w:rPr>
                <w:rFonts w:ascii="宋体" w:hAnsi="宋体"/>
                <w:bCs/>
                <w:color w:val="auto"/>
                <w:sz w:val="24"/>
                <w:highlight w:val="none"/>
              </w:rPr>
              <w:t xml:space="preserve">   </w:t>
            </w:r>
            <w:r>
              <w:rPr>
                <w:rFonts w:hint="eastAsia" w:ascii="宋体" w:hAnsi="宋体"/>
                <w:bCs/>
                <w:color w:val="auto"/>
                <w:sz w:val="24"/>
                <w:highlight w:val="none"/>
              </w:rPr>
              <w:t>号：</w:t>
            </w:r>
            <w:r>
              <w:rPr>
                <w:rFonts w:hint="eastAsia" w:ascii="宋体" w:hAnsi="宋体"/>
                <w:bCs/>
                <w:color w:val="auto"/>
                <w:sz w:val="24"/>
                <w:highlight w:val="none"/>
                <w:u w:val="single"/>
              </w:rPr>
              <w:t xml:space="preserve">                      </w:t>
            </w:r>
            <w:r>
              <w:rPr>
                <w:rFonts w:hint="eastAsia" w:ascii="宋体" w:hAnsi="宋体"/>
                <w:bCs/>
                <w:color w:val="auto"/>
                <w:sz w:val="24"/>
                <w:highlight w:val="none"/>
                <w:u w:val="none"/>
              </w:rPr>
              <w:t xml:space="preserve"> </w:t>
            </w:r>
          </w:p>
        </w:tc>
      </w:tr>
      <w:tr w14:paraId="43EA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4218" w:type="dxa"/>
            <w:tcBorders>
              <w:top w:val="nil"/>
              <w:left w:val="nil"/>
              <w:bottom w:val="nil"/>
              <w:right w:val="nil"/>
            </w:tcBorders>
            <w:vAlign w:val="center"/>
          </w:tcPr>
          <w:p w14:paraId="3AC7036A">
            <w:pPr>
              <w:widowControl/>
              <w:wordWrap w:val="0"/>
              <w:topLinePunct/>
              <w:adjustRightInd w:val="0"/>
              <w:snapToGrid w:val="0"/>
              <w:spacing w:line="480" w:lineRule="exact"/>
              <w:rPr>
                <w:rFonts w:hint="eastAsia" w:ascii="宋体" w:hAnsi="宋体"/>
                <w:bCs/>
                <w:color w:val="auto"/>
                <w:sz w:val="24"/>
                <w:highlight w:val="none"/>
              </w:rPr>
            </w:pPr>
            <w:r>
              <w:rPr>
                <w:rFonts w:hint="eastAsia" w:ascii="宋体" w:hAnsi="宋体"/>
                <w:bCs/>
                <w:color w:val="auto"/>
                <w:sz w:val="24"/>
                <w:highlight w:val="none"/>
              </w:rPr>
              <w:t>开户银行：</w:t>
            </w:r>
            <w:r>
              <w:rPr>
                <w:rFonts w:hint="eastAsia" w:ascii="宋体" w:hAnsi="宋体"/>
                <w:bCs/>
                <w:color w:val="auto"/>
                <w:sz w:val="24"/>
                <w:highlight w:val="none"/>
                <w:u w:val="single"/>
              </w:rPr>
              <w:t xml:space="preserve">                       </w:t>
            </w:r>
          </w:p>
        </w:tc>
        <w:tc>
          <w:tcPr>
            <w:tcW w:w="425" w:type="dxa"/>
            <w:tcBorders>
              <w:top w:val="nil"/>
              <w:left w:val="nil"/>
              <w:bottom w:val="nil"/>
              <w:right w:val="nil"/>
            </w:tcBorders>
          </w:tcPr>
          <w:p w14:paraId="1C05FD7E">
            <w:pPr>
              <w:widowControl/>
              <w:wordWrap w:val="0"/>
              <w:topLinePunct/>
              <w:adjustRightInd w:val="0"/>
              <w:snapToGrid w:val="0"/>
              <w:spacing w:line="480" w:lineRule="exact"/>
              <w:rPr>
                <w:rFonts w:hint="eastAsia" w:ascii="宋体" w:hAnsi="宋体"/>
                <w:bCs/>
                <w:color w:val="auto"/>
                <w:sz w:val="24"/>
                <w:highlight w:val="none"/>
              </w:rPr>
            </w:pPr>
          </w:p>
        </w:tc>
        <w:tc>
          <w:tcPr>
            <w:tcW w:w="4272" w:type="dxa"/>
            <w:tcBorders>
              <w:top w:val="nil"/>
              <w:left w:val="nil"/>
              <w:bottom w:val="nil"/>
              <w:right w:val="nil"/>
            </w:tcBorders>
            <w:vAlign w:val="center"/>
          </w:tcPr>
          <w:p w14:paraId="3F37751B">
            <w:pPr>
              <w:widowControl/>
              <w:wordWrap w:val="0"/>
              <w:topLinePunct/>
              <w:adjustRightInd w:val="0"/>
              <w:snapToGrid w:val="0"/>
              <w:spacing w:line="480" w:lineRule="exact"/>
              <w:rPr>
                <w:rFonts w:hint="eastAsia" w:ascii="宋体" w:hAnsi="宋体"/>
                <w:bCs/>
                <w:color w:val="auto"/>
                <w:sz w:val="24"/>
                <w:highlight w:val="none"/>
              </w:rPr>
            </w:pPr>
            <w:r>
              <w:rPr>
                <w:rFonts w:hint="eastAsia" w:ascii="宋体" w:hAnsi="宋体"/>
                <w:bCs/>
                <w:color w:val="auto"/>
                <w:sz w:val="24"/>
                <w:highlight w:val="none"/>
              </w:rPr>
              <w:t>开户银行：</w:t>
            </w:r>
            <w:r>
              <w:rPr>
                <w:rFonts w:hint="eastAsia" w:ascii="宋体" w:hAnsi="宋体"/>
                <w:bCs/>
                <w:color w:val="auto"/>
                <w:sz w:val="24"/>
                <w:highlight w:val="none"/>
                <w:u w:val="single"/>
              </w:rPr>
              <w:t xml:space="preserve">                      </w:t>
            </w:r>
          </w:p>
        </w:tc>
      </w:tr>
      <w:tr w14:paraId="3FA9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218" w:type="dxa"/>
            <w:tcBorders>
              <w:top w:val="nil"/>
              <w:left w:val="nil"/>
              <w:bottom w:val="nil"/>
              <w:right w:val="nil"/>
            </w:tcBorders>
            <w:vAlign w:val="center"/>
          </w:tcPr>
          <w:p w14:paraId="41F52CF3">
            <w:pPr>
              <w:widowControl/>
              <w:wordWrap w:val="0"/>
              <w:topLinePunct/>
              <w:adjustRightInd w:val="0"/>
              <w:snapToGrid w:val="0"/>
              <w:spacing w:line="480" w:lineRule="exact"/>
              <w:rPr>
                <w:rFonts w:hint="eastAsia" w:ascii="宋体" w:hAnsi="宋体"/>
                <w:bCs/>
                <w:color w:val="auto"/>
                <w:sz w:val="24"/>
                <w:highlight w:val="none"/>
              </w:rPr>
            </w:pPr>
            <w:r>
              <w:rPr>
                <w:rFonts w:hint="eastAsia" w:ascii="宋体" w:hAnsi="宋体"/>
                <w:bCs/>
                <w:color w:val="auto"/>
                <w:sz w:val="24"/>
                <w:highlight w:val="none"/>
              </w:rPr>
              <w:t>账    号：</w:t>
            </w:r>
            <w:r>
              <w:rPr>
                <w:rFonts w:hint="eastAsia" w:ascii="宋体" w:hAnsi="宋体"/>
                <w:bCs/>
                <w:color w:val="auto"/>
                <w:sz w:val="24"/>
                <w:highlight w:val="none"/>
                <w:u w:val="single"/>
              </w:rPr>
              <w:t xml:space="preserve">                       </w:t>
            </w:r>
            <w:r>
              <w:rPr>
                <w:rFonts w:hint="eastAsia" w:ascii="宋体" w:hAnsi="宋体"/>
                <w:bCs/>
                <w:color w:val="auto"/>
                <w:sz w:val="24"/>
                <w:highlight w:val="none"/>
              </w:rPr>
              <w:t xml:space="preserve"> </w:t>
            </w:r>
          </w:p>
        </w:tc>
        <w:tc>
          <w:tcPr>
            <w:tcW w:w="425" w:type="dxa"/>
            <w:tcBorders>
              <w:top w:val="nil"/>
              <w:left w:val="nil"/>
              <w:bottom w:val="nil"/>
              <w:right w:val="nil"/>
            </w:tcBorders>
          </w:tcPr>
          <w:p w14:paraId="45EC4F73">
            <w:pPr>
              <w:widowControl/>
              <w:wordWrap w:val="0"/>
              <w:topLinePunct/>
              <w:adjustRightInd w:val="0"/>
              <w:snapToGrid w:val="0"/>
              <w:spacing w:line="480" w:lineRule="exact"/>
              <w:rPr>
                <w:rFonts w:hint="eastAsia" w:ascii="宋体" w:hAnsi="宋体"/>
                <w:bCs/>
                <w:color w:val="auto"/>
                <w:sz w:val="24"/>
                <w:highlight w:val="none"/>
              </w:rPr>
            </w:pPr>
          </w:p>
        </w:tc>
        <w:tc>
          <w:tcPr>
            <w:tcW w:w="4272" w:type="dxa"/>
            <w:tcBorders>
              <w:top w:val="nil"/>
              <w:left w:val="nil"/>
              <w:bottom w:val="nil"/>
              <w:right w:val="nil"/>
            </w:tcBorders>
            <w:vAlign w:val="center"/>
          </w:tcPr>
          <w:p w14:paraId="6A4FFFB7">
            <w:pPr>
              <w:widowControl/>
              <w:wordWrap w:val="0"/>
              <w:topLinePunct/>
              <w:adjustRightInd w:val="0"/>
              <w:snapToGrid w:val="0"/>
              <w:spacing w:line="480" w:lineRule="exact"/>
              <w:rPr>
                <w:rFonts w:hint="eastAsia" w:ascii="宋体" w:hAnsi="宋体"/>
                <w:bCs/>
                <w:color w:val="auto"/>
                <w:sz w:val="24"/>
                <w:highlight w:val="none"/>
              </w:rPr>
            </w:pPr>
            <w:r>
              <w:rPr>
                <w:rFonts w:hint="eastAsia" w:ascii="宋体" w:hAnsi="宋体"/>
                <w:bCs/>
                <w:color w:val="auto"/>
                <w:sz w:val="24"/>
                <w:highlight w:val="none"/>
              </w:rPr>
              <w:t>账    号：</w:t>
            </w:r>
            <w:r>
              <w:rPr>
                <w:rFonts w:hint="eastAsia" w:ascii="宋体" w:hAnsi="宋体"/>
                <w:bCs/>
                <w:color w:val="auto"/>
                <w:sz w:val="24"/>
                <w:highlight w:val="none"/>
                <w:u w:val="single"/>
              </w:rPr>
              <w:t xml:space="preserve">                       </w:t>
            </w:r>
          </w:p>
        </w:tc>
      </w:tr>
      <w:tr w14:paraId="5A04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218" w:type="dxa"/>
            <w:tcBorders>
              <w:top w:val="nil"/>
              <w:left w:val="nil"/>
              <w:bottom w:val="nil"/>
              <w:right w:val="nil"/>
            </w:tcBorders>
            <w:vAlign w:val="center"/>
          </w:tcPr>
          <w:p w14:paraId="5BB8055B">
            <w:pPr>
              <w:adjustRightInd w:val="0"/>
              <w:snapToGrid w:val="0"/>
              <w:spacing w:line="360" w:lineRule="auto"/>
              <w:rPr>
                <w:rFonts w:hint="eastAsia" w:ascii="宋体" w:hAnsi="宋体"/>
                <w:color w:val="auto"/>
                <w:sz w:val="24"/>
                <w:highlight w:val="none"/>
              </w:rPr>
            </w:pPr>
            <w:r>
              <w:rPr>
                <w:rFonts w:hint="eastAsia" w:ascii="宋体" w:hAnsi="宋体"/>
                <w:color w:val="auto"/>
                <w:kern w:val="0"/>
                <w:sz w:val="24"/>
                <w:highlight w:val="none"/>
              </w:rPr>
              <w:t>经 办 人</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tc>
        <w:tc>
          <w:tcPr>
            <w:tcW w:w="425" w:type="dxa"/>
            <w:tcBorders>
              <w:top w:val="nil"/>
              <w:left w:val="nil"/>
              <w:bottom w:val="nil"/>
              <w:right w:val="nil"/>
            </w:tcBorders>
            <w:vAlign w:val="center"/>
          </w:tcPr>
          <w:p w14:paraId="0FB16159">
            <w:pPr>
              <w:widowControl/>
              <w:wordWrap w:val="0"/>
              <w:topLinePunct/>
              <w:adjustRightInd w:val="0"/>
              <w:snapToGrid w:val="0"/>
              <w:spacing w:line="480" w:lineRule="exact"/>
              <w:rPr>
                <w:rFonts w:hint="eastAsia" w:ascii="宋体" w:hAnsi="宋体"/>
                <w:bCs/>
                <w:color w:val="auto"/>
                <w:sz w:val="24"/>
                <w:highlight w:val="none"/>
              </w:rPr>
            </w:pPr>
          </w:p>
        </w:tc>
        <w:tc>
          <w:tcPr>
            <w:tcW w:w="4272" w:type="dxa"/>
            <w:tcBorders>
              <w:top w:val="nil"/>
              <w:left w:val="nil"/>
              <w:bottom w:val="nil"/>
              <w:right w:val="nil"/>
            </w:tcBorders>
          </w:tcPr>
          <w:p w14:paraId="32675100">
            <w:pPr>
              <w:widowControl/>
              <w:topLinePunct/>
              <w:adjustRightInd w:val="0"/>
              <w:snapToGrid w:val="0"/>
              <w:spacing w:line="480" w:lineRule="exact"/>
              <w:jc w:val="left"/>
              <w:rPr>
                <w:rFonts w:hint="eastAsia" w:ascii="宋体" w:hAnsi="宋体"/>
                <w:bCs/>
                <w:color w:val="auto"/>
                <w:sz w:val="24"/>
                <w:highlight w:val="none"/>
              </w:rPr>
            </w:pPr>
            <w:r>
              <w:rPr>
                <w:rFonts w:hint="eastAsia" w:ascii="宋体" w:hAnsi="宋体"/>
                <w:color w:val="auto"/>
                <w:kern w:val="0"/>
                <w:sz w:val="24"/>
                <w:highlight w:val="none"/>
              </w:rPr>
              <w:t>经 办 人</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tc>
      </w:tr>
      <w:tr w14:paraId="603D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218" w:type="dxa"/>
            <w:tcBorders>
              <w:top w:val="nil"/>
              <w:left w:val="nil"/>
              <w:bottom w:val="nil"/>
              <w:right w:val="nil"/>
            </w:tcBorders>
            <w:vAlign w:val="center"/>
          </w:tcPr>
          <w:p w14:paraId="195B0F88">
            <w:pPr>
              <w:adjustRightInd w:val="0"/>
              <w:snapToGrid w:val="0"/>
              <w:spacing w:line="360" w:lineRule="auto"/>
              <w:rPr>
                <w:rFonts w:hint="eastAsia" w:ascii="宋体" w:hAnsi="宋体"/>
                <w:color w:val="auto"/>
                <w:kern w:val="0"/>
                <w:sz w:val="24"/>
                <w:highlight w:val="none"/>
              </w:rPr>
            </w:pPr>
            <w:r>
              <w:rPr>
                <w:rFonts w:hint="eastAsia" w:ascii="宋体" w:hAnsi="宋体"/>
                <w:color w:val="auto"/>
                <w:spacing w:val="240"/>
                <w:kern w:val="0"/>
                <w:sz w:val="24"/>
                <w:highlight w:val="none"/>
                <w:fitText w:val="960" w:id="511773096"/>
              </w:rPr>
              <w:t>电</w:t>
            </w:r>
            <w:r>
              <w:rPr>
                <w:rFonts w:hint="eastAsia" w:ascii="宋体" w:hAnsi="宋体"/>
                <w:color w:val="auto"/>
                <w:spacing w:val="0"/>
                <w:kern w:val="0"/>
                <w:sz w:val="24"/>
                <w:highlight w:val="none"/>
                <w:fitText w:val="960" w:id="511773096"/>
              </w:rPr>
              <w:t>话</w:t>
            </w:r>
            <w:r>
              <w:rPr>
                <w:rFonts w:hint="eastAsia" w:ascii="宋体" w:hAnsi="宋体"/>
                <w:color w:val="auto"/>
                <w:kern w:val="0"/>
                <w:sz w:val="24"/>
                <w:highlight w:val="none"/>
              </w:rPr>
              <w:t>：</w:t>
            </w:r>
            <w:r>
              <w:rPr>
                <w:rFonts w:hint="eastAsia" w:ascii="宋体" w:hAnsi="宋体"/>
                <w:color w:val="auto"/>
                <w:kern w:val="0"/>
                <w:sz w:val="24"/>
                <w:highlight w:val="none"/>
                <w:u w:val="single"/>
              </w:rPr>
              <w:t xml:space="preserve">                      </w:t>
            </w:r>
          </w:p>
        </w:tc>
        <w:tc>
          <w:tcPr>
            <w:tcW w:w="425" w:type="dxa"/>
            <w:tcBorders>
              <w:top w:val="nil"/>
              <w:left w:val="nil"/>
              <w:bottom w:val="nil"/>
              <w:right w:val="nil"/>
            </w:tcBorders>
            <w:vAlign w:val="center"/>
          </w:tcPr>
          <w:p w14:paraId="348CBCFB">
            <w:pPr>
              <w:widowControl/>
              <w:wordWrap w:val="0"/>
              <w:topLinePunct/>
              <w:adjustRightInd w:val="0"/>
              <w:snapToGrid w:val="0"/>
              <w:spacing w:line="480" w:lineRule="exact"/>
              <w:rPr>
                <w:rFonts w:hint="eastAsia" w:ascii="宋体" w:hAnsi="宋体"/>
                <w:bCs/>
                <w:color w:val="auto"/>
                <w:sz w:val="24"/>
                <w:highlight w:val="none"/>
              </w:rPr>
            </w:pPr>
          </w:p>
        </w:tc>
        <w:tc>
          <w:tcPr>
            <w:tcW w:w="4272" w:type="dxa"/>
            <w:tcBorders>
              <w:top w:val="nil"/>
              <w:left w:val="nil"/>
              <w:bottom w:val="nil"/>
              <w:right w:val="nil"/>
            </w:tcBorders>
          </w:tcPr>
          <w:p w14:paraId="6D0428F9">
            <w:pPr>
              <w:widowControl/>
              <w:wordWrap w:val="0"/>
              <w:topLinePunct/>
              <w:adjustRightInd w:val="0"/>
              <w:snapToGrid w:val="0"/>
              <w:spacing w:line="480" w:lineRule="exact"/>
              <w:rPr>
                <w:rFonts w:hint="eastAsia" w:ascii="宋体" w:hAnsi="宋体"/>
                <w:bCs/>
                <w:color w:val="auto"/>
                <w:sz w:val="24"/>
                <w:highlight w:val="none"/>
              </w:rPr>
            </w:pPr>
            <w:r>
              <w:rPr>
                <w:rFonts w:hint="eastAsia" w:ascii="宋体" w:hAnsi="宋体"/>
                <w:color w:val="auto"/>
                <w:spacing w:val="240"/>
                <w:kern w:val="0"/>
                <w:sz w:val="24"/>
                <w:highlight w:val="none"/>
                <w:fitText w:val="960" w:id="876552811"/>
              </w:rPr>
              <w:t>电</w:t>
            </w:r>
            <w:r>
              <w:rPr>
                <w:rFonts w:hint="eastAsia" w:ascii="宋体" w:hAnsi="宋体"/>
                <w:color w:val="auto"/>
                <w:spacing w:val="0"/>
                <w:kern w:val="0"/>
                <w:sz w:val="24"/>
                <w:highlight w:val="none"/>
                <w:fitText w:val="960" w:id="876552811"/>
              </w:rPr>
              <w:t>话</w:t>
            </w:r>
            <w:r>
              <w:rPr>
                <w:rFonts w:hint="eastAsia" w:ascii="宋体" w:hAnsi="宋体"/>
                <w:color w:val="auto"/>
                <w:kern w:val="0"/>
                <w:sz w:val="24"/>
                <w:highlight w:val="none"/>
              </w:rPr>
              <w:t>：</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w:t>
            </w:r>
          </w:p>
        </w:tc>
      </w:tr>
    </w:tbl>
    <w:p w14:paraId="5027EC36">
      <w:pPr>
        <w:rPr>
          <w:color w:val="auto"/>
          <w:highlight w:val="none"/>
        </w:rPr>
      </w:pPr>
    </w:p>
    <w:p w14:paraId="7B4DE7B5">
      <w:pPr>
        <w:jc w:val="center"/>
        <w:rPr>
          <w:rFonts w:hint="eastAsia" w:ascii="宋体" w:hAnsi="宋体"/>
          <w:b w:val="0"/>
          <w:bCs w:val="0"/>
          <w:color w:val="auto"/>
          <w:sz w:val="32"/>
          <w:highlight w:val="none"/>
        </w:rPr>
      </w:pPr>
      <w:r>
        <w:rPr>
          <w:rFonts w:hint="eastAsia" w:ascii="宋体" w:hAnsi="宋体"/>
          <w:color w:val="auto"/>
          <w:sz w:val="24"/>
          <w:highlight w:val="none"/>
        </w:rPr>
        <w:t>签约时间：</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b w:val="0"/>
          <w:bCs w:val="0"/>
          <w:color w:val="auto"/>
          <w:sz w:val="32"/>
          <w:highlight w:val="none"/>
        </w:rPr>
        <w:br w:type="page"/>
      </w:r>
    </w:p>
    <w:p w14:paraId="3336C2BD">
      <w:pPr>
        <w:pStyle w:val="3"/>
        <w:jc w:val="center"/>
        <w:rPr>
          <w:rFonts w:ascii="宋体"/>
          <w:b w:val="0"/>
          <w:bCs w:val="0"/>
          <w:color w:val="auto"/>
          <w:sz w:val="32"/>
          <w:highlight w:val="none"/>
        </w:rPr>
      </w:pPr>
      <w:r>
        <w:rPr>
          <w:rFonts w:hint="eastAsia" w:ascii="宋体" w:hAnsi="宋体"/>
          <w:b w:val="0"/>
          <w:bCs w:val="0"/>
          <w:color w:val="auto"/>
          <w:sz w:val="32"/>
          <w:highlight w:val="none"/>
        </w:rPr>
        <w:t>第二部分</w:t>
      </w:r>
      <w:r>
        <w:rPr>
          <w:rFonts w:ascii="宋体" w:hAnsi="宋体"/>
          <w:b w:val="0"/>
          <w:bCs w:val="0"/>
          <w:color w:val="auto"/>
          <w:sz w:val="32"/>
          <w:highlight w:val="none"/>
        </w:rPr>
        <w:t xml:space="preserve">  </w:t>
      </w:r>
      <w:r>
        <w:rPr>
          <w:rFonts w:hint="eastAsia" w:ascii="宋体" w:hAnsi="宋体"/>
          <w:b w:val="0"/>
          <w:bCs w:val="0"/>
          <w:color w:val="auto"/>
          <w:sz w:val="32"/>
          <w:highlight w:val="none"/>
        </w:rPr>
        <w:t>标准条款</w:t>
      </w:r>
    </w:p>
    <w:p w14:paraId="747476CD">
      <w:pPr>
        <w:adjustRightInd w:val="0"/>
        <w:snapToGrid w:val="0"/>
        <w:jc w:val="center"/>
        <w:rPr>
          <w:rFonts w:hint="eastAsia" w:ascii="宋体" w:hAnsi="宋体"/>
          <w:b/>
          <w:bCs/>
          <w:color w:val="auto"/>
          <w:sz w:val="24"/>
          <w:highlight w:val="none"/>
        </w:rPr>
      </w:pPr>
      <w:r>
        <w:rPr>
          <w:rFonts w:hint="eastAsia" w:ascii="宋体" w:hAnsi="宋体"/>
          <w:b/>
          <w:bCs/>
          <w:color w:val="auto"/>
          <w:sz w:val="24"/>
          <w:highlight w:val="none"/>
        </w:rPr>
        <w:t>词语定义、适用范围和法规</w:t>
      </w:r>
    </w:p>
    <w:p w14:paraId="29780EF2">
      <w:pPr>
        <w:rPr>
          <w:color w:val="auto"/>
          <w:highlight w:val="none"/>
        </w:rPr>
      </w:pPr>
    </w:p>
    <w:p w14:paraId="4BAA3F0F">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第一条</w:t>
      </w:r>
      <w:r>
        <w:rPr>
          <w:rFonts w:ascii="宋体" w:hAnsi="宋体"/>
          <w:color w:val="auto"/>
          <w:sz w:val="24"/>
          <w:highlight w:val="none"/>
        </w:rPr>
        <w:t xml:space="preserve"> </w:t>
      </w:r>
      <w:r>
        <w:rPr>
          <w:rFonts w:hint="eastAsia" w:ascii="宋体" w:hAnsi="宋体"/>
          <w:color w:val="auto"/>
          <w:sz w:val="24"/>
          <w:highlight w:val="none"/>
        </w:rPr>
        <w:t>下列名词和用语，除上下文另有规定外，有如下含义：</w:t>
      </w:r>
    </w:p>
    <w:p w14:paraId="597BF7A9">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）“工程”是指委托人委托实施监理的工程。</w:t>
      </w:r>
    </w:p>
    <w:p w14:paraId="0CEF6077">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w:t>
      </w:r>
      <w:r>
        <w:rPr>
          <w:rFonts w:hint="eastAsia" w:ascii="宋体"/>
          <w:color w:val="auto"/>
          <w:sz w:val="24"/>
          <w:highlight w:val="none"/>
        </w:rPr>
        <w:t>“</w:t>
      </w:r>
      <w:r>
        <w:rPr>
          <w:rFonts w:hint="eastAsia" w:ascii="宋体" w:hAnsi="宋体"/>
          <w:color w:val="auto"/>
          <w:sz w:val="24"/>
          <w:highlight w:val="none"/>
        </w:rPr>
        <w:t>委托人</w:t>
      </w:r>
      <w:r>
        <w:rPr>
          <w:rFonts w:hint="eastAsia" w:ascii="宋体"/>
          <w:color w:val="auto"/>
          <w:sz w:val="24"/>
          <w:highlight w:val="none"/>
        </w:rPr>
        <w:t>”</w:t>
      </w:r>
      <w:r>
        <w:rPr>
          <w:rFonts w:hint="eastAsia" w:ascii="宋体" w:hAnsi="宋体"/>
          <w:color w:val="auto"/>
          <w:sz w:val="24"/>
          <w:highlight w:val="none"/>
        </w:rPr>
        <w:t>是指承担直接投资责任和委托监理业务的一方以及其合法继承人或受让人。</w:t>
      </w:r>
    </w:p>
    <w:p w14:paraId="1ADF6333">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）“监理人”是指承担监理业务和监理责任的一方以及其合法继承人。</w:t>
      </w:r>
    </w:p>
    <w:p w14:paraId="1021C350">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）“监理机构”是指监理人派驻本合同工程现场实施监理业务的组织。</w:t>
      </w:r>
    </w:p>
    <w:p w14:paraId="7ED4A27E">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）“总监理工程师”是指经委托人同意，监理人派到监理机构全面履行本合同的全权负责人。</w:t>
      </w:r>
    </w:p>
    <w:p w14:paraId="3A288B4E">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）“承包人”是指除监理人以外，与委托人就工程建设有关事宜签订合同的当事人。</w:t>
      </w:r>
    </w:p>
    <w:p w14:paraId="023B0E07">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）“工程监理的正常工作”是指双方在专用条款中约定，委托人委托的监理工作范围和内容。</w:t>
      </w:r>
    </w:p>
    <w:p w14:paraId="7A9ABE10">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8</w:t>
      </w:r>
      <w:r>
        <w:rPr>
          <w:rFonts w:hint="eastAsia" w:ascii="宋体" w:hAnsi="宋体"/>
          <w:color w:val="auto"/>
          <w:sz w:val="24"/>
          <w:highlight w:val="none"/>
        </w:rPr>
        <w:t>）“工程监理的附加工作”是指：①委托人委托监理范围以外，通过双方书面协议另外增加的工作内容；②由于委托人或承包人原因，使监理工作受到阻碍或延误，因增加工作量或持续时间而增加的工作。</w:t>
      </w:r>
    </w:p>
    <w:p w14:paraId="04F07195">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）“工程监理的额外工作”是指正常工作和附加工作以外，非监理人自己的原因而暂停或终止监理业务，其善后工作及恢复监理业务前不超过42天的准备工作时间。</w:t>
      </w:r>
    </w:p>
    <w:p w14:paraId="05D7C19A">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10</w:t>
      </w:r>
      <w:r>
        <w:rPr>
          <w:rFonts w:hint="eastAsia" w:ascii="宋体" w:hAnsi="宋体"/>
          <w:color w:val="auto"/>
          <w:sz w:val="24"/>
          <w:highlight w:val="none"/>
        </w:rPr>
        <w:t>）“日”是指任何一日零时至第二日零时的时间段。</w:t>
      </w:r>
    </w:p>
    <w:p w14:paraId="2FB46CF9">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11</w:t>
      </w:r>
      <w:r>
        <w:rPr>
          <w:rFonts w:hint="eastAsia" w:ascii="宋体" w:hAnsi="宋体"/>
          <w:color w:val="auto"/>
          <w:sz w:val="24"/>
          <w:highlight w:val="none"/>
        </w:rPr>
        <w:t>）“月”是指根据公历从一个月份中任何一日开始到下一个月相应日期的前一日的时间段。</w:t>
      </w:r>
    </w:p>
    <w:p w14:paraId="1C6E7F67">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第二条</w:t>
      </w:r>
      <w:r>
        <w:rPr>
          <w:rFonts w:ascii="宋体" w:hAnsi="宋体"/>
          <w:color w:val="auto"/>
          <w:sz w:val="24"/>
          <w:highlight w:val="none"/>
        </w:rPr>
        <w:t xml:space="preserve"> </w:t>
      </w:r>
      <w:r>
        <w:rPr>
          <w:rFonts w:hint="eastAsia" w:ascii="宋体" w:hAnsi="宋体"/>
          <w:color w:val="auto"/>
          <w:sz w:val="24"/>
          <w:highlight w:val="none"/>
        </w:rPr>
        <w:t>建设工程施工监理合同适用的法律是指国家的法律、行政法规，以及专用条款中议定的部门规章或工程所在地的地方法规、地方规章。</w:t>
      </w:r>
    </w:p>
    <w:p w14:paraId="3C7D637C">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第三条</w:t>
      </w:r>
      <w:r>
        <w:rPr>
          <w:rFonts w:ascii="宋体" w:hAnsi="宋体"/>
          <w:color w:val="auto"/>
          <w:sz w:val="24"/>
          <w:highlight w:val="none"/>
        </w:rPr>
        <w:t xml:space="preserve"> </w:t>
      </w:r>
      <w:r>
        <w:rPr>
          <w:rFonts w:hint="eastAsia" w:ascii="宋体" w:hAnsi="宋体"/>
          <w:color w:val="auto"/>
          <w:sz w:val="24"/>
          <w:highlight w:val="none"/>
        </w:rPr>
        <w:t>本合同文件使用汉语语言文字书写、解释和说明。如专用条款约定使用两种以上（含两种）语言文字时，汉语应为解释和说明本合同的标准语言文字。</w:t>
      </w:r>
    </w:p>
    <w:p w14:paraId="5002816E">
      <w:pPr>
        <w:adjustRightInd w:val="0"/>
        <w:snapToGrid w:val="0"/>
        <w:spacing w:line="360" w:lineRule="auto"/>
        <w:jc w:val="center"/>
        <w:rPr>
          <w:rFonts w:ascii="宋体"/>
          <w:b/>
          <w:bCs/>
          <w:color w:val="auto"/>
          <w:sz w:val="24"/>
          <w:highlight w:val="none"/>
        </w:rPr>
      </w:pPr>
      <w:r>
        <w:rPr>
          <w:rFonts w:hint="eastAsia" w:ascii="宋体" w:hAnsi="宋体"/>
          <w:b/>
          <w:bCs/>
          <w:color w:val="auto"/>
          <w:sz w:val="24"/>
          <w:highlight w:val="none"/>
        </w:rPr>
        <w:t>监理人义务</w:t>
      </w:r>
    </w:p>
    <w:p w14:paraId="56BDCC85">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第四条</w:t>
      </w:r>
      <w:r>
        <w:rPr>
          <w:rFonts w:ascii="宋体" w:hAnsi="宋体"/>
          <w:color w:val="auto"/>
          <w:sz w:val="24"/>
          <w:highlight w:val="none"/>
        </w:rPr>
        <w:t xml:space="preserve"> </w:t>
      </w:r>
      <w:r>
        <w:rPr>
          <w:rFonts w:hint="eastAsia" w:ascii="宋体" w:hAnsi="宋体"/>
          <w:color w:val="auto"/>
          <w:sz w:val="24"/>
          <w:highlight w:val="none"/>
        </w:rPr>
        <w:t>监理人按合同约定派出监理工作需要的监理机构及监理人员，向委托人报送委派的总监理工程师及其监理机构主要成员名单、监理规划，完成监理合同专用条款中约定的监理工程范围内的监理业务。在履行合同义务期间，应按合同约定定期向委托人书面报告监理工作。</w:t>
      </w:r>
    </w:p>
    <w:p w14:paraId="36CA9F87">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第五条</w:t>
      </w:r>
      <w:r>
        <w:rPr>
          <w:rFonts w:ascii="宋体" w:hAnsi="宋体"/>
          <w:color w:val="auto"/>
          <w:sz w:val="24"/>
          <w:highlight w:val="none"/>
        </w:rPr>
        <w:t xml:space="preserve"> </w:t>
      </w:r>
      <w:r>
        <w:rPr>
          <w:rFonts w:hint="eastAsia" w:ascii="宋体" w:hAnsi="宋体"/>
          <w:color w:val="auto"/>
          <w:sz w:val="24"/>
          <w:highlight w:val="none"/>
        </w:rPr>
        <w:t>监理人在履行本合同的义务期间，应认真、勤奋地工作，为委托人提供与其水平相适应的咨询意见，公正维护各方面的合法权益。</w:t>
      </w:r>
    </w:p>
    <w:p w14:paraId="23E5BCA3">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第六条</w:t>
      </w:r>
      <w:r>
        <w:rPr>
          <w:rFonts w:ascii="宋体" w:hAnsi="宋体"/>
          <w:color w:val="auto"/>
          <w:sz w:val="24"/>
          <w:highlight w:val="none"/>
        </w:rPr>
        <w:t xml:space="preserve"> </w:t>
      </w:r>
      <w:r>
        <w:rPr>
          <w:rFonts w:hint="eastAsia" w:ascii="宋体" w:hAnsi="宋体"/>
          <w:color w:val="auto"/>
          <w:sz w:val="24"/>
          <w:highlight w:val="none"/>
        </w:rPr>
        <w:t>监理人使用委托人提供的设施和物品属委托人的财产。在监理工作完成或中止时，应将其设施和剩余的物品按合同约定的时间和方式移交给委托人。</w:t>
      </w:r>
    </w:p>
    <w:p w14:paraId="635C1F1D">
      <w:pPr>
        <w:adjustRightInd w:val="0"/>
        <w:snapToGrid w:val="0"/>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第七条</w:t>
      </w:r>
      <w:r>
        <w:rPr>
          <w:rFonts w:ascii="宋体" w:hAnsi="宋体"/>
          <w:color w:val="auto"/>
          <w:sz w:val="24"/>
          <w:highlight w:val="none"/>
        </w:rPr>
        <w:t xml:space="preserve"> </w:t>
      </w:r>
      <w:r>
        <w:rPr>
          <w:rFonts w:hint="eastAsia" w:ascii="宋体" w:hAnsi="宋体"/>
          <w:color w:val="auto"/>
          <w:sz w:val="24"/>
          <w:highlight w:val="none"/>
        </w:rPr>
        <w:t>在合同期内或合同终止后，未征得有关方同意，不得泄露与本合同工程、本合同业务有关的保密资料。</w:t>
      </w:r>
    </w:p>
    <w:p w14:paraId="647C92E0">
      <w:pPr>
        <w:adjustRightInd w:val="0"/>
        <w:snapToGrid w:val="0"/>
        <w:spacing w:line="360" w:lineRule="auto"/>
        <w:jc w:val="center"/>
        <w:rPr>
          <w:rFonts w:ascii="宋体"/>
          <w:b/>
          <w:bCs/>
          <w:color w:val="auto"/>
          <w:sz w:val="24"/>
          <w:highlight w:val="none"/>
        </w:rPr>
      </w:pPr>
      <w:r>
        <w:rPr>
          <w:rFonts w:hint="eastAsia" w:ascii="宋体" w:hAnsi="宋体"/>
          <w:b/>
          <w:bCs/>
          <w:color w:val="auto"/>
          <w:sz w:val="24"/>
          <w:highlight w:val="none"/>
        </w:rPr>
        <w:t>委托人义务</w:t>
      </w:r>
    </w:p>
    <w:p w14:paraId="5287032E">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第八条</w:t>
      </w:r>
      <w:r>
        <w:rPr>
          <w:rFonts w:ascii="宋体" w:hAnsi="宋体"/>
          <w:color w:val="auto"/>
          <w:sz w:val="24"/>
          <w:highlight w:val="none"/>
        </w:rPr>
        <w:t xml:space="preserve"> </w:t>
      </w:r>
      <w:r>
        <w:rPr>
          <w:rFonts w:hint="eastAsia" w:ascii="宋体" w:hAnsi="宋体"/>
          <w:color w:val="auto"/>
          <w:sz w:val="24"/>
          <w:highlight w:val="none"/>
        </w:rPr>
        <w:t>除专用条款另有约定外，委托人在监理人开展监理业务之前应向监理人支付预付款。</w:t>
      </w:r>
    </w:p>
    <w:p w14:paraId="149DF6F6">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第九条</w:t>
      </w:r>
      <w:r>
        <w:rPr>
          <w:rFonts w:ascii="宋体" w:hAnsi="宋体"/>
          <w:color w:val="auto"/>
          <w:sz w:val="24"/>
          <w:highlight w:val="none"/>
        </w:rPr>
        <w:t xml:space="preserve"> </w:t>
      </w:r>
      <w:r>
        <w:rPr>
          <w:rFonts w:hint="eastAsia" w:ascii="宋体" w:hAnsi="宋体"/>
          <w:color w:val="auto"/>
          <w:sz w:val="24"/>
          <w:highlight w:val="none"/>
        </w:rPr>
        <w:t>委托人应当协助监理人协调工程建设相关的外部关系，为监理工作提供外部条件。根据需要，如将部分或全部协调工作委托监理人承担，则应在专用条款中明确委托的工作和相应的报酬。</w:t>
      </w:r>
    </w:p>
    <w:p w14:paraId="214A37C6">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第十条</w:t>
      </w:r>
      <w:r>
        <w:rPr>
          <w:rFonts w:ascii="宋体" w:hAnsi="宋体"/>
          <w:color w:val="auto"/>
          <w:sz w:val="24"/>
          <w:highlight w:val="none"/>
        </w:rPr>
        <w:t xml:space="preserve"> </w:t>
      </w:r>
      <w:r>
        <w:rPr>
          <w:rFonts w:hint="eastAsia" w:ascii="宋体" w:hAnsi="宋体"/>
          <w:color w:val="auto"/>
          <w:sz w:val="24"/>
          <w:highlight w:val="none"/>
        </w:rPr>
        <w:t>委托人应当在双方约定的时间内向监理人提供与本工程有关的为监理工作所需要的工程资料。</w:t>
      </w:r>
    </w:p>
    <w:p w14:paraId="4F6C79EE">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第十一条</w:t>
      </w:r>
      <w:r>
        <w:rPr>
          <w:rFonts w:ascii="宋体" w:hAnsi="宋体"/>
          <w:color w:val="auto"/>
          <w:sz w:val="24"/>
          <w:highlight w:val="none"/>
        </w:rPr>
        <w:t xml:space="preserve"> </w:t>
      </w:r>
      <w:r>
        <w:rPr>
          <w:rFonts w:hint="eastAsia" w:ascii="宋体" w:hAnsi="宋体"/>
          <w:color w:val="auto"/>
          <w:sz w:val="24"/>
          <w:highlight w:val="none"/>
        </w:rPr>
        <w:t>委托人应当在专用条款约定的时间内就监理人书面提交并要求做出决定的一切事宜作出书面决定。</w:t>
      </w:r>
    </w:p>
    <w:p w14:paraId="2EDBBBB0">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第十二条</w:t>
      </w:r>
      <w:r>
        <w:rPr>
          <w:rFonts w:ascii="宋体" w:hAnsi="宋体"/>
          <w:color w:val="auto"/>
          <w:sz w:val="24"/>
          <w:highlight w:val="none"/>
        </w:rPr>
        <w:t xml:space="preserve"> </w:t>
      </w:r>
      <w:r>
        <w:rPr>
          <w:rFonts w:hint="eastAsia" w:ascii="宋体" w:hAnsi="宋体"/>
          <w:color w:val="auto"/>
          <w:sz w:val="24"/>
          <w:highlight w:val="none"/>
        </w:rPr>
        <w:t>委托人应当授权一名熟悉工程情况、能在规定时间内做出决定的常驻代表（在专用条款中约定），负责与监理人联系。更换常驻代表，要提前通知监理人。</w:t>
      </w:r>
    </w:p>
    <w:p w14:paraId="273DD0D8">
      <w:pPr>
        <w:adjustRightInd w:val="0"/>
        <w:snapToGrid w:val="0"/>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第十三条</w:t>
      </w:r>
      <w:r>
        <w:rPr>
          <w:rFonts w:ascii="宋体" w:hAnsi="宋体"/>
          <w:color w:val="auto"/>
          <w:sz w:val="24"/>
          <w:highlight w:val="none"/>
        </w:rPr>
        <w:t xml:space="preserve"> </w:t>
      </w:r>
      <w:r>
        <w:rPr>
          <w:rFonts w:hint="eastAsia" w:ascii="宋体" w:hAnsi="宋体"/>
          <w:color w:val="auto"/>
          <w:sz w:val="24"/>
          <w:highlight w:val="none"/>
        </w:rPr>
        <w:t>委托人应当将授予监理人的监理权利，以及监理人主要成员的职能分工、监理权限及时书面通知已选定的承包合同的承包人，并在与第三人签订的合同中予以明确。</w:t>
      </w:r>
    </w:p>
    <w:p w14:paraId="16140723">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第十四条</w:t>
      </w:r>
      <w:r>
        <w:rPr>
          <w:rFonts w:ascii="宋体" w:hAnsi="宋体"/>
          <w:color w:val="auto"/>
          <w:sz w:val="24"/>
          <w:highlight w:val="none"/>
        </w:rPr>
        <w:t xml:space="preserve"> </w:t>
      </w:r>
      <w:r>
        <w:rPr>
          <w:rFonts w:hint="eastAsia" w:ascii="宋体" w:hAnsi="宋体"/>
          <w:color w:val="auto"/>
          <w:sz w:val="24"/>
          <w:highlight w:val="none"/>
        </w:rPr>
        <w:t>委托人应在不影响监理人开展监理工作的时间内提供如下资料：</w:t>
      </w:r>
    </w:p>
    <w:p w14:paraId="21391BA0">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）与本合同工程合作的原材料、构配件、设备等生产厂家名录。</w:t>
      </w:r>
    </w:p>
    <w:p w14:paraId="30953018">
      <w:pPr>
        <w:adjustRightInd w:val="0"/>
        <w:snapToGrid w:val="0"/>
        <w:spacing w:line="360" w:lineRule="auto"/>
        <w:ind w:firstLine="480" w:firstLineChars="200"/>
        <w:rPr>
          <w:rFonts w:ascii="宋体"/>
          <w:b/>
          <w:bCs/>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）提供与本合同工程有关的协作单位、配合单位的名录。</w:t>
      </w:r>
    </w:p>
    <w:p w14:paraId="098F3282">
      <w:pPr>
        <w:adjustRightInd w:val="0"/>
        <w:snapToGrid w:val="0"/>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第十五条</w:t>
      </w:r>
      <w:r>
        <w:rPr>
          <w:rFonts w:ascii="宋体" w:hAnsi="宋体"/>
          <w:color w:val="auto"/>
          <w:sz w:val="24"/>
          <w:highlight w:val="none"/>
        </w:rPr>
        <w:t xml:space="preserve"> </w:t>
      </w:r>
      <w:r>
        <w:rPr>
          <w:rFonts w:hint="eastAsia" w:ascii="宋体" w:hAnsi="宋体"/>
          <w:color w:val="auto"/>
          <w:sz w:val="24"/>
          <w:highlight w:val="none"/>
        </w:rPr>
        <w:t>除专用条款另有约定外，</w:t>
      </w:r>
      <w:r>
        <w:rPr>
          <w:rFonts w:hint="eastAsia" w:hAnsi="宋体"/>
          <w:color w:val="auto"/>
          <w:sz w:val="24"/>
          <w:highlight w:val="none"/>
        </w:rPr>
        <w:t>委托人应免费向监理人提供办公用房、监理人员工地住房及合同专用条款约定的设施。</w:t>
      </w:r>
    </w:p>
    <w:p w14:paraId="3415D8BF">
      <w:pPr>
        <w:adjustRightInd w:val="0"/>
        <w:snapToGrid w:val="0"/>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第十六条</w:t>
      </w:r>
      <w:r>
        <w:rPr>
          <w:rFonts w:ascii="宋体" w:hAnsi="宋体"/>
          <w:color w:val="auto"/>
          <w:sz w:val="24"/>
          <w:highlight w:val="none"/>
        </w:rPr>
        <w:t xml:space="preserve"> </w:t>
      </w:r>
      <w:r>
        <w:rPr>
          <w:rFonts w:hint="eastAsia" w:ascii="宋体" w:hAnsi="宋体"/>
          <w:color w:val="auto"/>
          <w:sz w:val="24"/>
          <w:highlight w:val="none"/>
        </w:rPr>
        <w:t>根据情况需要，如果双方约定，由委托人免费向监理人提供其他人员，应在监理合同专用条款中予以明确。</w:t>
      </w:r>
    </w:p>
    <w:p w14:paraId="2C8FDFEC">
      <w:pPr>
        <w:adjustRightInd w:val="0"/>
        <w:snapToGrid w:val="0"/>
        <w:spacing w:line="360" w:lineRule="auto"/>
        <w:jc w:val="center"/>
        <w:rPr>
          <w:rFonts w:ascii="宋体"/>
          <w:b/>
          <w:bCs/>
          <w:color w:val="auto"/>
          <w:sz w:val="24"/>
          <w:highlight w:val="none"/>
        </w:rPr>
      </w:pPr>
      <w:r>
        <w:rPr>
          <w:rFonts w:hint="eastAsia" w:ascii="宋体" w:hAnsi="宋体"/>
          <w:b/>
          <w:bCs/>
          <w:color w:val="auto"/>
          <w:sz w:val="24"/>
          <w:highlight w:val="none"/>
        </w:rPr>
        <w:t>监理人权利</w:t>
      </w:r>
    </w:p>
    <w:p w14:paraId="05556601">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第十七条</w:t>
      </w:r>
      <w:r>
        <w:rPr>
          <w:rFonts w:ascii="宋体" w:hAnsi="宋体"/>
          <w:color w:val="auto"/>
          <w:sz w:val="24"/>
          <w:highlight w:val="none"/>
        </w:rPr>
        <w:t xml:space="preserve"> </w:t>
      </w:r>
      <w:r>
        <w:rPr>
          <w:rFonts w:hint="eastAsia" w:ascii="宋体" w:hAnsi="宋体"/>
          <w:color w:val="auto"/>
          <w:sz w:val="24"/>
          <w:highlight w:val="none"/>
        </w:rPr>
        <w:t>监理人在委托人委托的工程范围内，享有以下权利：</w:t>
      </w:r>
    </w:p>
    <w:p w14:paraId="3B8A9383">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）选择工程总承包人的建议权。</w:t>
      </w:r>
    </w:p>
    <w:p w14:paraId="11E23E11">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）选择工程分包人的建议权。</w:t>
      </w:r>
    </w:p>
    <w:p w14:paraId="352DB287">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）对工程建设有关事项包括工程规模、设计标准、规划设计、生产工艺设计和使用功能要求，向委托人的建议权。</w:t>
      </w:r>
    </w:p>
    <w:p w14:paraId="25910E37">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对工程设计中的技术问题，按照安全和优化的原则，向委托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14:paraId="63B204B2">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）审批工程施工组织设计和技术方案，按照保质量、保工期和降低成本的原则，向承包人提出建议，并向委托人提出书面报告。</w:t>
      </w:r>
    </w:p>
    <w:p w14:paraId="1B0439D3">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）主持工程建设有关协作单位的组织协调，重要协调事项应当事先向委托人书面报告。</w:t>
      </w:r>
    </w:p>
    <w:p w14:paraId="3FFE785D">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）征得委托人书面同意，监理人有权发布开工令、停工令、复工令，但应当事先向委托人书面报告。如在紧急情况下未能事先报告时，则应在</w:t>
      </w:r>
      <w:r>
        <w:rPr>
          <w:rFonts w:ascii="宋体" w:hAnsi="宋体"/>
          <w:color w:val="auto"/>
          <w:sz w:val="24"/>
          <w:highlight w:val="none"/>
        </w:rPr>
        <w:t>24</w:t>
      </w:r>
      <w:r>
        <w:rPr>
          <w:rFonts w:hint="eastAsia" w:ascii="宋体" w:hAnsi="宋体"/>
          <w:color w:val="auto"/>
          <w:sz w:val="24"/>
          <w:highlight w:val="none"/>
        </w:rPr>
        <w:t>小时内向委托人做出书面报告。</w:t>
      </w:r>
    </w:p>
    <w:p w14:paraId="30627448">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8</w:t>
      </w:r>
      <w:r>
        <w:rPr>
          <w:rFonts w:hint="eastAsia" w:ascii="宋体" w:hAnsi="宋体"/>
          <w:color w:val="auto"/>
          <w:sz w:val="24"/>
          <w:highlight w:val="none"/>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7E7DD35A">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）工程施工进度的检查、监督权。</w:t>
      </w:r>
    </w:p>
    <w:p w14:paraId="564B0AB2">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10</w:t>
      </w:r>
      <w:r>
        <w:rPr>
          <w:rFonts w:hint="eastAsia" w:ascii="宋体" w:hAnsi="宋体"/>
          <w:color w:val="auto"/>
          <w:sz w:val="24"/>
          <w:highlight w:val="none"/>
        </w:rPr>
        <w:t>）在工程施工合同约定的工程价格范围内，工程款支付的审核权，以及工程结算的复核确认权与否决权。未经总监理工程师签字确认，委托人不支付工程款。</w:t>
      </w:r>
    </w:p>
    <w:p w14:paraId="0C214401">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第十八条</w:t>
      </w:r>
      <w:r>
        <w:rPr>
          <w:rFonts w:ascii="宋体" w:hAnsi="宋体"/>
          <w:color w:val="auto"/>
          <w:sz w:val="24"/>
          <w:highlight w:val="none"/>
        </w:rPr>
        <w:t xml:space="preserve"> </w:t>
      </w:r>
      <w:r>
        <w:rPr>
          <w:rFonts w:hint="eastAsia" w:ascii="宋体" w:hAnsi="宋体"/>
          <w:color w:val="auto"/>
          <w:sz w:val="24"/>
          <w:highlight w:val="none"/>
        </w:rPr>
        <w:t>监理人在委托人授权下，可对任何承包人合同规定的义务提出变更。如果由此严重影响了工程费用或质量或进度，则这种变更须经委托人事先书面批准。在紧急情况下未能事先报委托人批准时，监理人所做的变更也应于变更作出后24小时内通知委托人。在监理过程中如发现承包人人员工作不力，项目监理机构可要求承包人调换有关人员。</w:t>
      </w:r>
    </w:p>
    <w:p w14:paraId="04EEC673">
      <w:pPr>
        <w:adjustRightInd w:val="0"/>
        <w:snapToGrid w:val="0"/>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第十九条</w:t>
      </w:r>
      <w:r>
        <w:rPr>
          <w:rFonts w:ascii="宋体" w:hAnsi="宋体"/>
          <w:color w:val="auto"/>
          <w:sz w:val="24"/>
          <w:highlight w:val="none"/>
        </w:rPr>
        <w:t xml:space="preserve"> </w:t>
      </w:r>
      <w:r>
        <w:rPr>
          <w:rFonts w:hint="eastAsia" w:ascii="宋体" w:hAnsi="宋体"/>
          <w:color w:val="auto"/>
          <w:sz w:val="24"/>
          <w:highlight w:val="none"/>
        </w:rPr>
        <w:t>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监理人应当提供作证的事实材料。</w:t>
      </w:r>
    </w:p>
    <w:p w14:paraId="43165DD3">
      <w:pPr>
        <w:adjustRightInd w:val="0"/>
        <w:snapToGrid w:val="0"/>
        <w:spacing w:line="360" w:lineRule="auto"/>
        <w:jc w:val="center"/>
        <w:rPr>
          <w:rFonts w:ascii="宋体"/>
          <w:b/>
          <w:bCs/>
          <w:color w:val="auto"/>
          <w:sz w:val="24"/>
          <w:highlight w:val="none"/>
        </w:rPr>
      </w:pPr>
      <w:r>
        <w:rPr>
          <w:rFonts w:hint="eastAsia" w:ascii="宋体" w:hAnsi="宋体"/>
          <w:b/>
          <w:bCs/>
          <w:color w:val="auto"/>
          <w:sz w:val="24"/>
          <w:highlight w:val="none"/>
        </w:rPr>
        <w:t>委托人权利</w:t>
      </w:r>
    </w:p>
    <w:p w14:paraId="1091D808">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第二十条</w:t>
      </w:r>
      <w:r>
        <w:rPr>
          <w:rFonts w:ascii="宋体" w:hAnsi="宋体"/>
          <w:color w:val="auto"/>
          <w:sz w:val="24"/>
          <w:highlight w:val="none"/>
        </w:rPr>
        <w:t xml:space="preserve"> </w:t>
      </w:r>
      <w:r>
        <w:rPr>
          <w:rFonts w:hint="eastAsia" w:ascii="宋体" w:hAnsi="宋体"/>
          <w:color w:val="auto"/>
          <w:sz w:val="24"/>
          <w:highlight w:val="none"/>
        </w:rPr>
        <w:t>委托人有选定工程总承包人，以及与其订立合同的权利。</w:t>
      </w:r>
    </w:p>
    <w:p w14:paraId="7CF39CF9">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第二十一条</w:t>
      </w:r>
      <w:r>
        <w:rPr>
          <w:rFonts w:ascii="宋体" w:hAnsi="宋体"/>
          <w:color w:val="auto"/>
          <w:sz w:val="24"/>
          <w:highlight w:val="none"/>
        </w:rPr>
        <w:t xml:space="preserve"> </w:t>
      </w:r>
      <w:r>
        <w:rPr>
          <w:rFonts w:hint="eastAsia" w:ascii="宋体" w:hAnsi="宋体"/>
          <w:color w:val="auto"/>
          <w:sz w:val="24"/>
          <w:highlight w:val="none"/>
        </w:rPr>
        <w:t>委托人有对工程规模、设计标准、规划设计、生产工艺设计和设计使用功能要求的认定权，以及对工程设计变更的审批权。</w:t>
      </w:r>
    </w:p>
    <w:p w14:paraId="14866104">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第二十二条</w:t>
      </w:r>
      <w:r>
        <w:rPr>
          <w:rFonts w:ascii="宋体" w:hAnsi="宋体"/>
          <w:color w:val="auto"/>
          <w:sz w:val="24"/>
          <w:highlight w:val="none"/>
        </w:rPr>
        <w:t xml:space="preserve"> </w:t>
      </w:r>
      <w:r>
        <w:rPr>
          <w:rFonts w:hint="eastAsia" w:ascii="宋体" w:hAnsi="宋体"/>
          <w:color w:val="auto"/>
          <w:sz w:val="24"/>
          <w:highlight w:val="none"/>
        </w:rPr>
        <w:t>监理人调换总监理工程师须事先经委托人书面同意。</w:t>
      </w:r>
    </w:p>
    <w:p w14:paraId="52FC2E88">
      <w:pPr>
        <w:adjustRightInd w:val="0"/>
        <w:snapToGrid w:val="0"/>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第二十三条</w:t>
      </w:r>
      <w:r>
        <w:rPr>
          <w:rFonts w:ascii="宋体" w:hAnsi="宋体"/>
          <w:color w:val="auto"/>
          <w:sz w:val="24"/>
          <w:highlight w:val="none"/>
        </w:rPr>
        <w:t xml:space="preserve"> </w:t>
      </w:r>
      <w:r>
        <w:rPr>
          <w:rFonts w:hint="eastAsia" w:ascii="宋体" w:hAnsi="宋体"/>
          <w:color w:val="auto"/>
          <w:sz w:val="24"/>
          <w:highlight w:val="none"/>
        </w:rPr>
        <w:t>委托人有权要求监理人提交监理工作月报及监理业务范围内的专项报告。</w:t>
      </w:r>
    </w:p>
    <w:p w14:paraId="53C5AF00">
      <w:pPr>
        <w:adjustRightInd w:val="0"/>
        <w:snapToGrid w:val="0"/>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第二十四条</w:t>
      </w:r>
      <w:r>
        <w:rPr>
          <w:rFonts w:ascii="宋体" w:hAnsi="宋体"/>
          <w:color w:val="auto"/>
          <w:sz w:val="24"/>
          <w:highlight w:val="none"/>
        </w:rPr>
        <w:t xml:space="preserve"> </w:t>
      </w:r>
      <w:r>
        <w:rPr>
          <w:rFonts w:hint="eastAsia" w:ascii="宋体" w:hAnsi="宋体"/>
          <w:color w:val="auto"/>
          <w:sz w:val="24"/>
          <w:highlight w:val="none"/>
        </w:rPr>
        <w:t>当委托人发现监理人员不按监理合同履行监理职责，或与承包人串通给委托人或工程造成损失的，委托人有权要求监理人更换监理人员，直到终止合同并要求监理人承担相应的赔偿责任或连带赔偿责任。</w:t>
      </w:r>
    </w:p>
    <w:p w14:paraId="716E522A">
      <w:pPr>
        <w:adjustRightInd w:val="0"/>
        <w:snapToGrid w:val="0"/>
        <w:spacing w:line="360" w:lineRule="auto"/>
        <w:jc w:val="center"/>
        <w:rPr>
          <w:rFonts w:ascii="宋体"/>
          <w:b/>
          <w:bCs/>
          <w:color w:val="auto"/>
          <w:sz w:val="24"/>
          <w:highlight w:val="none"/>
        </w:rPr>
      </w:pPr>
      <w:r>
        <w:rPr>
          <w:rFonts w:hint="eastAsia" w:ascii="宋体" w:hAnsi="宋体"/>
          <w:b/>
          <w:bCs/>
          <w:color w:val="auto"/>
          <w:sz w:val="24"/>
          <w:highlight w:val="none"/>
        </w:rPr>
        <w:t>监理人责任</w:t>
      </w:r>
    </w:p>
    <w:p w14:paraId="58C589CA">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第二十五条</w:t>
      </w:r>
      <w:r>
        <w:rPr>
          <w:rFonts w:ascii="宋体" w:hAnsi="宋体"/>
          <w:b/>
          <w:bCs/>
          <w:color w:val="auto"/>
          <w:sz w:val="24"/>
          <w:highlight w:val="none"/>
        </w:rPr>
        <w:t xml:space="preserve"> </w:t>
      </w:r>
      <w:r>
        <w:rPr>
          <w:rFonts w:hint="eastAsia" w:ascii="宋体" w:hAnsi="宋体"/>
          <w:color w:val="auto"/>
          <w:sz w:val="24"/>
          <w:highlight w:val="none"/>
        </w:rPr>
        <w:t>监理人的责任期即本施工监理合同有效期。在监理过程中，如果因工程建设进度的推迟或延误而超过书面约定的日期，双方应进一步约定相应延长的合同期。</w:t>
      </w:r>
    </w:p>
    <w:p w14:paraId="66031A12">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第二十六条</w:t>
      </w:r>
      <w:r>
        <w:rPr>
          <w:rFonts w:ascii="宋体" w:hAnsi="宋体"/>
          <w:color w:val="auto"/>
          <w:sz w:val="24"/>
          <w:highlight w:val="none"/>
        </w:rPr>
        <w:t xml:space="preserve"> </w:t>
      </w:r>
      <w:r>
        <w:rPr>
          <w:rFonts w:hint="eastAsia" w:ascii="宋体" w:hAnsi="宋体"/>
          <w:color w:val="auto"/>
          <w:sz w:val="24"/>
          <w:highlight w:val="none"/>
        </w:rPr>
        <w:t>监理人在责任期内，应当履行约定的义务，如果因监理人过失而造成了委托人的经济损失，应当向委托人赔偿。累计赔偿总额不应超过监理报酬总额（除去税金），本合同标准条款第二十四条约定情形不受此限。</w:t>
      </w:r>
    </w:p>
    <w:p w14:paraId="4AA60F4F">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第二十七条</w:t>
      </w:r>
      <w:r>
        <w:rPr>
          <w:rFonts w:ascii="宋体" w:hAnsi="宋体"/>
          <w:color w:val="auto"/>
          <w:sz w:val="24"/>
          <w:highlight w:val="none"/>
        </w:rPr>
        <w:t xml:space="preserve"> </w:t>
      </w:r>
      <w:r>
        <w:rPr>
          <w:rFonts w:hint="eastAsia" w:ascii="宋体" w:hAnsi="宋体"/>
          <w:color w:val="auto"/>
          <w:sz w:val="24"/>
          <w:highlight w:val="none"/>
        </w:rPr>
        <w:t>监理人对承包人违反合同规定的质量要求和完工（交图、交货）时限，在认真履行监理职责的前提下不承担责任。因不可抗力导致施工监理合同不能全部或部分履行，监理人不承担责任。但对违反本合同专用条款第五条规定引起的与之有关的事宜，监理人应向委托人承担赔偿责任。</w:t>
      </w:r>
    </w:p>
    <w:p w14:paraId="3963F3D8">
      <w:pPr>
        <w:adjustRightInd w:val="0"/>
        <w:snapToGrid w:val="0"/>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第二十八条</w:t>
      </w:r>
      <w:r>
        <w:rPr>
          <w:rFonts w:ascii="宋体" w:hAnsi="宋体"/>
          <w:color w:val="auto"/>
          <w:sz w:val="24"/>
          <w:highlight w:val="none"/>
        </w:rPr>
        <w:t xml:space="preserve"> </w:t>
      </w:r>
      <w:r>
        <w:rPr>
          <w:rFonts w:hint="eastAsia" w:ascii="宋体" w:hAnsi="宋体"/>
          <w:color w:val="auto"/>
          <w:sz w:val="24"/>
          <w:highlight w:val="none"/>
        </w:rPr>
        <w:t>监理人向委托人提出赔偿要求不能成立时，监理人应当补偿由于该索赔所导致委托人的各种费用支出（包括但不限于诉讼费、保全费、诉讼保全责任保险费、执行费、律师费、鉴定费、评估费、公证费、差旅费等）。</w:t>
      </w:r>
    </w:p>
    <w:p w14:paraId="60C9176F">
      <w:pPr>
        <w:adjustRightInd w:val="0"/>
        <w:snapToGrid w:val="0"/>
        <w:spacing w:line="360" w:lineRule="auto"/>
        <w:jc w:val="center"/>
        <w:rPr>
          <w:rFonts w:ascii="宋体"/>
          <w:b/>
          <w:bCs/>
          <w:color w:val="auto"/>
          <w:sz w:val="24"/>
          <w:highlight w:val="none"/>
        </w:rPr>
      </w:pPr>
      <w:r>
        <w:rPr>
          <w:rFonts w:hint="eastAsia" w:ascii="宋体" w:hAnsi="宋体"/>
          <w:b/>
          <w:bCs/>
          <w:color w:val="auto"/>
          <w:sz w:val="24"/>
          <w:highlight w:val="none"/>
        </w:rPr>
        <w:t>委托人责任</w:t>
      </w:r>
    </w:p>
    <w:p w14:paraId="0429F896">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第二十九条</w:t>
      </w:r>
      <w:r>
        <w:rPr>
          <w:rFonts w:ascii="宋体" w:hAnsi="宋体"/>
          <w:b/>
          <w:bCs/>
          <w:color w:val="auto"/>
          <w:sz w:val="24"/>
          <w:highlight w:val="none"/>
        </w:rPr>
        <w:t xml:space="preserve"> </w:t>
      </w:r>
      <w:r>
        <w:rPr>
          <w:rFonts w:hint="eastAsia" w:ascii="宋体" w:hAnsi="宋体"/>
          <w:color w:val="auto"/>
          <w:sz w:val="24"/>
          <w:highlight w:val="none"/>
        </w:rPr>
        <w:t>委托人应当履行本合同约定的义务，如有违反则应当承担违约责任，但赔偿金额不得超过监理人实际遭受的直接经济损失。</w:t>
      </w:r>
    </w:p>
    <w:p w14:paraId="6042858C">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第三十条</w:t>
      </w:r>
      <w:r>
        <w:rPr>
          <w:rFonts w:hint="eastAsia" w:ascii="宋体" w:hAnsi="宋体"/>
          <w:color w:val="auto"/>
          <w:sz w:val="24"/>
          <w:highlight w:val="none"/>
        </w:rPr>
        <w:t xml:space="preserve"> 监理人处理委托业务时，因委托人故意或者重大过失的事由受到损失的，可以向委托人要求补偿直接损失。</w:t>
      </w:r>
    </w:p>
    <w:p w14:paraId="27719B9F">
      <w:pPr>
        <w:adjustRightInd w:val="0"/>
        <w:snapToGrid w:val="0"/>
        <w:spacing w:line="360" w:lineRule="auto"/>
        <w:jc w:val="center"/>
        <w:rPr>
          <w:rFonts w:ascii="宋体"/>
          <w:b/>
          <w:bCs/>
          <w:color w:val="auto"/>
          <w:sz w:val="24"/>
          <w:highlight w:val="none"/>
        </w:rPr>
      </w:pPr>
      <w:r>
        <w:rPr>
          <w:rFonts w:hint="eastAsia" w:ascii="宋体" w:hAnsi="宋体"/>
          <w:b/>
          <w:bCs/>
          <w:color w:val="auto"/>
          <w:sz w:val="24"/>
          <w:highlight w:val="none"/>
        </w:rPr>
        <w:t>合同生效、变更与终止</w:t>
      </w:r>
    </w:p>
    <w:p w14:paraId="18B3047B">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第三十一条</w:t>
      </w:r>
      <w:r>
        <w:rPr>
          <w:rFonts w:ascii="宋体" w:hAnsi="宋体"/>
          <w:color w:val="auto"/>
          <w:sz w:val="24"/>
          <w:highlight w:val="none"/>
        </w:rPr>
        <w:t xml:space="preserve"> </w:t>
      </w:r>
      <w:r>
        <w:rPr>
          <w:rFonts w:hint="eastAsia" w:ascii="宋体" w:hAnsi="宋体"/>
          <w:color w:val="auto"/>
          <w:sz w:val="24"/>
          <w:highlight w:val="none"/>
        </w:rPr>
        <w:t>由于委托人或承包人的原因使监理工作受到阻碍或延误，以致发生了附加工作或延长了持续时间，则监理人应当将此情况与可能产生的影响及时通知委托人。完成监理业务的时间相应延长，但不得要求附加工作的报酬。</w:t>
      </w:r>
    </w:p>
    <w:p w14:paraId="40214218">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第三十二条</w:t>
      </w:r>
      <w:r>
        <w:rPr>
          <w:rFonts w:ascii="宋体" w:hAnsi="宋体"/>
          <w:color w:val="auto"/>
          <w:sz w:val="24"/>
          <w:highlight w:val="none"/>
        </w:rPr>
        <w:t xml:space="preserve"> </w:t>
      </w:r>
      <w:r>
        <w:rPr>
          <w:rFonts w:hint="eastAsia" w:ascii="宋体" w:hAnsi="宋体"/>
          <w:color w:val="auto"/>
          <w:sz w:val="24"/>
          <w:highlight w:val="none"/>
        </w:rPr>
        <w:t>在本合同签订后，实际情况发生变化，使得监理人不能全部或部分执行监理业务时，监理人应当立即通知委托人。该监理业务的完成时间应予延长。当恢复执行监理业务时，应当增加不超过</w:t>
      </w:r>
      <w:r>
        <w:rPr>
          <w:rFonts w:ascii="宋体" w:hAnsi="宋体"/>
          <w:color w:val="auto"/>
          <w:sz w:val="24"/>
          <w:highlight w:val="none"/>
        </w:rPr>
        <w:t>42</w:t>
      </w:r>
      <w:r>
        <w:rPr>
          <w:rFonts w:hint="eastAsia" w:ascii="宋体" w:hAnsi="宋体"/>
          <w:color w:val="auto"/>
          <w:sz w:val="24"/>
          <w:highlight w:val="none"/>
        </w:rPr>
        <w:t>日的时间用于恢复执行监理业务，并按双方约定的数量支付监理报酬。</w:t>
      </w:r>
    </w:p>
    <w:p w14:paraId="368C7A25">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第三十三条</w:t>
      </w:r>
      <w:r>
        <w:rPr>
          <w:rFonts w:ascii="宋体" w:hAnsi="宋体"/>
          <w:color w:val="auto"/>
          <w:sz w:val="24"/>
          <w:highlight w:val="none"/>
        </w:rPr>
        <w:t xml:space="preserve"> </w:t>
      </w:r>
      <w:r>
        <w:rPr>
          <w:rFonts w:hint="eastAsia" w:ascii="宋体" w:hAnsi="宋体"/>
          <w:color w:val="auto"/>
          <w:sz w:val="24"/>
          <w:highlight w:val="none"/>
        </w:rPr>
        <w:t>监理人向委托人办理完竣工验收及竣工决算或工程移交手续，承包人和委托人已签订工程保修责任书，监理人收到监理报酬尾款并履行完保修期间全部责任后，本合同即终止。保修期间的责任，双方在专用条款中约定。</w:t>
      </w:r>
    </w:p>
    <w:p w14:paraId="2F78D39F">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第三十四条</w:t>
      </w:r>
      <w:r>
        <w:rPr>
          <w:rFonts w:ascii="宋体" w:hAnsi="宋体"/>
          <w:color w:val="auto"/>
          <w:sz w:val="24"/>
          <w:highlight w:val="none"/>
        </w:rPr>
        <w:t xml:space="preserve"> </w:t>
      </w:r>
      <w:r>
        <w:rPr>
          <w:rFonts w:hint="eastAsia" w:ascii="宋体" w:hAnsi="宋体"/>
          <w:color w:val="auto"/>
          <w:sz w:val="24"/>
          <w:highlight w:val="none"/>
        </w:rPr>
        <w:t>当事人一方要求变更或解除合同时，应当在</w:t>
      </w:r>
      <w:r>
        <w:rPr>
          <w:rFonts w:ascii="宋体" w:hAnsi="宋体"/>
          <w:color w:val="auto"/>
          <w:sz w:val="24"/>
          <w:highlight w:val="none"/>
        </w:rPr>
        <w:t>42</w:t>
      </w:r>
      <w:r>
        <w:rPr>
          <w:rFonts w:hint="eastAsia" w:ascii="宋体" w:hAnsi="宋体"/>
          <w:color w:val="auto"/>
          <w:sz w:val="24"/>
          <w:highlight w:val="none"/>
        </w:rPr>
        <w:t>日前通知对方，因解除合同使一方遭受损失的，除依法可以免除责任的外，应由责任方负责赔偿。</w:t>
      </w:r>
    </w:p>
    <w:p w14:paraId="6E3FB6C8">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变更或解除合同的通知或协议必须采取书面形式，协议未达成之前，原合同仍然有效。</w:t>
      </w:r>
    </w:p>
    <w:p w14:paraId="08B923DC">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第三十五条</w:t>
      </w:r>
      <w:r>
        <w:rPr>
          <w:rFonts w:ascii="宋体" w:hAnsi="宋体"/>
          <w:color w:val="auto"/>
          <w:sz w:val="24"/>
          <w:highlight w:val="none"/>
        </w:rPr>
        <w:t xml:space="preserve"> </w:t>
      </w:r>
      <w:r>
        <w:rPr>
          <w:rFonts w:hint="eastAsia" w:ascii="宋体" w:hAnsi="宋体"/>
          <w:color w:val="auto"/>
          <w:sz w:val="24"/>
          <w:highlight w:val="none"/>
        </w:rPr>
        <w:t>监理人在应当获得监理报酬之日起60日内仍未收到支付单据，而委托人又未对监理人提出任何书面解释时，或根据本合同约定已暂停执行监理业务时限超过六个月的，监理人可向委托人发出终止合同的通知，发出通知后</w:t>
      </w:r>
      <w:r>
        <w:rPr>
          <w:rFonts w:ascii="宋体" w:hAnsi="宋体"/>
          <w:color w:val="auto"/>
          <w:sz w:val="24"/>
          <w:highlight w:val="none"/>
        </w:rPr>
        <w:t>14</w:t>
      </w:r>
      <w:r>
        <w:rPr>
          <w:rFonts w:hint="eastAsia" w:ascii="宋体" w:hAnsi="宋体"/>
          <w:color w:val="auto"/>
          <w:sz w:val="24"/>
          <w:highlight w:val="none"/>
        </w:rPr>
        <w:t>日内仍未得到委托人答复，可进一步发出终止合同的通知，如果第二份通知发出后</w:t>
      </w:r>
      <w:r>
        <w:rPr>
          <w:rFonts w:ascii="宋体" w:hAnsi="宋体"/>
          <w:color w:val="auto"/>
          <w:sz w:val="24"/>
          <w:highlight w:val="none"/>
        </w:rPr>
        <w:t>42</w:t>
      </w:r>
      <w:r>
        <w:rPr>
          <w:rFonts w:hint="eastAsia" w:ascii="宋体" w:hAnsi="宋体"/>
          <w:color w:val="auto"/>
          <w:sz w:val="24"/>
          <w:highlight w:val="none"/>
        </w:rPr>
        <w:t>日内仍未得到委托人答复，可自行暂停部分监理业务。</w:t>
      </w:r>
    </w:p>
    <w:p w14:paraId="28E8055C">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第三十六条</w:t>
      </w:r>
      <w:r>
        <w:rPr>
          <w:rFonts w:ascii="宋体" w:hAnsi="宋体"/>
          <w:color w:val="auto"/>
          <w:sz w:val="24"/>
          <w:highlight w:val="none"/>
        </w:rPr>
        <w:t xml:space="preserve"> </w:t>
      </w:r>
      <w:r>
        <w:rPr>
          <w:rFonts w:hint="eastAsia" w:ascii="宋体" w:hAnsi="宋体"/>
          <w:color w:val="auto"/>
          <w:sz w:val="24"/>
          <w:highlight w:val="none"/>
        </w:rPr>
        <w:t>监理人由于委托人的原因而暂停或终止执行监理业务，其善后工作以及恢复执行监理业务的工作，应当视为额外工作，有权得到额外的报酬。</w:t>
      </w:r>
    </w:p>
    <w:p w14:paraId="0630D499">
      <w:pPr>
        <w:adjustRightInd w:val="0"/>
        <w:snapToGrid w:val="0"/>
        <w:spacing w:line="360" w:lineRule="auto"/>
        <w:rPr>
          <w:rFonts w:ascii="宋体"/>
          <w:color w:val="auto"/>
          <w:sz w:val="24"/>
          <w:highlight w:val="none"/>
        </w:rPr>
      </w:pPr>
      <w:r>
        <w:rPr>
          <w:rFonts w:hint="eastAsia" w:ascii="宋体" w:hAnsi="宋体"/>
          <w:color w:val="auto"/>
          <w:sz w:val="24"/>
          <w:highlight w:val="none"/>
        </w:rPr>
        <w:t>　</w:t>
      </w:r>
      <w:r>
        <w:rPr>
          <w:rFonts w:ascii="宋体" w:hAnsi="宋体"/>
          <w:color w:val="auto"/>
          <w:sz w:val="24"/>
          <w:highlight w:val="none"/>
        </w:rPr>
        <w:t xml:space="preserve">  </w:t>
      </w:r>
      <w:r>
        <w:rPr>
          <w:rFonts w:hint="eastAsia" w:ascii="宋体" w:hAnsi="宋体"/>
          <w:b/>
          <w:bCs/>
          <w:color w:val="auto"/>
          <w:sz w:val="24"/>
          <w:highlight w:val="none"/>
        </w:rPr>
        <w:t>第三十七条</w:t>
      </w:r>
      <w:r>
        <w:rPr>
          <w:rFonts w:hint="eastAsia" w:ascii="宋体" w:hAnsi="宋体"/>
          <w:color w:val="auto"/>
          <w:sz w:val="24"/>
          <w:highlight w:val="none"/>
        </w:rPr>
        <w:t>　当委托人认为监理人无正当理由而又未履行监理义务时，可向监理人发出指明其未履行义务的通知。若委托人发出通知后</w:t>
      </w:r>
      <w:r>
        <w:rPr>
          <w:rFonts w:ascii="宋体" w:hAnsi="宋体"/>
          <w:color w:val="auto"/>
          <w:sz w:val="24"/>
          <w:highlight w:val="none"/>
        </w:rPr>
        <w:t>21</w:t>
      </w:r>
      <w:r>
        <w:rPr>
          <w:rFonts w:hint="eastAsia" w:ascii="宋体" w:hAnsi="宋体"/>
          <w:color w:val="auto"/>
          <w:sz w:val="24"/>
          <w:highlight w:val="none"/>
        </w:rPr>
        <w:t>日内没有收到答复，可在第一个通知发出后</w:t>
      </w:r>
      <w:r>
        <w:rPr>
          <w:rFonts w:ascii="宋体" w:hAnsi="宋体"/>
          <w:color w:val="auto"/>
          <w:sz w:val="24"/>
          <w:highlight w:val="none"/>
        </w:rPr>
        <w:t>35</w:t>
      </w:r>
      <w:r>
        <w:rPr>
          <w:rFonts w:hint="eastAsia" w:ascii="宋体" w:hAnsi="宋体"/>
          <w:color w:val="auto"/>
          <w:sz w:val="24"/>
          <w:highlight w:val="none"/>
        </w:rPr>
        <w:t>日内发出终止委托监理合同的通知，合同即行终止。监理人承担违约责任。</w:t>
      </w:r>
    </w:p>
    <w:p w14:paraId="6C71E0B5">
      <w:pPr>
        <w:adjustRightInd w:val="0"/>
        <w:snapToGrid w:val="0"/>
        <w:spacing w:line="360" w:lineRule="auto"/>
        <w:ind w:firstLine="482" w:firstLineChars="200"/>
        <w:rPr>
          <w:rFonts w:hint="eastAsia" w:ascii="宋体" w:hAnsi="宋体"/>
          <w:color w:val="auto"/>
          <w:sz w:val="24"/>
          <w:highlight w:val="none"/>
        </w:rPr>
      </w:pPr>
      <w:r>
        <w:rPr>
          <w:rFonts w:hint="eastAsia" w:ascii="宋体" w:hAnsi="宋体"/>
          <w:b/>
          <w:bCs/>
          <w:color w:val="auto"/>
          <w:sz w:val="24"/>
          <w:highlight w:val="none"/>
        </w:rPr>
        <w:t>第三十八条</w:t>
      </w:r>
      <w:r>
        <w:rPr>
          <w:rFonts w:ascii="宋体" w:hAnsi="宋体"/>
          <w:color w:val="auto"/>
          <w:sz w:val="24"/>
          <w:highlight w:val="none"/>
        </w:rPr>
        <w:t xml:space="preserve"> </w:t>
      </w:r>
      <w:r>
        <w:rPr>
          <w:rFonts w:hint="eastAsia" w:ascii="宋体" w:hAnsi="宋体"/>
          <w:color w:val="auto"/>
          <w:sz w:val="24"/>
          <w:highlight w:val="none"/>
        </w:rPr>
        <w:t>合同协议的终止并不影响各方应有的权利和应当承担的责任。</w:t>
      </w:r>
    </w:p>
    <w:p w14:paraId="4DB341F0">
      <w:pPr>
        <w:adjustRightInd w:val="0"/>
        <w:snapToGrid w:val="0"/>
        <w:spacing w:line="360" w:lineRule="auto"/>
        <w:ind w:firstLine="480" w:firstLineChars="200"/>
        <w:rPr>
          <w:rFonts w:ascii="宋体"/>
          <w:b/>
          <w:bCs/>
          <w:color w:val="auto"/>
          <w:sz w:val="24"/>
          <w:highlight w:val="none"/>
        </w:rPr>
      </w:pPr>
      <w:r>
        <w:rPr>
          <w:rFonts w:hint="eastAsia" w:ascii="宋体" w:hAnsi="宋体"/>
          <w:color w:val="auto"/>
          <w:sz w:val="24"/>
          <w:highlight w:val="none"/>
        </w:rPr>
        <w:t>合同解除后，监理人应在3个工作日内向委托人移交全部监理资料和工作成果，包括但不限于监理日志、会议纪要、验收报告等。</w:t>
      </w:r>
    </w:p>
    <w:p w14:paraId="32BAC69F">
      <w:pPr>
        <w:adjustRightInd w:val="0"/>
        <w:snapToGrid w:val="0"/>
        <w:spacing w:line="360" w:lineRule="auto"/>
        <w:jc w:val="center"/>
        <w:rPr>
          <w:rFonts w:ascii="宋体"/>
          <w:b/>
          <w:bCs/>
          <w:color w:val="auto"/>
          <w:sz w:val="24"/>
          <w:highlight w:val="none"/>
        </w:rPr>
      </w:pPr>
      <w:r>
        <w:rPr>
          <w:rFonts w:hint="eastAsia" w:ascii="宋体" w:hAnsi="宋体"/>
          <w:b/>
          <w:bCs/>
          <w:color w:val="auto"/>
          <w:sz w:val="24"/>
          <w:highlight w:val="none"/>
        </w:rPr>
        <w:t>监理报酬</w:t>
      </w:r>
    </w:p>
    <w:p w14:paraId="6EB7BAFE">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第三十九条</w:t>
      </w:r>
      <w:r>
        <w:rPr>
          <w:rFonts w:ascii="宋体" w:hAnsi="宋体"/>
          <w:color w:val="auto"/>
          <w:sz w:val="24"/>
          <w:highlight w:val="none"/>
        </w:rPr>
        <w:t xml:space="preserve"> </w:t>
      </w:r>
      <w:r>
        <w:rPr>
          <w:rFonts w:hint="eastAsia" w:ascii="宋体" w:hAnsi="宋体"/>
          <w:color w:val="auto"/>
          <w:sz w:val="24"/>
          <w:highlight w:val="none"/>
        </w:rPr>
        <w:t>正常的监理工作、附加工作和额外工作的报酬，按照监理合同专用条款中第三十九条的方法计算，并按约定的时间和数额支付。</w:t>
      </w:r>
    </w:p>
    <w:p w14:paraId="6527C8C0">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第四十条</w:t>
      </w:r>
      <w:r>
        <w:rPr>
          <w:rFonts w:ascii="宋体" w:hAnsi="宋体"/>
          <w:color w:val="auto"/>
          <w:sz w:val="24"/>
          <w:highlight w:val="none"/>
        </w:rPr>
        <w:t xml:space="preserve"> </w:t>
      </w:r>
      <w:r>
        <w:rPr>
          <w:rFonts w:hint="eastAsia" w:ascii="宋体" w:hAnsi="宋体"/>
          <w:color w:val="auto"/>
          <w:sz w:val="24"/>
          <w:highlight w:val="none"/>
        </w:rPr>
        <w:t>如果委托人在规定的支付期限内未支付监理报酬，按照监理合同专用条款中第三十九条约定。</w:t>
      </w:r>
    </w:p>
    <w:p w14:paraId="00BF0028">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第四十一条</w:t>
      </w:r>
      <w:r>
        <w:rPr>
          <w:rFonts w:ascii="宋体" w:hAnsi="宋体"/>
          <w:color w:val="auto"/>
          <w:sz w:val="24"/>
          <w:highlight w:val="none"/>
        </w:rPr>
        <w:t xml:space="preserve"> </w:t>
      </w:r>
      <w:r>
        <w:rPr>
          <w:rFonts w:hint="eastAsia" w:ascii="宋体" w:hAnsi="宋体"/>
          <w:color w:val="auto"/>
          <w:sz w:val="24"/>
          <w:highlight w:val="none"/>
        </w:rPr>
        <w:t>支付监理报酬所采取的货币币种、汇率由合同专用条款约定。</w:t>
      </w:r>
    </w:p>
    <w:p w14:paraId="6FD9B667">
      <w:pPr>
        <w:adjustRightInd w:val="0"/>
        <w:snapToGrid w:val="0"/>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第四十二条</w:t>
      </w:r>
      <w:r>
        <w:rPr>
          <w:rFonts w:ascii="宋体" w:hAnsi="宋体"/>
          <w:color w:val="auto"/>
          <w:sz w:val="24"/>
          <w:highlight w:val="none"/>
        </w:rPr>
        <w:t xml:space="preserve"> </w:t>
      </w:r>
      <w:r>
        <w:rPr>
          <w:rFonts w:hint="eastAsia" w:ascii="宋体" w:hAnsi="宋体"/>
          <w:color w:val="auto"/>
          <w:sz w:val="24"/>
          <w:highlight w:val="none"/>
        </w:rPr>
        <w:t>如果委托人对监理人提交的支付通知中报酬或部分报酬项目提出异议，应当在收到支付通知书48小时内向监理人发出表示异议的通知，但委托人不得拖延其他无异议报酬项目的支付。</w:t>
      </w:r>
    </w:p>
    <w:p w14:paraId="25B376D3">
      <w:pPr>
        <w:adjustRightInd w:val="0"/>
        <w:snapToGrid w:val="0"/>
        <w:spacing w:line="360" w:lineRule="auto"/>
        <w:jc w:val="center"/>
        <w:rPr>
          <w:rFonts w:ascii="宋体"/>
          <w:b/>
          <w:bCs/>
          <w:color w:val="auto"/>
          <w:sz w:val="24"/>
          <w:highlight w:val="none"/>
        </w:rPr>
      </w:pPr>
      <w:r>
        <w:rPr>
          <w:rFonts w:hint="eastAsia" w:ascii="宋体" w:hAnsi="宋体"/>
          <w:b/>
          <w:bCs/>
          <w:color w:val="auto"/>
          <w:sz w:val="24"/>
          <w:highlight w:val="none"/>
        </w:rPr>
        <w:t>其他</w:t>
      </w:r>
    </w:p>
    <w:p w14:paraId="7644C09C">
      <w:pPr>
        <w:adjustRightInd w:val="0"/>
        <w:snapToGrid w:val="0"/>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第四十三条</w:t>
      </w:r>
      <w:r>
        <w:rPr>
          <w:rFonts w:ascii="宋体" w:hAnsi="宋体"/>
          <w:color w:val="auto"/>
          <w:sz w:val="24"/>
          <w:highlight w:val="none"/>
        </w:rPr>
        <w:t xml:space="preserve"> </w:t>
      </w:r>
      <w:r>
        <w:rPr>
          <w:rFonts w:hint="eastAsia" w:ascii="宋体" w:hAnsi="宋体"/>
          <w:color w:val="auto"/>
          <w:sz w:val="24"/>
          <w:highlight w:val="none"/>
        </w:rPr>
        <w:t>委托的建设工程监理所必要的监理人员出外考察、材料设备复试，其费用支出经委托人事先书面同意的，在预算范围内向委托人实报实销。</w:t>
      </w:r>
    </w:p>
    <w:p w14:paraId="11A4AEAA">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第四十四条</w:t>
      </w:r>
      <w:r>
        <w:rPr>
          <w:rFonts w:ascii="宋体" w:hAnsi="宋体"/>
          <w:color w:val="auto"/>
          <w:sz w:val="24"/>
          <w:highlight w:val="none"/>
        </w:rPr>
        <w:t xml:space="preserve"> </w:t>
      </w:r>
      <w:r>
        <w:rPr>
          <w:rFonts w:hint="eastAsia" w:ascii="宋体" w:hAnsi="宋体"/>
          <w:color w:val="auto"/>
          <w:sz w:val="24"/>
          <w:highlight w:val="none"/>
        </w:rPr>
        <w:t>在监理业务范围内，如需聘用专家咨询或协助，其费用由监理人承担。</w:t>
      </w:r>
    </w:p>
    <w:p w14:paraId="6F0FC686">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第四十五条</w:t>
      </w:r>
      <w:r>
        <w:rPr>
          <w:rFonts w:ascii="宋体" w:hAnsi="宋体"/>
          <w:color w:val="auto"/>
          <w:sz w:val="24"/>
          <w:highlight w:val="none"/>
        </w:rPr>
        <w:t xml:space="preserve"> </w:t>
      </w:r>
      <w:r>
        <w:rPr>
          <w:rFonts w:hint="eastAsia" w:ascii="宋体" w:hAnsi="宋体"/>
          <w:color w:val="auto"/>
          <w:sz w:val="24"/>
          <w:highlight w:val="none"/>
        </w:rPr>
        <w:t>监理人在监理工作过程中提出的合理化建议，使委托人得到了经济效益，委托人应按专用条款中的约定给予经济奖励。</w:t>
      </w:r>
    </w:p>
    <w:p w14:paraId="5686A446">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第四十六条</w:t>
      </w:r>
      <w:r>
        <w:rPr>
          <w:rFonts w:ascii="宋体" w:hAnsi="宋体"/>
          <w:color w:val="auto"/>
          <w:sz w:val="24"/>
          <w:highlight w:val="none"/>
        </w:rPr>
        <w:t xml:space="preserve"> </w:t>
      </w:r>
      <w:r>
        <w:rPr>
          <w:rFonts w:hint="eastAsia" w:ascii="宋体" w:hAnsi="宋体"/>
          <w:color w:val="auto"/>
          <w:sz w:val="24"/>
          <w:highlight w:val="none"/>
        </w:rPr>
        <w:t>监理人驻地项目监理机构及其职员不得接受监理工程项目承包人的任何报酬或者经济利益。</w:t>
      </w:r>
    </w:p>
    <w:p w14:paraId="0F520CA0">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监理人不得参与可能与合同规定的与委托人的利益相冲突的任何活动。</w:t>
      </w:r>
    </w:p>
    <w:p w14:paraId="3910D6A2">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第四十七条</w:t>
      </w:r>
      <w:r>
        <w:rPr>
          <w:rFonts w:ascii="宋体" w:hAnsi="宋体"/>
          <w:color w:val="auto"/>
          <w:sz w:val="24"/>
          <w:highlight w:val="none"/>
        </w:rPr>
        <w:t xml:space="preserve"> </w:t>
      </w:r>
      <w:r>
        <w:rPr>
          <w:rFonts w:hint="eastAsia" w:ascii="宋体" w:hAnsi="宋体"/>
          <w:color w:val="auto"/>
          <w:sz w:val="24"/>
          <w:highlight w:val="none"/>
        </w:rPr>
        <w:t>监理人在监理过程中，不得泄露委托人申明的秘密，监理人亦不得泄露设计人、承包人等提供并申明的秘密。</w:t>
      </w:r>
    </w:p>
    <w:p w14:paraId="79BCD019">
      <w:pPr>
        <w:adjustRightInd w:val="0"/>
        <w:snapToGrid w:val="0"/>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第四十八条</w:t>
      </w:r>
      <w:r>
        <w:rPr>
          <w:rFonts w:ascii="宋体" w:hAnsi="宋体"/>
          <w:color w:val="auto"/>
          <w:sz w:val="24"/>
          <w:highlight w:val="none"/>
        </w:rPr>
        <w:t xml:space="preserve"> </w:t>
      </w:r>
      <w:r>
        <w:rPr>
          <w:rFonts w:hint="eastAsia" w:ascii="宋体" w:hAnsi="宋体"/>
          <w:color w:val="auto"/>
          <w:sz w:val="24"/>
          <w:highlight w:val="none"/>
        </w:rPr>
        <w:t>监理人对于由其编制的所有文件拥有版权，委托人仅有权为本合同工程使用或复制此类文件。</w:t>
      </w:r>
    </w:p>
    <w:p w14:paraId="38F64E51">
      <w:pPr>
        <w:adjustRightInd w:val="0"/>
        <w:snapToGrid w:val="0"/>
        <w:spacing w:line="360" w:lineRule="auto"/>
        <w:jc w:val="center"/>
        <w:rPr>
          <w:rFonts w:ascii="宋体"/>
          <w:b/>
          <w:bCs/>
          <w:color w:val="auto"/>
          <w:sz w:val="24"/>
          <w:highlight w:val="none"/>
        </w:rPr>
      </w:pPr>
      <w:r>
        <w:rPr>
          <w:rFonts w:hint="eastAsia" w:ascii="宋体" w:hAnsi="宋体"/>
          <w:b/>
          <w:bCs/>
          <w:color w:val="auto"/>
          <w:sz w:val="24"/>
          <w:highlight w:val="none"/>
        </w:rPr>
        <w:t>争议的解决</w:t>
      </w:r>
    </w:p>
    <w:p w14:paraId="7D3F107E">
      <w:pPr>
        <w:spacing w:line="360" w:lineRule="auto"/>
        <w:ind w:firstLine="472" w:firstLineChars="196"/>
        <w:rPr>
          <w:rFonts w:ascii="宋体"/>
          <w:b/>
          <w:color w:val="auto"/>
          <w:spacing w:val="24"/>
          <w:sz w:val="24"/>
          <w:highlight w:val="none"/>
        </w:rPr>
      </w:pPr>
      <w:r>
        <w:rPr>
          <w:rFonts w:hint="eastAsia" w:ascii="宋体" w:hAnsi="宋体"/>
          <w:b/>
          <w:bCs/>
          <w:color w:val="auto"/>
          <w:sz w:val="24"/>
          <w:highlight w:val="none"/>
        </w:rPr>
        <w:t>第四十九条</w:t>
      </w:r>
      <w:r>
        <w:rPr>
          <w:rFonts w:ascii="宋体" w:hAnsi="宋体"/>
          <w:color w:val="auto"/>
          <w:sz w:val="24"/>
          <w:highlight w:val="none"/>
        </w:rPr>
        <w:t xml:space="preserve"> </w:t>
      </w:r>
      <w:r>
        <w:rPr>
          <w:rFonts w:hint="eastAsia" w:ascii="宋体" w:hAnsi="宋体"/>
          <w:color w:val="auto"/>
          <w:sz w:val="24"/>
          <w:highlight w:val="none"/>
        </w:rPr>
        <w:t>因违反或终止合同而引起的对对方损失和损害的赔偿，双方应当协商解决，如未能达成一致，可提交主管部门协调，如仍未能达成一致时，向项目所在地人民法院起诉，具体以专用条款的约定为准。</w:t>
      </w:r>
    </w:p>
    <w:p w14:paraId="656141FE">
      <w:pPr>
        <w:pStyle w:val="3"/>
        <w:jc w:val="center"/>
        <w:rPr>
          <w:rFonts w:ascii="宋体"/>
          <w:b w:val="0"/>
          <w:bCs w:val="0"/>
          <w:color w:val="auto"/>
          <w:sz w:val="32"/>
          <w:highlight w:val="none"/>
        </w:rPr>
      </w:pPr>
      <w:r>
        <w:rPr>
          <w:rFonts w:ascii="宋体" w:hAnsi="宋体"/>
          <w:b w:val="0"/>
          <w:bCs w:val="0"/>
          <w:color w:val="auto"/>
          <w:sz w:val="32"/>
          <w:highlight w:val="none"/>
        </w:rPr>
        <w:br w:type="page"/>
      </w:r>
      <w:r>
        <w:rPr>
          <w:rFonts w:hint="eastAsia" w:ascii="宋体" w:hAnsi="宋体"/>
          <w:b w:val="0"/>
          <w:bCs w:val="0"/>
          <w:color w:val="auto"/>
          <w:sz w:val="32"/>
          <w:highlight w:val="none"/>
        </w:rPr>
        <w:t>第三部分</w:t>
      </w:r>
      <w:r>
        <w:rPr>
          <w:rFonts w:ascii="宋体" w:hAnsi="宋体"/>
          <w:b w:val="0"/>
          <w:bCs w:val="0"/>
          <w:color w:val="auto"/>
          <w:sz w:val="32"/>
          <w:highlight w:val="none"/>
        </w:rPr>
        <w:t xml:space="preserve">  </w:t>
      </w:r>
      <w:r>
        <w:rPr>
          <w:rFonts w:hint="eastAsia" w:ascii="宋体" w:hAnsi="宋体"/>
          <w:b w:val="0"/>
          <w:bCs w:val="0"/>
          <w:color w:val="auto"/>
          <w:sz w:val="32"/>
          <w:highlight w:val="none"/>
        </w:rPr>
        <w:t>专用条款</w:t>
      </w:r>
    </w:p>
    <w:p w14:paraId="1F39A2C5">
      <w:pPr>
        <w:adjustRightInd w:val="0"/>
        <w:snapToGrid w:val="0"/>
        <w:spacing w:line="360" w:lineRule="auto"/>
        <w:jc w:val="left"/>
        <w:rPr>
          <w:rFonts w:ascii="宋体"/>
          <w:color w:val="auto"/>
          <w:sz w:val="24"/>
          <w:szCs w:val="20"/>
          <w:highlight w:val="none"/>
          <w:lang w:val="zh-CN"/>
        </w:rPr>
      </w:pPr>
      <w:r>
        <w:rPr>
          <w:rFonts w:hint="eastAsia" w:ascii="宋体" w:hAnsi="宋体"/>
          <w:color w:val="auto"/>
          <w:sz w:val="24"/>
          <w:szCs w:val="20"/>
          <w:highlight w:val="none"/>
          <w:lang w:val="zh-CN"/>
        </w:rPr>
        <w:t>（本部分条款的编号与标准条款的编号相对应，是根据本合同工程的实际情况对标准条款中相对应条款进行修改、补充或否定，其适用顺序优先于标准条款。本部分条款未阐明的内容，则按标准条款的有关约定执行）</w:t>
      </w:r>
    </w:p>
    <w:p w14:paraId="5EA629CE">
      <w:pPr>
        <w:adjustRightInd w:val="0"/>
        <w:snapToGrid w:val="0"/>
        <w:spacing w:line="360" w:lineRule="auto"/>
        <w:rPr>
          <w:rFonts w:ascii="宋体"/>
          <w:bCs/>
          <w:color w:val="auto"/>
          <w:sz w:val="24"/>
          <w:highlight w:val="none"/>
        </w:rPr>
      </w:pPr>
    </w:p>
    <w:p w14:paraId="52167F5A">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第一条</w:t>
      </w:r>
      <w:r>
        <w:rPr>
          <w:rFonts w:ascii="宋体" w:hAnsi="宋体"/>
          <w:color w:val="auto"/>
          <w:sz w:val="24"/>
          <w:highlight w:val="none"/>
        </w:rPr>
        <w:t xml:space="preserve"> </w:t>
      </w:r>
      <w:r>
        <w:rPr>
          <w:rFonts w:hint="eastAsia" w:ascii="宋体" w:hAnsi="宋体"/>
          <w:b/>
          <w:bCs/>
          <w:color w:val="auto"/>
          <w:sz w:val="24"/>
          <w:highlight w:val="none"/>
        </w:rPr>
        <w:t>词语定义</w:t>
      </w:r>
    </w:p>
    <w:p w14:paraId="4D913188">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）“本合同工程”指委托人委托监理人监理的工程。</w:t>
      </w:r>
    </w:p>
    <w:p w14:paraId="0C58147A">
      <w:pPr>
        <w:adjustRightInd w:val="0"/>
        <w:snapToGrid w:val="0"/>
        <w:spacing w:line="360" w:lineRule="auto"/>
        <w:ind w:firstLine="480" w:firstLineChars="200"/>
        <w:rPr>
          <w:rFonts w:ascii="宋体"/>
          <w:bCs/>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）委托人</w:t>
      </w:r>
    </w:p>
    <w:p w14:paraId="3024EB59">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w:t>
      </w:r>
      <w:r>
        <w:rPr>
          <w:rFonts w:hint="eastAsia" w:ascii="宋体" w:hAnsi="宋体"/>
          <w:color w:val="auto"/>
          <w:sz w:val="24"/>
          <w:highlight w:val="none"/>
        </w:rPr>
        <w:t>“委托人”在本合同中特指。</w:t>
      </w:r>
    </w:p>
    <w:p w14:paraId="6CC3CD44">
      <w:pPr>
        <w:adjustRightInd w:val="0"/>
        <w:snapToGrid w:val="0"/>
        <w:spacing w:line="360" w:lineRule="auto"/>
        <w:ind w:firstLine="480" w:firstLineChars="200"/>
        <w:rPr>
          <w:rFonts w:ascii="宋体"/>
          <w:color w:val="auto"/>
          <w:sz w:val="24"/>
          <w:highlight w:val="none"/>
        </w:rPr>
      </w:pPr>
      <w:r>
        <w:rPr>
          <w:rFonts w:ascii="宋体" w:hAnsi="宋体"/>
          <w:bCs/>
          <w:color w:val="auto"/>
          <w:sz w:val="24"/>
          <w:highlight w:val="none"/>
        </w:rPr>
        <w:t>2</w:t>
      </w:r>
      <w:r>
        <w:rPr>
          <w:rFonts w:hint="eastAsia" w:ascii="宋体" w:hAnsi="宋体"/>
          <w:bCs/>
          <w:color w:val="auto"/>
          <w:sz w:val="24"/>
          <w:highlight w:val="none"/>
        </w:rPr>
        <w:t>）“</w:t>
      </w:r>
      <w:r>
        <w:rPr>
          <w:rFonts w:hint="eastAsia" w:ascii="宋体" w:hAnsi="宋体"/>
          <w:color w:val="auto"/>
          <w:sz w:val="24"/>
          <w:highlight w:val="none"/>
        </w:rPr>
        <w:t>合法继承人”指工程竣工验收合格后，委托人依据规定，将工程移交给其承接使用的产权管理单位。在继承生效后，合法继承人享有委托人在本合同中的一切权利及承担相应的义务。</w:t>
      </w:r>
    </w:p>
    <w:p w14:paraId="45666A49">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）“总监理工程师代表”指经监理人法定代表人同意，由总监理工程师书面授权，代表总监理工程师行使其部分职责和权力的项目监理机构中的监理工程师。</w:t>
      </w:r>
    </w:p>
    <w:p w14:paraId="2E1F0ABB">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）“监理规划”指在总监理工程师的主持下编制、经监理人技术负责人批准，用来指导项目监理机构全面开展监理工作的指导性文件。</w:t>
      </w:r>
    </w:p>
    <w:p w14:paraId="6BEC617F">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）“监理实施细则”指根据监理规划，由专业监理工程师编写，并经总监理工程师批准，针对工程项目中某一专业或某一方面监理工作的操作性文件。</w:t>
      </w:r>
    </w:p>
    <w:p w14:paraId="3E19E093">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）“工地例会”指在工程实施过程中针对工程质量、造价、进度、合同管理等事宜定期召开的，由建设有关单位参加的会议。</w:t>
      </w:r>
    </w:p>
    <w:p w14:paraId="441D7020">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7</w:t>
      </w:r>
      <w:r>
        <w:rPr>
          <w:rFonts w:hint="eastAsia" w:ascii="宋体" w:hAnsi="宋体"/>
          <w:color w:val="auto"/>
          <w:sz w:val="24"/>
          <w:highlight w:val="none"/>
        </w:rPr>
        <w:t>）“旁站”指在关键部位或关键工序施工过程中，由监理人员在现场进行的监督活动。</w:t>
      </w:r>
    </w:p>
    <w:p w14:paraId="239BADA9">
      <w:pPr>
        <w:adjustRightInd w:val="0"/>
        <w:snapToGrid w:val="0"/>
        <w:spacing w:line="360" w:lineRule="auto"/>
        <w:ind w:firstLine="480" w:firstLineChars="200"/>
        <w:rPr>
          <w:rFonts w:ascii="宋体"/>
          <w:bCs/>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w:t>
      </w:r>
      <w:r>
        <w:rPr>
          <w:rFonts w:hint="eastAsia" w:ascii="宋体" w:hAnsi="宋体"/>
          <w:bCs/>
          <w:color w:val="auto"/>
          <w:sz w:val="24"/>
          <w:highlight w:val="none"/>
        </w:rPr>
        <w:t>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183F1718">
      <w:pPr>
        <w:adjustRightInd w:val="0"/>
        <w:snapToGrid w:val="0"/>
        <w:spacing w:line="360" w:lineRule="auto"/>
        <w:ind w:firstLine="480" w:firstLineChars="200"/>
        <w:rPr>
          <w:rFonts w:ascii="宋体"/>
          <w:b/>
          <w:bCs/>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9</w:t>
      </w:r>
      <w:r>
        <w:rPr>
          <w:rFonts w:hint="eastAsia" w:ascii="宋体" w:hAnsi="宋体"/>
          <w:bCs/>
          <w:color w:val="auto"/>
          <w:sz w:val="24"/>
          <w:highlight w:val="none"/>
        </w:rPr>
        <w:t>）“通知”指合同中所提及的各方之间传达意思表示的方式，包括但不限于申请、报告、同意、答复、批准、指令、证书、决定，等等。除本合同专用条款有特别约定外，只有采用书面形式的通知才有效。</w:t>
      </w:r>
    </w:p>
    <w:p w14:paraId="3DCE34DE">
      <w:pPr>
        <w:adjustRightInd w:val="0"/>
        <w:snapToGrid w:val="0"/>
        <w:spacing w:line="360" w:lineRule="auto"/>
        <w:ind w:firstLine="482" w:firstLineChars="200"/>
        <w:rPr>
          <w:rFonts w:ascii="宋体"/>
          <w:b/>
          <w:color w:val="auto"/>
          <w:sz w:val="24"/>
          <w:highlight w:val="none"/>
        </w:rPr>
      </w:pPr>
      <w:r>
        <w:rPr>
          <w:rFonts w:hint="eastAsia" w:ascii="宋体" w:hAnsi="宋体"/>
          <w:b/>
          <w:bCs/>
          <w:color w:val="auto"/>
          <w:sz w:val="24"/>
          <w:highlight w:val="none"/>
        </w:rPr>
        <w:t>第二条</w:t>
      </w:r>
      <w:r>
        <w:rPr>
          <w:rFonts w:ascii="宋体" w:hAnsi="宋体"/>
          <w:b/>
          <w:color w:val="auto"/>
          <w:sz w:val="24"/>
          <w:highlight w:val="none"/>
        </w:rPr>
        <w:t xml:space="preserve"> </w:t>
      </w:r>
      <w:r>
        <w:rPr>
          <w:rFonts w:hint="eastAsia" w:ascii="宋体" w:hAnsi="宋体"/>
          <w:b/>
          <w:color w:val="auto"/>
          <w:sz w:val="24"/>
          <w:highlight w:val="none"/>
        </w:rPr>
        <w:t>本合同适用的法律法规及监理依据</w:t>
      </w:r>
    </w:p>
    <w:p w14:paraId="71681406">
      <w:pPr>
        <w:spacing w:line="360" w:lineRule="auto"/>
        <w:ind w:firstLine="480" w:firstLineChars="200"/>
        <w:rPr>
          <w:rFonts w:ascii="宋体"/>
          <w:color w:val="auto"/>
          <w:sz w:val="24"/>
          <w:highlight w:val="none"/>
        </w:rPr>
      </w:pPr>
      <w:r>
        <w:rPr>
          <w:rFonts w:hint="eastAsia" w:ascii="宋体" w:hAnsi="宋体"/>
          <w:color w:val="auto"/>
          <w:sz w:val="24"/>
          <w:highlight w:val="none"/>
        </w:rPr>
        <w:t>（一）适用法规</w:t>
      </w:r>
    </w:p>
    <w:p w14:paraId="0163CE8D">
      <w:pPr>
        <w:tabs>
          <w:tab w:val="left" w:pos="902"/>
          <w:tab w:val="left" w:pos="960"/>
        </w:tabs>
        <w:spacing w:line="360" w:lineRule="auto"/>
        <w:ind w:left="57"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、《中华人民共和国民法典》、《中华人民共和国建筑法》及其他相关法律；</w:t>
      </w:r>
    </w:p>
    <w:p w14:paraId="10ED0DC6">
      <w:pPr>
        <w:tabs>
          <w:tab w:val="left" w:pos="902"/>
          <w:tab w:val="left" w:pos="960"/>
        </w:tabs>
        <w:spacing w:line="360" w:lineRule="auto"/>
        <w:ind w:left="57"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、《建设工程质量管理条例》、《建设工程监理范围和规模标准规定》及其它有关的法规、条例、规章；</w:t>
      </w:r>
    </w:p>
    <w:p w14:paraId="168410FB">
      <w:pPr>
        <w:tabs>
          <w:tab w:val="left" w:pos="902"/>
          <w:tab w:val="left" w:pos="960"/>
        </w:tabs>
        <w:spacing w:line="360" w:lineRule="auto"/>
        <w:ind w:left="57"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、广东省、广州市及增城区有关工程建设管理方面的规定和办法。</w:t>
      </w:r>
    </w:p>
    <w:p w14:paraId="1E3B5DEF">
      <w:pPr>
        <w:spacing w:line="360" w:lineRule="auto"/>
        <w:ind w:firstLine="480" w:firstLineChars="200"/>
        <w:rPr>
          <w:rFonts w:ascii="宋体"/>
          <w:color w:val="auto"/>
          <w:sz w:val="24"/>
          <w:highlight w:val="none"/>
        </w:rPr>
      </w:pPr>
      <w:r>
        <w:rPr>
          <w:rFonts w:hint="eastAsia" w:ascii="宋体" w:hAnsi="宋体"/>
          <w:color w:val="auto"/>
          <w:sz w:val="24"/>
          <w:highlight w:val="none"/>
        </w:rPr>
        <w:t>（二）监理依据</w:t>
      </w:r>
    </w:p>
    <w:p w14:paraId="5FC91CFA">
      <w:pPr>
        <w:numPr>
          <w:ilvl w:val="0"/>
          <w:numId w:val="2"/>
        </w:numPr>
        <w:spacing w:line="360" w:lineRule="auto"/>
        <w:rPr>
          <w:rFonts w:ascii="宋体"/>
          <w:color w:val="auto"/>
          <w:sz w:val="24"/>
          <w:highlight w:val="none"/>
        </w:rPr>
      </w:pPr>
      <w:r>
        <w:rPr>
          <w:rFonts w:hint="eastAsia" w:ascii="宋体" w:hAnsi="宋体"/>
          <w:color w:val="auto"/>
          <w:sz w:val="24"/>
          <w:highlight w:val="none"/>
        </w:rPr>
        <w:t>本监理服务合同；</w:t>
      </w:r>
    </w:p>
    <w:p w14:paraId="44EAEE85">
      <w:pPr>
        <w:numPr>
          <w:ilvl w:val="0"/>
          <w:numId w:val="2"/>
        </w:numPr>
        <w:spacing w:line="360" w:lineRule="auto"/>
        <w:rPr>
          <w:rFonts w:ascii="宋体"/>
          <w:color w:val="auto"/>
          <w:sz w:val="24"/>
          <w:highlight w:val="none"/>
        </w:rPr>
      </w:pPr>
      <w:r>
        <w:rPr>
          <w:rFonts w:hint="eastAsia" w:ascii="宋体" w:hAnsi="宋体"/>
          <w:color w:val="auto"/>
          <w:sz w:val="24"/>
          <w:highlight w:val="none"/>
        </w:rPr>
        <w:t>委托人和承包人签订的合同及补充协议或备忘录；</w:t>
      </w:r>
    </w:p>
    <w:p w14:paraId="0EAACF9F">
      <w:pPr>
        <w:numPr>
          <w:ilvl w:val="0"/>
          <w:numId w:val="2"/>
        </w:numPr>
        <w:spacing w:line="360" w:lineRule="auto"/>
        <w:rPr>
          <w:rFonts w:ascii="宋体"/>
          <w:color w:val="auto"/>
          <w:sz w:val="24"/>
          <w:highlight w:val="none"/>
        </w:rPr>
      </w:pPr>
      <w:r>
        <w:rPr>
          <w:rFonts w:hint="eastAsia" w:ascii="宋体" w:hAnsi="宋体"/>
          <w:color w:val="auto"/>
          <w:sz w:val="24"/>
          <w:highlight w:val="none"/>
        </w:rPr>
        <w:t>委托人和承包人签订的合同及补充协议或备忘录；</w:t>
      </w:r>
    </w:p>
    <w:p w14:paraId="1C3967D6">
      <w:pPr>
        <w:numPr>
          <w:ilvl w:val="0"/>
          <w:numId w:val="2"/>
        </w:numPr>
        <w:spacing w:line="360" w:lineRule="auto"/>
        <w:ind w:left="0" w:firstLine="480" w:firstLineChars="200"/>
        <w:rPr>
          <w:rFonts w:ascii="宋体"/>
          <w:color w:val="auto"/>
          <w:sz w:val="24"/>
          <w:highlight w:val="none"/>
        </w:rPr>
      </w:pPr>
      <w:r>
        <w:rPr>
          <w:rFonts w:hint="eastAsia" w:ascii="宋体" w:hAnsi="宋体"/>
          <w:color w:val="auto"/>
          <w:sz w:val="24"/>
          <w:highlight w:val="none"/>
        </w:rPr>
        <w:t>经委托人审查认可的本工程正式的工程地质勘察报告、施工图纸、说明以及会审记录、有关工程洽商的技术、施工洽商记录、设计修改和变更文件；</w:t>
      </w:r>
    </w:p>
    <w:p w14:paraId="25C947F9">
      <w:pPr>
        <w:numPr>
          <w:ilvl w:val="0"/>
          <w:numId w:val="2"/>
        </w:numPr>
        <w:spacing w:line="360" w:lineRule="auto"/>
        <w:rPr>
          <w:rFonts w:ascii="宋体"/>
          <w:color w:val="auto"/>
          <w:sz w:val="24"/>
          <w:highlight w:val="none"/>
        </w:rPr>
      </w:pPr>
      <w:r>
        <w:rPr>
          <w:rFonts w:hint="eastAsia" w:ascii="宋体" w:hAnsi="宋体"/>
          <w:color w:val="auto"/>
          <w:sz w:val="24"/>
          <w:highlight w:val="none"/>
        </w:rPr>
        <w:t>省、市现行的有关工程预结算定额和文件；</w:t>
      </w:r>
    </w:p>
    <w:p w14:paraId="3986482B">
      <w:pPr>
        <w:numPr>
          <w:ilvl w:val="0"/>
          <w:numId w:val="2"/>
        </w:numPr>
        <w:spacing w:line="360" w:lineRule="auto"/>
        <w:ind w:left="0" w:firstLine="480" w:firstLineChars="200"/>
        <w:rPr>
          <w:rFonts w:ascii="宋体"/>
          <w:color w:val="auto"/>
          <w:sz w:val="24"/>
          <w:highlight w:val="none"/>
        </w:rPr>
      </w:pPr>
      <w:r>
        <w:rPr>
          <w:rFonts w:hint="eastAsia" w:ascii="宋体" w:hAnsi="宋体"/>
          <w:color w:val="auto"/>
          <w:sz w:val="24"/>
          <w:highlight w:val="none"/>
        </w:rPr>
        <w:t>国家和广州地区现行的设计规范（规程）、建筑工程质量检验评定标准、施工和验收规范；</w:t>
      </w:r>
    </w:p>
    <w:p w14:paraId="41EF0727">
      <w:pPr>
        <w:numPr>
          <w:ilvl w:val="0"/>
          <w:numId w:val="2"/>
        </w:numPr>
        <w:spacing w:line="360" w:lineRule="auto"/>
        <w:rPr>
          <w:rFonts w:ascii="宋体"/>
          <w:color w:val="auto"/>
          <w:sz w:val="24"/>
          <w:highlight w:val="none"/>
        </w:rPr>
      </w:pPr>
      <w:r>
        <w:rPr>
          <w:rFonts w:hint="eastAsia" w:ascii="宋体" w:hAnsi="宋体"/>
          <w:color w:val="auto"/>
          <w:sz w:val="24"/>
          <w:highlight w:val="none"/>
        </w:rPr>
        <w:t>《建设工程监理规范》（</w:t>
      </w:r>
      <w:r>
        <w:rPr>
          <w:rFonts w:ascii="宋体" w:hAnsi="宋体"/>
          <w:color w:val="auto"/>
          <w:sz w:val="24"/>
          <w:highlight w:val="none"/>
        </w:rPr>
        <w:t>GB50319—2013</w:t>
      </w:r>
      <w:r>
        <w:rPr>
          <w:rFonts w:hint="eastAsia" w:ascii="宋体" w:hAnsi="宋体"/>
          <w:color w:val="auto"/>
          <w:sz w:val="24"/>
          <w:highlight w:val="none"/>
        </w:rPr>
        <w:t>）；</w:t>
      </w:r>
    </w:p>
    <w:p w14:paraId="5C41482E">
      <w:pPr>
        <w:numPr>
          <w:ilvl w:val="0"/>
          <w:numId w:val="2"/>
        </w:numPr>
        <w:spacing w:line="360" w:lineRule="auto"/>
        <w:rPr>
          <w:rFonts w:ascii="宋体"/>
          <w:color w:val="auto"/>
          <w:sz w:val="24"/>
          <w:highlight w:val="none"/>
        </w:rPr>
      </w:pPr>
      <w:r>
        <w:rPr>
          <w:rFonts w:hint="eastAsia" w:ascii="宋体" w:hAnsi="宋体"/>
          <w:color w:val="auto"/>
          <w:sz w:val="24"/>
          <w:highlight w:val="none"/>
        </w:rPr>
        <w:t>委托人发出的有关本合同工程建设的指令；</w:t>
      </w:r>
    </w:p>
    <w:p w14:paraId="61FB0978">
      <w:pPr>
        <w:numPr>
          <w:ilvl w:val="0"/>
          <w:numId w:val="2"/>
        </w:numPr>
        <w:spacing w:line="360" w:lineRule="auto"/>
        <w:rPr>
          <w:rFonts w:ascii="宋体"/>
          <w:color w:val="auto"/>
          <w:sz w:val="24"/>
          <w:highlight w:val="none"/>
        </w:rPr>
      </w:pPr>
      <w:r>
        <w:rPr>
          <w:rFonts w:hint="eastAsia" w:ascii="宋体" w:hAnsi="宋体"/>
          <w:color w:val="auto"/>
          <w:sz w:val="24"/>
          <w:highlight w:val="none"/>
        </w:rPr>
        <w:t>委托人制定的有关本合同工程建设的管理制度；</w:t>
      </w:r>
    </w:p>
    <w:p w14:paraId="641010FC">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10、经委托人审批认可，由监理人编制的监理规划；</w:t>
      </w:r>
    </w:p>
    <w:p w14:paraId="6A56C239">
      <w:pPr>
        <w:spacing w:line="360" w:lineRule="auto"/>
        <w:ind w:firstLine="480"/>
        <w:jc w:val="left"/>
        <w:rPr>
          <w:rFonts w:hint="eastAsia" w:ascii="宋体" w:hAnsi="宋体"/>
          <w:color w:val="auto"/>
          <w:sz w:val="24"/>
          <w:highlight w:val="none"/>
        </w:rPr>
      </w:pPr>
      <w:r>
        <w:rPr>
          <w:rFonts w:ascii="宋体" w:hAnsi="宋体"/>
          <w:color w:val="auto"/>
          <w:sz w:val="24"/>
          <w:highlight w:val="none"/>
        </w:rPr>
        <w:t>11</w:t>
      </w:r>
      <w:r>
        <w:rPr>
          <w:rFonts w:hint="eastAsia" w:ascii="宋体" w:hAnsi="宋体"/>
          <w:color w:val="auto"/>
          <w:sz w:val="24"/>
          <w:highlight w:val="none"/>
        </w:rPr>
        <w:t>、其他通行的行业标准及行业规范。</w:t>
      </w:r>
    </w:p>
    <w:p w14:paraId="057890E7">
      <w:pPr>
        <w:adjustRightInd w:val="0"/>
        <w:snapToGrid w:val="0"/>
        <w:spacing w:line="360" w:lineRule="auto"/>
        <w:ind w:firstLine="482" w:firstLineChars="200"/>
        <w:rPr>
          <w:rFonts w:ascii="宋体"/>
          <w:color w:val="auto"/>
          <w:sz w:val="24"/>
          <w:highlight w:val="none"/>
        </w:rPr>
      </w:pPr>
      <w:r>
        <w:rPr>
          <w:rFonts w:hint="eastAsia" w:ascii="宋体" w:hAnsi="宋体"/>
          <w:b/>
          <w:color w:val="auto"/>
          <w:sz w:val="24"/>
          <w:highlight w:val="none"/>
        </w:rPr>
        <w:t>第</w:t>
      </w:r>
      <w:r>
        <w:rPr>
          <w:rFonts w:hint="eastAsia" w:ascii="宋体" w:hAnsi="宋体"/>
          <w:b/>
          <w:color w:val="auto"/>
          <w:sz w:val="24"/>
          <w:highlight w:val="none"/>
          <w:lang w:val="en-US" w:eastAsia="zh-CN"/>
        </w:rPr>
        <w:t>三</w:t>
      </w:r>
      <w:r>
        <w:rPr>
          <w:rFonts w:hint="eastAsia" w:ascii="宋体" w:hAnsi="宋体"/>
          <w:b/>
          <w:color w:val="auto"/>
          <w:sz w:val="24"/>
          <w:highlight w:val="none"/>
        </w:rPr>
        <w:t>条</w:t>
      </w:r>
      <w:r>
        <w:rPr>
          <w:rFonts w:ascii="宋体" w:hAnsi="宋体"/>
          <w:b/>
          <w:color w:val="auto"/>
          <w:sz w:val="24"/>
          <w:highlight w:val="none"/>
        </w:rPr>
        <w:t xml:space="preserve"> </w:t>
      </w:r>
      <w:r>
        <w:rPr>
          <w:rFonts w:hint="eastAsia" w:ascii="宋体" w:hAnsi="宋体"/>
          <w:b/>
          <w:color w:val="auto"/>
          <w:sz w:val="24"/>
          <w:highlight w:val="none"/>
        </w:rPr>
        <w:t>监理范围、监理工作内容及监理机构</w:t>
      </w:r>
    </w:p>
    <w:p w14:paraId="6F7A36BA">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（一）监理范围</w:t>
      </w:r>
    </w:p>
    <w:p w14:paraId="27A49F1E">
      <w:pPr>
        <w:adjustRightInd w:val="0"/>
        <w:snapToGrid w:val="0"/>
        <w:spacing w:line="360" w:lineRule="auto"/>
        <w:ind w:left="239" w:leftChars="114" w:firstLine="120" w:firstLineChars="50"/>
        <w:rPr>
          <w:rFonts w:hint="eastAsia" w:ascii="宋体" w:hAnsi="宋体"/>
          <w:color w:val="auto"/>
          <w:sz w:val="24"/>
          <w:highlight w:val="none"/>
        </w:rPr>
      </w:pPr>
      <w:r>
        <w:rPr>
          <w:rFonts w:hint="eastAsia" w:ascii="宋体" w:hAnsi="宋体"/>
          <w:color w:val="auto"/>
          <w:sz w:val="24"/>
          <w:highlight w:val="none"/>
        </w:rPr>
        <w:t>负责本</w:t>
      </w:r>
      <w:r>
        <w:rPr>
          <w:rFonts w:hint="eastAsia" w:ascii="宋体" w:hAnsi="宋体"/>
          <w:color w:val="auto"/>
          <w:sz w:val="24"/>
          <w:highlight w:val="none"/>
        </w:rPr>
        <w:t>工程建设范围的所有工程内容的全过程监理，包括</w:t>
      </w:r>
      <w:r>
        <w:rPr>
          <w:rFonts w:hint="eastAsia" w:ascii="宋体" w:hAnsi="宋体"/>
          <w:color w:val="auto"/>
          <w:sz w:val="24"/>
          <w:highlight w:val="none"/>
          <w:u w:val="single"/>
          <w:lang w:val="en-US" w:eastAsia="zh-CN"/>
        </w:rPr>
        <w:t>塔楼、裙楼及用地红线内的主体结构、电气工程、给排水工程、消防系统、智能化工程、外立面、园林绿化、道路、市政综合管线及永久围墙</w:t>
      </w:r>
      <w:r>
        <w:rPr>
          <w:rFonts w:hint="eastAsia" w:ascii="宋体" w:hAnsi="宋体"/>
          <w:color w:val="auto"/>
          <w:sz w:val="24"/>
          <w:highlight w:val="none"/>
          <w:u w:val="single"/>
        </w:rPr>
        <w:t>等，建筑面积约【9</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rPr>
        <w:t>652603】万平方米</w:t>
      </w:r>
      <w:r>
        <w:rPr>
          <w:rFonts w:hint="eastAsia" w:ascii="宋体" w:hAnsi="宋体"/>
          <w:color w:val="auto"/>
          <w:sz w:val="24"/>
          <w:highlight w:val="none"/>
        </w:rPr>
        <w:t>；包括施工准备阶段、施工阶段、工程收尾阶段（包括但不限于竣工验收、整改、工程移交、实物移交及工程结算）及工程质量保修期阶段的质量控制，安全生产监督管理、投资控制、进度控制、合同管理、信息管理、组织协调、档案管理等全过程监理工作（含项目管理）工作。</w:t>
      </w:r>
    </w:p>
    <w:p w14:paraId="2BD1955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工程实施全过程（包括但不限于建筑、结构、电气、高压外电、永久用水、给排水、临水临电、电梯、消防、安防、智能化、光纤入户、通信（含5G信号覆盖）、工艺暖通、工艺电气、自控、环保、气象防雷、空调通风、市政排水、道路、环境绿化、低压供电、二次装修、幕墙（如有）、白蚁防治、绿色建筑、海绵城市、水土保持、发电机等专业的实施阶段）及工程保修阶段的</w:t>
      </w:r>
      <w:r>
        <w:rPr>
          <w:rFonts w:hint="eastAsia" w:ascii="宋体" w:hAnsi="宋体"/>
          <w:color w:val="auto"/>
          <w:sz w:val="24"/>
          <w:highlight w:val="none"/>
        </w:rPr>
        <w:t>监理和工程交工、竣工、工程建设档案资料收集整理、过程造价审核、工程结算审核等相关工作。</w:t>
      </w:r>
    </w:p>
    <w:p w14:paraId="72D439D6">
      <w:pPr>
        <w:adjustRightInd w:val="0"/>
        <w:snapToGrid w:val="0"/>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①除上述工作范围外，监理人还须按委托人的要求提前进场参与开工前期的准备和筹划工作，协助委托人制定工程管理办法、各参建方职责及有关事务性工作等。</w:t>
      </w:r>
    </w:p>
    <w:p w14:paraId="358D0BA2">
      <w:pPr>
        <w:adjustRightInd w:val="0"/>
        <w:snapToGrid w:val="0"/>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②配合委托人完成各个阶段的规划、国土、消防、人防、环保、绿色建筑、节能等政府部门审批环节的报建报批工作。协助办理工程开工、报批及验收所需的各项手续，包括但不限于施工许可证、报建手续、临水、临电报批及临时设施设置、施工占道手续、余泥排放证、排污手续、排水接驳、水质检测、排水许可证、排污口规范化、环保检测、环保验收、消防验收、防雷验收、白蚁防治、海绵城市</w:t>
      </w:r>
      <w:r>
        <w:rPr>
          <w:rFonts w:hint="eastAsia" w:ascii="宋体" w:hAnsi="宋体"/>
          <w:color w:val="auto"/>
          <w:sz w:val="24"/>
          <w:highlight w:val="none"/>
        </w:rPr>
        <w:t>、水土保持、</w:t>
      </w:r>
      <w:r>
        <w:rPr>
          <w:rFonts w:hint="eastAsia" w:ascii="宋体" w:hAnsi="宋体"/>
          <w:color w:val="auto"/>
          <w:sz w:val="24"/>
          <w:highlight w:val="none"/>
        </w:rPr>
        <w:t>节能备案、永久用水、永久用电、竣工验收备案。</w:t>
      </w:r>
    </w:p>
    <w:p w14:paraId="181ADDB3">
      <w:pPr>
        <w:adjustRightInd w:val="0"/>
        <w:snapToGrid w:val="0"/>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③包括项目实施阶段的施工前期准备、施工管理、施工图会审、进度款和变更审核、投资控制、竣工验收、工程结算、资产移交、质量保修等工作，并对工程项目进行质量、进度、投资、合同、信息、环保、安全文明施工等方面进行有效管理和控制，直至办理竣工验收手续和工程结算、质量保修期满等的全过程监理服务和工程相关协调工作。具体的监理工程量，以各子项目的设计图纸为准。</w:t>
      </w:r>
    </w:p>
    <w:p w14:paraId="3DC00E2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专业包含但不限于：</w:t>
      </w:r>
    </w:p>
    <w:p w14:paraId="55FFF26C">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1）土建工程：</w:t>
      </w:r>
      <w:r>
        <w:rPr>
          <w:rFonts w:hint="eastAsia" w:ascii="宋体" w:hAnsi="宋体"/>
          <w:color w:val="auto"/>
          <w:sz w:val="24"/>
          <w:highlight w:val="none"/>
        </w:rPr>
        <w:t>土石方工程（土石方外运运距自行考虑）、挡土墙工程、地基与基础工程，主体结构工程，屋面工程，门窗工程，墙面工程，装修装饰工程，楼地面工程（含散水、台阶等）</w:t>
      </w:r>
      <w:r>
        <w:rPr>
          <w:rFonts w:hint="eastAsia" w:ascii="仿宋" w:hAnsi="仿宋" w:eastAsia="仿宋" w:cs="仿宋"/>
          <w:color w:val="auto"/>
          <w:sz w:val="24"/>
          <w:highlight w:val="none"/>
          <w:lang w:bidi="ar"/>
        </w:rPr>
        <w:t>、</w:t>
      </w:r>
      <w:r>
        <w:rPr>
          <w:rFonts w:hint="eastAsia" w:ascii="宋体" w:hAnsi="宋体"/>
          <w:color w:val="auto"/>
          <w:sz w:val="24"/>
          <w:highlight w:val="none"/>
        </w:rPr>
        <w:t>吊车工程及室外工程、室外围墙等</w:t>
      </w:r>
      <w:r>
        <w:rPr>
          <w:rFonts w:ascii="宋体" w:hAnsi="宋体"/>
          <w:color w:val="auto"/>
          <w:sz w:val="24"/>
          <w:highlight w:val="none"/>
        </w:rPr>
        <w:t>。</w:t>
      </w:r>
    </w:p>
    <w:p w14:paraId="612896E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2）钢结构工程（如有）。</w:t>
      </w:r>
    </w:p>
    <w:p w14:paraId="5814A80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3）设备安装工程：</w:t>
      </w:r>
      <w:r>
        <w:rPr>
          <w:rFonts w:hint="eastAsia" w:ascii="宋体" w:hAnsi="宋体"/>
          <w:color w:val="auto"/>
          <w:sz w:val="24"/>
          <w:highlight w:val="none"/>
        </w:rPr>
        <w:t>消防工程、电气工程（含临时供电、永久供电等）、泛光照明工程、给排水工程（含临时供水、永久供水等），弱电工程（含智能化、网络、5G信号覆盖</w:t>
      </w:r>
      <w:r>
        <w:rPr>
          <w:rFonts w:hint="eastAsia" w:ascii="宋体" w:hAnsi="宋体"/>
          <w:color w:val="auto"/>
          <w:sz w:val="24"/>
          <w:highlight w:val="none"/>
          <w:lang w:bidi="ar"/>
        </w:rPr>
        <w:t>、光纤入户</w:t>
      </w:r>
      <w:r>
        <w:rPr>
          <w:rFonts w:hint="eastAsia" w:ascii="宋体" w:hAnsi="宋体"/>
          <w:color w:val="auto"/>
          <w:sz w:val="24"/>
          <w:highlight w:val="none"/>
        </w:rPr>
        <w:t>等），通风空调设备采购与安装工程、电梯采购与安装等。</w:t>
      </w:r>
    </w:p>
    <w:p w14:paraId="7A3A5406">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4）专业工程</w:t>
      </w:r>
      <w:r>
        <w:rPr>
          <w:rFonts w:hint="eastAsia" w:ascii="宋体" w:hAnsi="宋体"/>
          <w:color w:val="auto"/>
          <w:sz w:val="24"/>
          <w:highlight w:val="none"/>
        </w:rPr>
        <w:t>：</w:t>
      </w:r>
      <w:r>
        <w:rPr>
          <w:rFonts w:ascii="宋体" w:hAnsi="宋体"/>
          <w:color w:val="auto"/>
          <w:sz w:val="24"/>
          <w:highlight w:val="none"/>
        </w:rPr>
        <w:t>幕墙</w:t>
      </w:r>
      <w:r>
        <w:rPr>
          <w:rFonts w:hint="eastAsia" w:ascii="宋体" w:hAnsi="宋体"/>
          <w:color w:val="auto"/>
          <w:sz w:val="24"/>
          <w:highlight w:val="none"/>
        </w:rPr>
        <w:t>（如有）</w:t>
      </w:r>
      <w:r>
        <w:rPr>
          <w:rFonts w:ascii="宋体" w:hAnsi="宋体"/>
          <w:color w:val="auto"/>
          <w:sz w:val="24"/>
          <w:highlight w:val="none"/>
        </w:rPr>
        <w:t>、空调通风、发电机房、</w:t>
      </w:r>
      <w:r>
        <w:rPr>
          <w:rFonts w:hint="eastAsia" w:ascii="宋体" w:hAnsi="宋体"/>
          <w:color w:val="auto"/>
          <w:sz w:val="24"/>
          <w:highlight w:val="none"/>
        </w:rPr>
        <w:t>自控、</w:t>
      </w:r>
      <w:r>
        <w:rPr>
          <w:rFonts w:ascii="宋体" w:hAnsi="宋体"/>
          <w:color w:val="auto"/>
          <w:sz w:val="24"/>
          <w:highlight w:val="none"/>
          <w:lang w:bidi="ar"/>
        </w:rPr>
        <w:t>工艺暖通、工艺电气、</w:t>
      </w:r>
      <w:r>
        <w:rPr>
          <w:rFonts w:ascii="宋体" w:hAnsi="宋体"/>
          <w:color w:val="auto"/>
          <w:sz w:val="24"/>
          <w:highlight w:val="none"/>
        </w:rPr>
        <w:t>抗震支架、综合管线、标识系统、地面处理、交通划线、</w:t>
      </w:r>
      <w:r>
        <w:rPr>
          <w:rFonts w:hint="eastAsia" w:ascii="宋体" w:hAnsi="宋体"/>
          <w:color w:val="auto"/>
          <w:sz w:val="24"/>
          <w:highlight w:val="none"/>
        </w:rPr>
        <w:t>白蚁防治</w:t>
      </w:r>
      <w:r>
        <w:rPr>
          <w:rFonts w:hint="eastAsia" w:ascii="宋体" w:hAnsi="宋体"/>
          <w:color w:val="auto"/>
          <w:sz w:val="24"/>
          <w:highlight w:val="none"/>
        </w:rPr>
        <w:t>、</w:t>
      </w:r>
      <w:r>
        <w:rPr>
          <w:rFonts w:hint="eastAsia" w:ascii="宋体" w:hAnsi="宋体"/>
          <w:color w:val="auto"/>
          <w:sz w:val="24"/>
          <w:highlight w:val="none"/>
        </w:rPr>
        <w:t>水土保持、防雷工程、</w:t>
      </w:r>
      <w:r>
        <w:rPr>
          <w:rFonts w:ascii="宋体" w:hAnsi="宋体"/>
          <w:color w:val="auto"/>
          <w:sz w:val="24"/>
          <w:highlight w:val="none"/>
        </w:rPr>
        <w:t>防水工程等。</w:t>
      </w:r>
    </w:p>
    <w:p w14:paraId="56EDBDB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5）建筑装修工程、精装修工程及交付使用的各项配套工程。</w:t>
      </w:r>
    </w:p>
    <w:p w14:paraId="68A2550F">
      <w:pPr>
        <w:spacing w:line="360" w:lineRule="auto"/>
        <w:ind w:firstLine="523" w:firstLineChars="218"/>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6）道路、市政供电、市政给排水、景观、园林绿化</w:t>
      </w:r>
      <w:r>
        <w:rPr>
          <w:rFonts w:hint="eastAsia" w:ascii="宋体" w:hAnsi="宋体"/>
          <w:color w:val="auto"/>
          <w:sz w:val="24"/>
          <w:highlight w:val="none"/>
        </w:rPr>
        <w:t>、绿色建筑、海绵城市</w:t>
      </w:r>
      <w:r>
        <w:rPr>
          <w:rFonts w:ascii="宋体" w:hAnsi="宋体"/>
          <w:color w:val="auto"/>
          <w:sz w:val="24"/>
          <w:highlight w:val="none"/>
        </w:rPr>
        <w:t>等工程（含红线外接驳）</w:t>
      </w:r>
      <w:r>
        <w:rPr>
          <w:rFonts w:hint="eastAsia" w:ascii="宋体" w:hAnsi="宋体"/>
          <w:color w:val="auto"/>
          <w:sz w:val="24"/>
          <w:highlight w:val="none"/>
        </w:rPr>
        <w:t>。</w:t>
      </w:r>
    </w:p>
    <w:p w14:paraId="722538C6">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具体工作包括但不限于：</w:t>
      </w:r>
    </w:p>
    <w:p w14:paraId="2FB9C228">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1、项目设计管理工作内容</w:t>
      </w:r>
    </w:p>
    <w:p w14:paraId="5BA387C9">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1）建立工程监理（含项目管理）组织机构，制订项目</w:t>
      </w:r>
      <w:r>
        <w:rPr>
          <w:rFonts w:hint="eastAsia" w:ascii="宋体" w:hAnsi="宋体"/>
          <w:color w:val="auto"/>
          <w:sz w:val="24"/>
          <w:highlight w:val="none"/>
        </w:rPr>
        <w:t>监理</w:t>
      </w:r>
      <w:r>
        <w:rPr>
          <w:rFonts w:ascii="宋体" w:hAnsi="宋体"/>
          <w:color w:val="auto"/>
          <w:sz w:val="24"/>
          <w:highlight w:val="none"/>
        </w:rPr>
        <w:t>总体控制目标，及各阶段目标</w:t>
      </w:r>
      <w:r>
        <w:rPr>
          <w:rFonts w:hint="eastAsia" w:ascii="宋体" w:hAnsi="宋体"/>
          <w:color w:val="auto"/>
          <w:sz w:val="24"/>
          <w:highlight w:val="none"/>
        </w:rPr>
        <w:t>，</w:t>
      </w:r>
      <w:r>
        <w:rPr>
          <w:rFonts w:ascii="宋体" w:hAnsi="宋体"/>
          <w:color w:val="auto"/>
          <w:sz w:val="24"/>
          <w:highlight w:val="none"/>
        </w:rPr>
        <w:t>并报委托人审批后执行。</w:t>
      </w:r>
    </w:p>
    <w:p w14:paraId="550B590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2）协调各项目各层面、各相关单位、各项工作关系，协调项目外部关系。</w:t>
      </w:r>
    </w:p>
    <w:p w14:paraId="33529E9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3）定期（每周）组织召开工程例会或各项专题会，汇报项目总体进展，研究解决存在问题。</w:t>
      </w:r>
    </w:p>
    <w:p w14:paraId="536B7794">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）协助委托人组织专项审查，包括但不限于：交通评估的审查、环境影响评价的审查、消防性能化论证、深基坑审查、</w:t>
      </w:r>
      <w:r>
        <w:rPr>
          <w:rFonts w:hint="eastAsia" w:ascii="宋体" w:hAnsi="宋体"/>
          <w:color w:val="auto"/>
          <w:sz w:val="24"/>
          <w:highlight w:val="none"/>
        </w:rPr>
        <w:t>高支模审查、</w:t>
      </w:r>
      <w:r>
        <w:rPr>
          <w:rFonts w:ascii="宋体" w:hAnsi="宋体"/>
          <w:color w:val="auto"/>
          <w:sz w:val="24"/>
          <w:highlight w:val="none"/>
        </w:rPr>
        <w:t>建筑节能审查等。</w:t>
      </w:r>
    </w:p>
    <w:p w14:paraId="3A92F691">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）对项目全过程进行投资控制管理。</w:t>
      </w:r>
    </w:p>
    <w:p w14:paraId="5F596904">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）进行各承包人有关条款跟踪管理，处理各承包人合同条款中有关的索赔与反索赔事宜，为</w:t>
      </w:r>
      <w:r>
        <w:rPr>
          <w:rFonts w:hint="eastAsia" w:ascii="宋体" w:hAnsi="宋体"/>
          <w:color w:val="auto"/>
          <w:sz w:val="24"/>
          <w:highlight w:val="none"/>
        </w:rPr>
        <w:t>诉讼/仲裁</w:t>
      </w:r>
      <w:r>
        <w:rPr>
          <w:rFonts w:ascii="宋体" w:hAnsi="宋体"/>
          <w:color w:val="auto"/>
          <w:sz w:val="24"/>
          <w:highlight w:val="none"/>
        </w:rPr>
        <w:t>提供正确的全面的维护委托人正当权益的法律凭证。</w:t>
      </w:r>
    </w:p>
    <w:p w14:paraId="7773B623">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）对重要的需求、设计调整及相关的专题会议、协调会议应做好完备的</w:t>
      </w:r>
      <w:r>
        <w:rPr>
          <w:rFonts w:hint="eastAsia" w:ascii="宋体" w:hAnsi="宋体"/>
          <w:color w:val="auto"/>
          <w:sz w:val="24"/>
          <w:highlight w:val="none"/>
          <w:lang w:eastAsia="zh-CN"/>
        </w:rPr>
        <w:t>台账管理</w:t>
      </w:r>
      <w:r>
        <w:rPr>
          <w:rFonts w:ascii="宋体" w:hAnsi="宋体"/>
          <w:color w:val="auto"/>
          <w:sz w:val="24"/>
          <w:highlight w:val="none"/>
        </w:rPr>
        <w:t>，做到易查看、可追溯，并每</w:t>
      </w:r>
      <w:r>
        <w:rPr>
          <w:rFonts w:hint="eastAsia" w:ascii="宋体" w:hAnsi="宋体"/>
          <w:color w:val="auto"/>
          <w:sz w:val="24"/>
          <w:highlight w:val="none"/>
        </w:rPr>
        <w:t>月</w:t>
      </w:r>
      <w:r>
        <w:rPr>
          <w:rFonts w:ascii="宋体" w:hAnsi="宋体"/>
          <w:color w:val="auto"/>
          <w:sz w:val="24"/>
          <w:highlight w:val="none"/>
        </w:rPr>
        <w:t>向委托人提交台账副本。</w:t>
      </w:r>
    </w:p>
    <w:p w14:paraId="2F70D2E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）协助委托人组织专家认证、施工图设计各阶段与设计单位的联络和协调工作，确保项目设计按批准的建设规模、功能、标准和工期顺利实施。</w:t>
      </w:r>
    </w:p>
    <w:p w14:paraId="4190EE7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）在设计交底前，总监理工程师应组织监理人员熟悉设计文件，并对图纸中存在的问题通过委托人向设计单位提出书面意见和建议。</w:t>
      </w:r>
    </w:p>
    <w:p w14:paraId="4EC3394B">
      <w:pPr>
        <w:adjustRightInd w:val="0"/>
        <w:snapToGrid w:val="0"/>
        <w:spacing w:line="360" w:lineRule="auto"/>
        <w:ind w:firstLine="480" w:firstLineChars="200"/>
        <w:rPr>
          <w:rFonts w:hint="eastAsia" w:ascii="宋体" w:hAnsi="宋体"/>
          <w:color w:val="auto"/>
          <w:sz w:val="24"/>
          <w:highlight w:val="none"/>
          <w:shd w:val="clear" w:color="FFFFFF" w:fill="auto"/>
        </w:rPr>
      </w:pPr>
      <w:r>
        <w:rPr>
          <w:rFonts w:hint="eastAsia" w:ascii="宋体" w:hAnsi="宋体"/>
          <w:color w:val="auto"/>
          <w:sz w:val="24"/>
          <w:highlight w:val="none"/>
        </w:rPr>
        <w:t>（10</w:t>
      </w:r>
      <w:r>
        <w:rPr>
          <w:rFonts w:ascii="宋体" w:hAnsi="宋体"/>
          <w:color w:val="auto"/>
          <w:sz w:val="24"/>
          <w:highlight w:val="none"/>
        </w:rPr>
        <w:t>）</w:t>
      </w:r>
      <w:r>
        <w:rPr>
          <w:rFonts w:hint="eastAsia" w:ascii="宋体" w:hAnsi="宋体"/>
          <w:color w:val="auto"/>
          <w:sz w:val="24"/>
          <w:highlight w:val="none"/>
          <w:shd w:val="clear" w:color="FFFFFF" w:fill="auto"/>
        </w:rPr>
        <w:t>督促并检查设计、施工总承包单位运用</w:t>
      </w:r>
      <w:r>
        <w:rPr>
          <w:rFonts w:ascii="宋体" w:hAnsi="宋体"/>
          <w:color w:val="auto"/>
          <w:sz w:val="24"/>
          <w:highlight w:val="none"/>
          <w:shd w:val="clear" w:color="FFFFFF" w:fill="auto"/>
        </w:rPr>
        <w:t>BIM技术完成相关工作管线综合</w:t>
      </w:r>
      <w:r>
        <w:rPr>
          <w:rFonts w:hint="eastAsia" w:ascii="宋体" w:hAnsi="宋体"/>
          <w:color w:val="auto"/>
          <w:sz w:val="24"/>
          <w:highlight w:val="none"/>
          <w:shd w:val="clear" w:color="FFFFFF" w:fill="auto"/>
        </w:rPr>
        <w:t>，</w:t>
      </w:r>
      <w:r>
        <w:rPr>
          <w:rFonts w:ascii="宋体" w:hAnsi="宋体"/>
          <w:color w:val="auto"/>
          <w:sz w:val="24"/>
          <w:highlight w:val="none"/>
          <w:shd w:val="clear" w:color="FFFFFF" w:fill="auto"/>
        </w:rPr>
        <w:t>并收集相关应用成果；</w:t>
      </w:r>
    </w:p>
    <w:p w14:paraId="617C418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（11）监理需建立各专业图纸</w:t>
      </w:r>
      <w:r>
        <w:rPr>
          <w:rFonts w:hint="eastAsia" w:ascii="宋体" w:hAnsi="宋体"/>
          <w:color w:val="auto"/>
          <w:sz w:val="24"/>
          <w:highlight w:val="none"/>
          <w:lang w:eastAsia="zh-CN"/>
        </w:rPr>
        <w:t>台账</w:t>
      </w:r>
      <w:r>
        <w:rPr>
          <w:rFonts w:hint="eastAsia" w:ascii="宋体" w:hAnsi="宋体"/>
          <w:color w:val="auto"/>
          <w:sz w:val="24"/>
          <w:highlight w:val="none"/>
        </w:rPr>
        <w:t>、变更</w:t>
      </w:r>
      <w:r>
        <w:rPr>
          <w:rFonts w:hint="eastAsia" w:ascii="宋体" w:hAnsi="宋体"/>
          <w:color w:val="auto"/>
          <w:sz w:val="24"/>
          <w:highlight w:val="none"/>
          <w:lang w:eastAsia="zh-CN"/>
        </w:rPr>
        <w:t>台账及</w:t>
      </w:r>
      <w:r>
        <w:rPr>
          <w:rFonts w:hint="eastAsia" w:ascii="宋体" w:hAnsi="宋体"/>
          <w:color w:val="auto"/>
          <w:sz w:val="24"/>
          <w:highlight w:val="none"/>
        </w:rPr>
        <w:t>支付台账。</w:t>
      </w:r>
    </w:p>
    <w:p w14:paraId="17973AD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、报建报批管理</w:t>
      </w:r>
    </w:p>
    <w:p w14:paraId="23EB370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1）对各项目建设需要开展的相关专题研究以及需要办理的相关手续进行梳理，根据总体工作计划要求进行报批报建工作策划。</w:t>
      </w:r>
    </w:p>
    <w:p w14:paraId="5EDD09B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2）根据各项目建设内容编制报建报批工作计划，督促审核施工总承包单位及时办理项目前期及工程建设期间的各项报批报建手续(包括但不限于：办理土地、规划、</w:t>
      </w:r>
      <w:r>
        <w:rPr>
          <w:rFonts w:hint="eastAsia" w:ascii="宋体" w:hAnsi="宋体"/>
          <w:color w:val="auto"/>
          <w:sz w:val="24"/>
          <w:highlight w:val="none"/>
        </w:rPr>
        <w:t>城市轨道交通、</w:t>
      </w:r>
      <w:r>
        <w:rPr>
          <w:rFonts w:ascii="宋体" w:hAnsi="宋体"/>
          <w:color w:val="auto"/>
          <w:sz w:val="24"/>
          <w:highlight w:val="none"/>
        </w:rPr>
        <w:t>建设、环保、消防、</w:t>
      </w:r>
      <w:r>
        <w:rPr>
          <w:rFonts w:hint="eastAsia" w:ascii="宋体" w:hAnsi="宋体"/>
          <w:color w:val="auto"/>
          <w:sz w:val="24"/>
          <w:highlight w:val="none"/>
        </w:rPr>
        <w:t>航空、</w:t>
      </w:r>
      <w:r>
        <w:rPr>
          <w:rFonts w:ascii="宋体" w:hAnsi="宋体"/>
          <w:color w:val="auto"/>
          <w:sz w:val="24"/>
          <w:highlight w:val="none"/>
        </w:rPr>
        <w:t>气象、用电、用水、路口、水土保持、市政接驳等)。</w:t>
      </w:r>
    </w:p>
    <w:p w14:paraId="35D40E4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3、施工准备阶段的监理工作（包括但不限于以下内容）</w:t>
      </w:r>
    </w:p>
    <w:p w14:paraId="13AC2354">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（1）工程项目开工前，总监理工程师应组织专业监理工程师审查承包人报送的施工组织设计(方案)报审表，提出审查意见，并经总监理工程师审核、签认后报委托人审批，未经委托人批准不得实施。</w:t>
      </w:r>
    </w:p>
    <w:p w14:paraId="76ED84B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工程项目开工前，总监理工程师应审查承包人现场项目管理机构的质量管理体系、环境管理体系和安全管理体系，对工程项目施工质量予以确认。对质量管理体系、环境管理体系和安全管理体系应审核以下内容：</w:t>
      </w:r>
    </w:p>
    <w:p w14:paraId="5B4CA9D9">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）质量管理体系、环境管理体系和安全管理体系的组织及职责；</w:t>
      </w:r>
    </w:p>
    <w:p w14:paraId="59837248">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）质量管理体系、环境管理体系和安全管理体系各过程的识别与管理；</w:t>
      </w:r>
    </w:p>
    <w:p w14:paraId="3B5A4BCF">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）质量管理体系、环境管理体系和安全管理体系的持续改进措施。</w:t>
      </w:r>
    </w:p>
    <w:p w14:paraId="2CC44123">
      <w:pPr>
        <w:adjustRightInd w:val="0"/>
        <w:snapToGrid w:val="0"/>
        <w:spacing w:line="360" w:lineRule="auto"/>
        <w:ind w:firstLine="482" w:firstLineChars="201"/>
        <w:rPr>
          <w:rFonts w:hint="eastAsia" w:ascii="宋体" w:hAnsi="宋体"/>
          <w:color w:val="auto"/>
          <w:sz w:val="24"/>
          <w:highlight w:val="none"/>
        </w:rPr>
      </w:pPr>
      <w:r>
        <w:rPr>
          <w:rFonts w:hint="eastAsia" w:ascii="宋体" w:hAnsi="宋体"/>
          <w:color w:val="auto"/>
          <w:sz w:val="24"/>
          <w:highlight w:val="none"/>
        </w:rPr>
        <w:t>（3）分包工程开工前，专业监理工程师应审查承包人报送的分包单位资格报审表和分包单位有关资质资料，符合有关规定后，由总监理工程师予以签认。监理人对分包单位资质审查承担连带责任，如因审查不严导致工程质量问题，监理人应承担相应赔偿责任。监理人需建立分包单位黑名单制度，对不合格分包单位及时向委托人报告。对分包单位资格应审核以下内容：</w:t>
      </w:r>
    </w:p>
    <w:p w14:paraId="40DE390E">
      <w:pPr>
        <w:adjustRightInd w:val="0"/>
        <w:snapToGrid w:val="0"/>
        <w:spacing w:line="360" w:lineRule="auto"/>
        <w:ind w:firstLine="482" w:firstLineChars="201"/>
        <w:rPr>
          <w:rFonts w:hint="eastAsia" w:ascii="宋体" w:hAnsi="宋体"/>
          <w:color w:val="auto"/>
          <w:sz w:val="24"/>
          <w:highlight w:val="none"/>
        </w:rPr>
      </w:pPr>
      <w:r>
        <w:rPr>
          <w:rFonts w:hint="eastAsia" w:ascii="宋体" w:hAnsi="宋体"/>
          <w:color w:val="auto"/>
          <w:sz w:val="24"/>
          <w:highlight w:val="none"/>
        </w:rPr>
        <w:t>1）分包单位的营业执照、企业资质等级证书、特殊行业施工许可证、国外(境外)企业在国内承包工程许可证；</w:t>
      </w:r>
    </w:p>
    <w:p w14:paraId="5545683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2）分包单位的业绩，尤其是类似工程施工的经验；</w:t>
      </w:r>
    </w:p>
    <w:p w14:paraId="1F7D17F1">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3）拟分包工程的内容和范围；</w:t>
      </w:r>
    </w:p>
    <w:p w14:paraId="2482E029">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4）专职管理人员和特种作业人员的资格证、上岗证。</w:t>
      </w:r>
    </w:p>
    <w:p w14:paraId="648234A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（4）专业监理工程师应按以下要求对承包人报送的测量放线控制方案成果及保护措施进行检查，符合要求时，专业监理工程师对承包人报送的施工测量资料予以签认：</w:t>
      </w:r>
    </w:p>
    <w:p w14:paraId="1805412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1）检查承包人专职测量人员的岗位证书及测量设备检定证书；</w:t>
      </w:r>
    </w:p>
    <w:p w14:paraId="0E59E0F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2）审核承包人提交的控制测量方案；</w:t>
      </w:r>
    </w:p>
    <w:p w14:paraId="0578B1D3">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3）复核控制桩的校核成果、控制桩的保护措施以及平面控制网、高程控制网和临时水准点的测量成果。</w:t>
      </w:r>
    </w:p>
    <w:p w14:paraId="0F08A624">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（5）专业监理工程师应审查承包人报送的工程开工报审表及相关资料，具备以下开工条件时，由总监理工程师签发，并报委托人：</w:t>
      </w:r>
    </w:p>
    <w:p w14:paraId="5318AF74">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1）施工许可证已获政府主管部门批准；</w:t>
      </w:r>
    </w:p>
    <w:p w14:paraId="290C0956">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2）征地拆迁工作能满足工程进度的需要；</w:t>
      </w:r>
    </w:p>
    <w:p w14:paraId="414A37E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3）施工组织设计已获总监理工程师批准；</w:t>
      </w:r>
    </w:p>
    <w:p w14:paraId="09F65BE4">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4）承包人现场管理人员已到位，机具、施工人员已进场，主要工程材料已落实；</w:t>
      </w:r>
    </w:p>
    <w:p w14:paraId="45F8375C">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5）进场道路及水、电、通讯等已满足开工要求；</w:t>
      </w:r>
    </w:p>
    <w:p w14:paraId="71F3CE14">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6）施工测量、技术交底、作业指导书等各项技术准备工作是否已经完成。</w:t>
      </w:r>
    </w:p>
    <w:p w14:paraId="07024F4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（6）工程项目开工前，监理人员应参加由委托人主持召开的第一次工地会议。工地会议应包括以下主要内容：</w:t>
      </w:r>
    </w:p>
    <w:p w14:paraId="0311026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1）委托人、承包人和监理人分别介绍各自驻现场的组织机构、人员及其分工；</w:t>
      </w:r>
    </w:p>
    <w:p w14:paraId="0FBFFAD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2）委托人根据委托监理合同宣布对总监理工程师的授权；</w:t>
      </w:r>
    </w:p>
    <w:p w14:paraId="19CF208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3）委托人介绍工程开工准备情况；</w:t>
      </w:r>
    </w:p>
    <w:p w14:paraId="37DBE37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4）承包人介绍施工准备情况；</w:t>
      </w:r>
    </w:p>
    <w:p w14:paraId="432F28C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5）委托人和总监理工程师对施工准备情况提出意见和要求；</w:t>
      </w:r>
    </w:p>
    <w:p w14:paraId="42CFB9F1">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6）总监理工程师介绍监理规划的主要内容；</w:t>
      </w:r>
    </w:p>
    <w:p w14:paraId="43FD2DAA">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7）研究确定各方在施工过程中参加工地例会的主要人员，召开工地例会的周期、地点及主要议题。第一次工地会议纪要应由项目监理机构负责起草，并经与会各方代表会签。</w:t>
      </w:r>
    </w:p>
    <w:p w14:paraId="3D82BFC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（7）制定监理规划</w:t>
      </w:r>
    </w:p>
    <w:p w14:paraId="1679FB18">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1）监理规划的编制应针对项目的实际情况，明确项目监理机构的工作目标，确定具体的监理工作制度、程序、方法和措施，并应具有可操作性。</w:t>
      </w:r>
    </w:p>
    <w:p w14:paraId="22A0517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2）监理规划编制的程序与依据应符合下列规定：</w:t>
      </w:r>
    </w:p>
    <w:p w14:paraId="2BE87498">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a.监理规划应在签订委托监理合同及收到设计文件后开始编制，完成后必须经监理人技术负责人审核批准，并应在召开第一次工地会议前报送委托人；</w:t>
      </w:r>
    </w:p>
    <w:p w14:paraId="4ACFE42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b.监理规划应由总监理工程师主持、专业监理工程师参加编制；</w:t>
      </w:r>
    </w:p>
    <w:p w14:paraId="5FB2686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c.编制监理规划应依据：</w:t>
      </w:r>
    </w:p>
    <w:p w14:paraId="534D49CA">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——建设工程的相关法律、法规及项目审批文件；</w:t>
      </w:r>
    </w:p>
    <w:p w14:paraId="49A5C1C6">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——与建设工程项目有关的标准、设计文件、技术资料；</w:t>
      </w:r>
    </w:p>
    <w:p w14:paraId="2A37D8EB">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——监理大纲、委托监理合同文件以及与建设工程项目相关的合同文件；</w:t>
      </w:r>
    </w:p>
    <w:p w14:paraId="74E76DB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——委托人制定的有关本合同工程建设的管理制度。</w:t>
      </w:r>
    </w:p>
    <w:p w14:paraId="2C73D75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3）监理规划应包括以下主要内容：</w:t>
      </w:r>
    </w:p>
    <w:p w14:paraId="6F30DDD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a.工程项目概况；</w:t>
      </w:r>
    </w:p>
    <w:p w14:paraId="52FE3CE3">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b.监理工作范围；</w:t>
      </w:r>
    </w:p>
    <w:p w14:paraId="0B9E9B69">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c.监理工作内容；</w:t>
      </w:r>
    </w:p>
    <w:p w14:paraId="6B23D0E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d.监理工作目标；</w:t>
      </w:r>
    </w:p>
    <w:p w14:paraId="6DC27BD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e.监理工作依据；</w:t>
      </w:r>
    </w:p>
    <w:p w14:paraId="2DE9D1F9">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f.项目监理机构的组织形式；</w:t>
      </w:r>
    </w:p>
    <w:p w14:paraId="6B090263">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g.项目监理机构的人员配备计划；</w:t>
      </w:r>
    </w:p>
    <w:p w14:paraId="1B02215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h.项目监理机构的人员岗位职责；</w:t>
      </w:r>
    </w:p>
    <w:p w14:paraId="26FE8C1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i.监理工作程序；</w:t>
      </w:r>
    </w:p>
    <w:p w14:paraId="4DD8E6C1">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j.监理工作方法及措施；</w:t>
      </w:r>
    </w:p>
    <w:p w14:paraId="2BEA0C9B">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k.监理工作制度；</w:t>
      </w:r>
    </w:p>
    <w:p w14:paraId="03D214A4">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l.监理设施。</w:t>
      </w:r>
    </w:p>
    <w:p w14:paraId="5B482B9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4）在监理工作实施过程中，如实际情况或条件发生重大变化而需要调整监理规划时，应由总监理工程师组织专业监理工程师研究修改，按原报审程序经过批准后报委托人。</w:t>
      </w:r>
    </w:p>
    <w:p w14:paraId="2A06A91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（8）制定监理实施细则</w:t>
      </w:r>
    </w:p>
    <w:p w14:paraId="0BFDC48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1）项目监理机构应编制监理实施细则。监理实施细则应符合监理规划的要求，并应结合工程项目的专业特点，做到详细具体、具有可操作性。</w:t>
      </w:r>
    </w:p>
    <w:p w14:paraId="0211F7E9">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2）监理实施细则的编制程序与依据应符合下列规定：</w:t>
      </w:r>
    </w:p>
    <w:p w14:paraId="5443F284">
      <w:pPr>
        <w:adjustRightInd w:val="0"/>
        <w:snapToGrid w:val="0"/>
        <w:spacing w:line="360" w:lineRule="auto"/>
        <w:ind w:left="479" w:leftChars="228"/>
        <w:rPr>
          <w:rFonts w:hint="eastAsia" w:ascii="宋体" w:hAnsi="宋体"/>
          <w:color w:val="auto"/>
          <w:sz w:val="24"/>
          <w:highlight w:val="none"/>
        </w:rPr>
      </w:pPr>
      <w:r>
        <w:rPr>
          <w:rFonts w:hint="eastAsia" w:ascii="宋体" w:hAnsi="宋体"/>
          <w:color w:val="auto"/>
          <w:sz w:val="24"/>
          <w:highlight w:val="none"/>
        </w:rPr>
        <w:t>a.监理实施细则应在相应工程施工开始前编制完成，并必须经总监理工程师批准；</w:t>
      </w:r>
    </w:p>
    <w:p w14:paraId="543D8058">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委托人有权要求监理人对实施细则进行修改完善，监理人应在收到意见后3个工作日内完成修订。</w:t>
      </w:r>
    </w:p>
    <w:p w14:paraId="3D8AC2B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b.监理实施细则应由专业监理工程师编制；</w:t>
      </w:r>
    </w:p>
    <w:p w14:paraId="0258EE0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c编制监理实施细则的依据：</w:t>
      </w:r>
    </w:p>
    <w:p w14:paraId="509809C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——已批准的监理规划；</w:t>
      </w:r>
    </w:p>
    <w:p w14:paraId="32D1DC6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——与专业工程相关的标准、设计文件和技术资料；</w:t>
      </w:r>
    </w:p>
    <w:p w14:paraId="33385C16">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——施工组织设计；</w:t>
      </w:r>
    </w:p>
    <w:p w14:paraId="03138791">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——本合同工程的设计、施工、安装招投标文件及合同；</w:t>
      </w:r>
    </w:p>
    <w:p w14:paraId="64E21396">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——委托人制定的有关本合同工程建设的管理制度。</w:t>
      </w:r>
    </w:p>
    <w:p w14:paraId="58B6B616">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3）监理实施细则应包括下列主要内容：</w:t>
      </w:r>
    </w:p>
    <w:p w14:paraId="350B97CA">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a.专业工程的特点；</w:t>
      </w:r>
    </w:p>
    <w:p w14:paraId="381A0DF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b.监理工作的流程；</w:t>
      </w:r>
    </w:p>
    <w:p w14:paraId="25C1A5D3">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c.监理工作的控制要点及目标值；</w:t>
      </w:r>
    </w:p>
    <w:p w14:paraId="2D3E293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d.监理工作的方法及措施。</w:t>
      </w:r>
    </w:p>
    <w:p w14:paraId="752F88D3">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4）在监理工作实施过程中，监理实施细则应根据实际情况进行补充、修改和完善。</w:t>
      </w:r>
    </w:p>
    <w:p w14:paraId="57867299">
      <w:pPr>
        <w:adjustRightInd w:val="0"/>
        <w:snapToGrid w:val="0"/>
        <w:spacing w:line="360" w:lineRule="auto"/>
        <w:ind w:firstLine="470" w:firstLineChars="196"/>
        <w:rPr>
          <w:rFonts w:hint="eastAsia" w:ascii="宋体" w:hAnsi="宋体"/>
          <w:color w:val="auto"/>
          <w:sz w:val="24"/>
          <w:highlight w:val="none"/>
        </w:rPr>
      </w:pPr>
      <w:r>
        <w:rPr>
          <w:rFonts w:hint="eastAsia" w:ascii="宋体" w:hAnsi="宋体"/>
          <w:bCs/>
          <w:color w:val="auto"/>
          <w:sz w:val="24"/>
          <w:highlight w:val="none"/>
        </w:rPr>
        <w:t>（9）</w:t>
      </w:r>
      <w:r>
        <w:rPr>
          <w:rFonts w:hint="eastAsia" w:ascii="宋体" w:hAnsi="宋体"/>
          <w:color w:val="auto"/>
          <w:sz w:val="24"/>
          <w:highlight w:val="none"/>
        </w:rPr>
        <w:t>对</w:t>
      </w:r>
      <w:r>
        <w:rPr>
          <w:rFonts w:ascii="宋体" w:hAnsi="宋体"/>
          <w:color w:val="auto"/>
          <w:sz w:val="24"/>
          <w:highlight w:val="none"/>
        </w:rPr>
        <w:t>合同管理实施控制工作程序化、规范化，建立定期和不定期的协商会办制度，</w:t>
      </w:r>
      <w:r>
        <w:rPr>
          <w:rFonts w:hint="eastAsia" w:ascii="宋体" w:hAnsi="宋体"/>
          <w:color w:val="auto"/>
          <w:sz w:val="24"/>
          <w:highlight w:val="none"/>
        </w:rPr>
        <w:t>根据合同文件的约定及委托人要求的</w:t>
      </w:r>
      <w:r>
        <w:rPr>
          <w:rFonts w:ascii="宋体" w:hAnsi="宋体"/>
          <w:color w:val="auto"/>
          <w:sz w:val="24"/>
          <w:highlight w:val="none"/>
        </w:rPr>
        <w:t>图纸批准程序、工程变更程序、</w:t>
      </w:r>
      <w:r>
        <w:rPr>
          <w:rFonts w:hint="eastAsia" w:ascii="宋体" w:hAnsi="宋体"/>
          <w:color w:val="auto"/>
          <w:sz w:val="24"/>
          <w:highlight w:val="none"/>
        </w:rPr>
        <w:t>承包人</w:t>
      </w:r>
      <w:r>
        <w:rPr>
          <w:rFonts w:ascii="宋体" w:hAnsi="宋体"/>
          <w:color w:val="auto"/>
          <w:sz w:val="24"/>
          <w:highlight w:val="none"/>
        </w:rPr>
        <w:t>索赔程序、</w:t>
      </w:r>
      <w:r>
        <w:rPr>
          <w:rFonts w:hint="eastAsia" w:ascii="宋体" w:hAnsi="宋体"/>
          <w:color w:val="auto"/>
          <w:sz w:val="24"/>
          <w:highlight w:val="none"/>
        </w:rPr>
        <w:t>承包人</w:t>
      </w:r>
      <w:r>
        <w:rPr>
          <w:rFonts w:ascii="宋体" w:hAnsi="宋体"/>
          <w:color w:val="auto"/>
          <w:sz w:val="24"/>
          <w:highlight w:val="none"/>
        </w:rPr>
        <w:t>的账单审查程序、进度付款账单的审查批准程序、工程问题的请示报告程序</w:t>
      </w:r>
      <w:r>
        <w:rPr>
          <w:rFonts w:hint="eastAsia" w:ascii="宋体" w:hAnsi="宋体"/>
          <w:color w:val="auto"/>
          <w:sz w:val="24"/>
          <w:highlight w:val="none"/>
        </w:rPr>
        <w:t>等制定相关表格。</w:t>
      </w:r>
    </w:p>
    <w:p w14:paraId="41389073">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10）工程项目开工前，总监理工程师应组织测量专业的监理人员对委托人提供的勘察单位的地形测量资料进行审查，使用自备仪器按一定比例随机抽点复核地形图的准确性，并就地形图的可靠性、真实性和存在的问题等向委托人提交书面意见和建议。</w:t>
      </w:r>
    </w:p>
    <w:p w14:paraId="33E37EDA">
      <w:pPr>
        <w:adjustRightInd w:val="0"/>
        <w:snapToGrid w:val="0"/>
        <w:spacing w:line="360" w:lineRule="auto"/>
        <w:ind w:firstLine="480" w:firstLineChars="200"/>
        <w:rPr>
          <w:rFonts w:hint="eastAsia" w:ascii="宋体" w:hAnsi="宋体"/>
          <w:color w:val="auto"/>
          <w:spacing w:val="6"/>
          <w:sz w:val="24"/>
          <w:highlight w:val="none"/>
        </w:rPr>
      </w:pPr>
      <w:r>
        <w:rPr>
          <w:rFonts w:hint="eastAsia" w:ascii="宋体" w:hAnsi="宋体"/>
          <w:color w:val="auto"/>
          <w:sz w:val="24"/>
          <w:highlight w:val="none"/>
        </w:rPr>
        <w:t>4、施工阶段的监理工作（包括但不限于以下内容）</w:t>
      </w:r>
    </w:p>
    <w:p w14:paraId="29637819">
      <w:pPr>
        <w:spacing w:line="450" w:lineRule="exact"/>
        <w:ind w:firstLine="504"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施工过程的质量、进度、费用控制，安全生产监督管理、</w:t>
      </w:r>
      <w:r>
        <w:rPr>
          <w:rFonts w:hint="eastAsia" w:ascii="宋体" w:hAnsi="宋体"/>
          <w:color w:val="auto"/>
          <w:sz w:val="24"/>
          <w:highlight w:val="none"/>
        </w:rPr>
        <w:t>工程材料设备、</w:t>
      </w:r>
      <w:r>
        <w:rPr>
          <w:rFonts w:hint="eastAsia" w:ascii="宋体" w:hAnsi="宋体"/>
          <w:color w:val="auto"/>
          <w:spacing w:val="6"/>
          <w:sz w:val="24"/>
          <w:highlight w:val="none"/>
        </w:rPr>
        <w:t>合同、信息等方面的协调管理。</w:t>
      </w:r>
    </w:p>
    <w:p w14:paraId="662E469B">
      <w:pPr>
        <w:spacing w:line="450" w:lineRule="exact"/>
        <w:ind w:firstLine="480" w:firstLineChars="200"/>
        <w:jc w:val="left"/>
        <w:rPr>
          <w:rFonts w:hint="eastAsia" w:ascii="宋体" w:hAnsi="宋体"/>
          <w:color w:val="auto"/>
          <w:spacing w:val="6"/>
          <w:sz w:val="24"/>
          <w:highlight w:val="none"/>
        </w:rPr>
      </w:pPr>
      <w:r>
        <w:rPr>
          <w:rFonts w:hint="eastAsia" w:ascii="宋体" w:hAnsi="宋体"/>
          <w:color w:val="auto"/>
          <w:sz w:val="24"/>
          <w:highlight w:val="none"/>
        </w:rPr>
        <w:t>5、保修阶段的监理工作（包括但不限于以下内容）</w:t>
      </w:r>
    </w:p>
    <w:p w14:paraId="71210EF3">
      <w:pPr>
        <w:adjustRightInd w:val="0"/>
        <w:snapToGrid w:val="0"/>
        <w:spacing w:before="156" w:beforeLines="50" w:line="360" w:lineRule="auto"/>
        <w:ind w:firstLine="504" w:firstLineChars="200"/>
        <w:rPr>
          <w:rFonts w:hint="eastAsia" w:ascii="宋体" w:hAnsi="宋体"/>
          <w:color w:val="auto"/>
          <w:sz w:val="24"/>
          <w:highlight w:val="none"/>
        </w:rPr>
      </w:pPr>
      <w:r>
        <w:rPr>
          <w:rFonts w:hint="eastAsia" w:ascii="宋体" w:hAnsi="宋体"/>
          <w:color w:val="auto"/>
          <w:spacing w:val="6"/>
          <w:sz w:val="24"/>
          <w:highlight w:val="none"/>
        </w:rPr>
        <w:t>检查和记录工程质量缺陷，对缺陷原因进行调查分析并确定责任归属，审核修复方案，监督修复过程并验收，审核修复费用。</w:t>
      </w:r>
    </w:p>
    <w:p w14:paraId="568783D2">
      <w:pPr>
        <w:adjustRightInd w:val="0"/>
        <w:snapToGrid w:val="0"/>
        <w:spacing w:line="360" w:lineRule="auto"/>
        <w:ind w:firstLine="480" w:firstLineChars="200"/>
        <w:rPr>
          <w:rFonts w:ascii="宋体"/>
          <w:bCs/>
          <w:color w:val="auto"/>
          <w:sz w:val="24"/>
          <w:highlight w:val="none"/>
        </w:rPr>
      </w:pPr>
      <w:r>
        <w:rPr>
          <w:rFonts w:hint="eastAsia" w:ascii="宋体" w:hAnsi="宋体"/>
          <w:bCs/>
          <w:color w:val="auto"/>
          <w:sz w:val="24"/>
          <w:highlight w:val="none"/>
        </w:rPr>
        <w:t>除上述工作范围外，监理人还须按委托人的要求提前进场参与开工前期的准备和筹划工作，协助委托人制定工程管理办法、各参建方职责及有关事务性工作等。</w:t>
      </w:r>
    </w:p>
    <w:p w14:paraId="426C6198">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（二）监理人监理工作内容</w:t>
      </w:r>
    </w:p>
    <w:p w14:paraId="0F781200">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、建设工程监理一般规定：</w:t>
      </w:r>
    </w:p>
    <w:p w14:paraId="76D475CC">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）实行总监理工程师负责制。</w:t>
      </w:r>
    </w:p>
    <w:p w14:paraId="41D57990">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）监理人应公正、独立、自主地开展监理工作，维护委托人的合法权益。</w:t>
      </w:r>
    </w:p>
    <w:p w14:paraId="23872D94">
      <w:pPr>
        <w:adjustRightInd w:val="0"/>
        <w:snapToGrid w:val="0"/>
        <w:spacing w:line="360" w:lineRule="auto"/>
        <w:ind w:firstLine="480" w:firstLineChars="200"/>
        <w:rPr>
          <w:rFonts w:ascii="宋体"/>
          <w:bCs/>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）监理人除应按《建设工程监理规范》（</w:t>
      </w:r>
      <w:r>
        <w:rPr>
          <w:rFonts w:ascii="宋体" w:hAnsi="宋体"/>
          <w:color w:val="auto"/>
          <w:sz w:val="24"/>
          <w:highlight w:val="none"/>
        </w:rPr>
        <w:t>GB50319-2013</w:t>
      </w:r>
      <w:r>
        <w:rPr>
          <w:rFonts w:hint="eastAsia" w:ascii="宋体" w:hAnsi="宋体"/>
          <w:color w:val="auto"/>
          <w:sz w:val="24"/>
          <w:highlight w:val="none"/>
        </w:rPr>
        <w:t>）履行监理职责外，还应符合国家现行的有关强制性标准、规范的规定。</w:t>
      </w:r>
    </w:p>
    <w:p w14:paraId="028C057F">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、负责施工准备阶段的监理工作，包括但不限于以下内容：</w:t>
      </w:r>
    </w:p>
    <w:p w14:paraId="4EC70F58">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（1）审查承包人报送的施工组织设计</w:t>
      </w:r>
      <w:r>
        <w:rPr>
          <w:rFonts w:ascii="宋体" w:hAnsi="宋体"/>
          <w:color w:val="auto"/>
          <w:sz w:val="24"/>
          <w:highlight w:val="none"/>
        </w:rPr>
        <w:t>(</w:t>
      </w:r>
      <w:r>
        <w:rPr>
          <w:rFonts w:hint="eastAsia" w:ascii="宋体" w:hAnsi="宋体"/>
          <w:color w:val="auto"/>
          <w:sz w:val="24"/>
          <w:highlight w:val="none"/>
        </w:rPr>
        <w:t>方案</w:t>
      </w:r>
      <w:r>
        <w:rPr>
          <w:rFonts w:ascii="宋体" w:hAnsi="宋体"/>
          <w:color w:val="auto"/>
          <w:sz w:val="24"/>
          <w:highlight w:val="none"/>
        </w:rPr>
        <w:t>)</w:t>
      </w:r>
      <w:r>
        <w:rPr>
          <w:rFonts w:hint="eastAsia" w:ascii="宋体" w:hAnsi="宋体"/>
          <w:color w:val="auto"/>
          <w:sz w:val="24"/>
          <w:highlight w:val="none"/>
        </w:rPr>
        <w:t xml:space="preserve"> ，重点审查其中的质量安全技术措施、专项施工方案与工程建设强制性标准的符合性；审核施工分包人资质条件。</w:t>
      </w:r>
    </w:p>
    <w:p w14:paraId="28B462B7">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（2）制定监理规划及监理实施细则并在第一次工地会议7天前报委托人审定。</w:t>
      </w:r>
    </w:p>
    <w:p w14:paraId="474758DE">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（3）负责协调承包人进场前的现场准备和制定勘察清障方案，为承包人进场制定前期准备方案并组织实施。</w:t>
      </w:r>
    </w:p>
    <w:p w14:paraId="7D8841AC">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（4）审查由承包人编制，并经承包人的技术部门审批盖章的施工组织设计、施工方案及施工进度计划，审查结果需报委托人确认后方可实施，并督促检查实施；协助审批各单项工程开工报告，</w:t>
      </w:r>
      <w:r>
        <w:rPr>
          <w:rFonts w:hint="eastAsia" w:ascii="宋体" w:hAnsi="宋体"/>
          <w:color w:val="auto"/>
          <w:spacing w:val="8"/>
          <w:sz w:val="24"/>
          <w:highlight w:val="none"/>
        </w:rPr>
        <w:t>参与技术交底和施工图纸的会审</w:t>
      </w:r>
      <w:r>
        <w:rPr>
          <w:rFonts w:hint="eastAsia" w:ascii="宋体" w:hAnsi="宋体"/>
          <w:color w:val="auto"/>
          <w:sz w:val="24"/>
          <w:highlight w:val="none"/>
        </w:rPr>
        <w:t>。</w:t>
      </w:r>
    </w:p>
    <w:p w14:paraId="7DA8195C">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（5）审查承包人及委托人提供的材料和设备清单及其所列的规格与质量，对不符合要求的材料和设备有权拒绝使用，并立即书面报告委托人。</w:t>
      </w:r>
    </w:p>
    <w:p w14:paraId="1CD3D44D">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、施工阶段的监理工作，包括但不限于以下内容：</w:t>
      </w:r>
    </w:p>
    <w:p w14:paraId="4EA33AAA">
      <w:p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（1）参加由委托人主持的第一次工地会议；主持监理例会并根据工程需要主持或参加专题会议。</w:t>
      </w:r>
    </w:p>
    <w:p w14:paraId="519C32D5">
      <w:p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（2）检查施工承包人工程质量、安全生产管理制度及组织机构和人员资格。</w:t>
      </w:r>
    </w:p>
    <w:p w14:paraId="4A7CA912">
      <w:p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（3）检查施工承包人专职安全生产管理人员的配备情况。</w:t>
      </w:r>
    </w:p>
    <w:p w14:paraId="0E7FFD85">
      <w:pPr>
        <w:adjustRightInd w:val="0"/>
        <w:snapToGrid w:val="0"/>
        <w:spacing w:before="156" w:beforeLines="50" w:line="360" w:lineRule="auto"/>
        <w:ind w:firstLine="480" w:firstLineChars="200"/>
        <w:rPr>
          <w:rFonts w:ascii="宋体"/>
          <w:color w:val="auto"/>
          <w:sz w:val="24"/>
          <w:highlight w:val="none"/>
        </w:rPr>
      </w:pPr>
      <w:r>
        <w:rPr>
          <w:rFonts w:hint="eastAsia" w:ascii="宋体" w:hAnsi="宋体"/>
          <w:color w:val="auto"/>
          <w:sz w:val="24"/>
          <w:highlight w:val="none"/>
        </w:rPr>
        <w:t>（4）督促承包人严格执行合同和严格按照国家技术规范、标准、地方建筑安装规程、设计图纸文件的要求进行施工，并检查其实施情况；核查施工过程中的主要部位、环节以及隐蔽工程的施工验收签证；严格控制工程质量及安全，发现工程质量、安全问题，立即责令相关单位整改，并通知委托人。</w:t>
      </w:r>
    </w:p>
    <w:p w14:paraId="42E4C391">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5）督促承包人严格按进度计划实施，检查承包人填报的旬、月、季等报表，提出监理意见，控制工程进度。在施工过程中，当承包人对已批准的施工组织设计进行调整、补充或变动时，应经专业监理工程师审查，并应由总监理工程师签认。发现施工单位进度落后的，监理人应立即向委托人报告，应督促施工单位采取有效措施，防止工期延误事件发生。进度仍落后的，应书面要求施工单位增加人、材、机投入及加强组织管理。</w:t>
      </w:r>
    </w:p>
    <w:p w14:paraId="3495D19B">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6）对用于本工程的主要材料（含二次进场）、设备等进行检查，检验，对未经监理人员验收或验收不合格的工程材料、构配件、设备等，监理人员应拒绝签认，并应签发监理工程师通知单，书面通知承包人限期将不合格的工程材料、构配件、设备撤出现场。</w:t>
      </w:r>
    </w:p>
    <w:p w14:paraId="0BAEC103">
      <w:pPr>
        <w:adjustRightInd w:val="0"/>
        <w:snapToGrid w:val="0"/>
        <w:spacing w:line="360" w:lineRule="auto"/>
        <w:ind w:firstLine="480" w:firstLineChars="200"/>
        <w:rPr>
          <w:rFonts w:ascii="宋体" w:cs="Arial"/>
          <w:color w:val="auto"/>
          <w:sz w:val="24"/>
          <w:highlight w:val="none"/>
        </w:rPr>
      </w:pPr>
      <w:r>
        <w:rPr>
          <w:rFonts w:hint="eastAsia" w:ascii="宋体" w:hAnsi="宋体"/>
          <w:color w:val="auto"/>
          <w:sz w:val="24"/>
          <w:highlight w:val="none"/>
        </w:rPr>
        <w:t>（7）总监理工程师应安排监理人员对施工过程进行巡视和检查，并将检查结果定期向委托人汇报。对</w:t>
      </w:r>
      <w:r>
        <w:rPr>
          <w:rFonts w:hint="eastAsia" w:ascii="宋体" w:hAnsi="宋体" w:cs="Arial"/>
          <w:color w:val="auto"/>
          <w:sz w:val="24"/>
          <w:highlight w:val="none"/>
        </w:rPr>
        <w:t>挡土墙、预制桩、后浇带及其他结构混凝土、防水混凝土浇筑，卷材防水层细部构造处理、主体结构工程中梁柱节点钢筋隐蔽过程、混凝土浇筑等，</w:t>
      </w:r>
      <w:r>
        <w:rPr>
          <w:rFonts w:hint="eastAsia" w:ascii="宋体" w:hAnsi="宋体"/>
          <w:color w:val="auto"/>
          <w:sz w:val="24"/>
          <w:highlight w:val="none"/>
        </w:rPr>
        <w:t>应安排监理员进行旁站</w:t>
      </w:r>
      <w:r>
        <w:rPr>
          <w:rFonts w:hint="eastAsia" w:ascii="宋体" w:hAnsi="宋体" w:cs="Arial"/>
          <w:color w:val="auto"/>
          <w:sz w:val="24"/>
          <w:highlight w:val="none"/>
        </w:rPr>
        <w:t>，做好旁站监理记录和监理日记，保存旁站监理原始资料。旁站监理人员应当认真履行职责，对需要实施旁站监理的关键部位、关键工序在施工现场跟班监督，及时发现和处理旁站监理过程中出现的问题，发现工程质量、施工安全存在事故隐患的，责令施工企业进行整改并报委托人。</w:t>
      </w:r>
    </w:p>
    <w:p w14:paraId="522C3607">
      <w:pPr>
        <w:adjustRightInd w:val="0"/>
        <w:snapToGrid w:val="0"/>
        <w:spacing w:line="360" w:lineRule="auto"/>
        <w:ind w:firstLine="480" w:firstLineChars="200"/>
        <w:rPr>
          <w:rFonts w:hint="eastAsia" w:ascii="宋体" w:hAnsi="宋体" w:cs="Arial"/>
          <w:color w:val="auto"/>
          <w:sz w:val="24"/>
          <w:highlight w:val="none"/>
        </w:rPr>
      </w:pPr>
      <w:r>
        <w:rPr>
          <w:rFonts w:hint="eastAsia" w:ascii="宋体" w:hAnsi="宋体"/>
          <w:color w:val="auto"/>
          <w:sz w:val="24"/>
          <w:highlight w:val="none"/>
        </w:rPr>
        <w:t>（8）根据承包人报送的隐蔽工程报验申请表和自检结果进行现场检查，符合要求予以</w:t>
      </w:r>
      <w:r>
        <w:rPr>
          <w:rFonts w:hint="eastAsia" w:ascii="宋体" w:hAnsi="宋体" w:cs="Arial"/>
          <w:color w:val="auto"/>
          <w:sz w:val="24"/>
          <w:highlight w:val="none"/>
        </w:rPr>
        <w:t>签认验收。</w:t>
      </w:r>
    </w:p>
    <w:p w14:paraId="36E9CE00">
      <w:pPr>
        <w:adjustRightInd w:val="0"/>
        <w:snapToGrid w:val="0"/>
        <w:spacing w:line="360" w:lineRule="auto"/>
        <w:ind w:firstLine="480" w:firstLineChars="200"/>
        <w:rPr>
          <w:rFonts w:ascii="宋体" w:cs="Arial"/>
          <w:color w:val="auto"/>
          <w:sz w:val="24"/>
          <w:highlight w:val="none"/>
        </w:rPr>
      </w:pPr>
      <w:r>
        <w:rPr>
          <w:rFonts w:hint="eastAsia" w:ascii="宋体" w:hAnsi="宋体" w:cs="Arial"/>
          <w:color w:val="auto"/>
          <w:sz w:val="24"/>
          <w:highlight w:val="none"/>
        </w:rPr>
        <w:t>（9）审查施工承包人提交的采用</w:t>
      </w:r>
      <w:r>
        <w:rPr>
          <w:rFonts w:hint="eastAsia" w:ascii="宋体" w:hAnsi="宋体"/>
          <w:color w:val="auto"/>
          <w:sz w:val="24"/>
          <w:highlight w:val="none"/>
        </w:rPr>
        <w:t>新材料、新工艺、新技术、新设备的论证材料及相关验收标准。</w:t>
      </w:r>
    </w:p>
    <w:p w14:paraId="1D602C28">
      <w:pPr>
        <w:adjustRightInd w:val="0"/>
        <w:snapToGrid w:val="0"/>
        <w:spacing w:line="360" w:lineRule="auto"/>
        <w:ind w:firstLine="480" w:firstLineChars="200"/>
        <w:rPr>
          <w:rFonts w:ascii="宋体" w:cs="Arial"/>
          <w:color w:val="auto"/>
          <w:sz w:val="24"/>
          <w:highlight w:val="none"/>
        </w:rPr>
      </w:pPr>
      <w:r>
        <w:rPr>
          <w:rFonts w:hint="eastAsia" w:ascii="宋体" w:hAnsi="宋体" w:cs="Arial"/>
          <w:color w:val="auto"/>
          <w:sz w:val="24"/>
          <w:highlight w:val="none"/>
        </w:rPr>
        <w:t>（10）对工程发生质量、安全事故按相关规定保护好现场并及时处理，向委托人提交有关工程质量、安全事故的书面报告，并应将完整的事故处理记录整理归档。</w:t>
      </w:r>
    </w:p>
    <w:p w14:paraId="1A3C010A">
      <w:pPr>
        <w:adjustRightInd w:val="0"/>
        <w:snapToGrid w:val="0"/>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rPr>
        <w:t>（11）</w:t>
      </w:r>
      <w:r>
        <w:rPr>
          <w:rFonts w:hint="eastAsia" w:ascii="宋体" w:hAnsi="宋体"/>
          <w:color w:val="auto"/>
          <w:sz w:val="24"/>
          <w:highlight w:val="none"/>
        </w:rPr>
        <w:t>审查施工承包人提交的工程变更申请，并报委托人审核、批准；协调处理施工进度调整、费用索赔、合同争议等事项。</w:t>
      </w:r>
    </w:p>
    <w:p w14:paraId="4D798D95">
      <w:pPr>
        <w:adjustRightInd w:val="0"/>
        <w:snapToGrid w:val="0"/>
        <w:spacing w:line="360" w:lineRule="auto"/>
        <w:ind w:firstLine="480" w:firstLineChars="200"/>
        <w:rPr>
          <w:rFonts w:ascii="宋体" w:cs="Arial"/>
          <w:color w:val="auto"/>
          <w:sz w:val="24"/>
          <w:highlight w:val="none"/>
        </w:rPr>
      </w:pPr>
      <w:r>
        <w:rPr>
          <w:rFonts w:hint="eastAsia" w:ascii="宋体" w:hAnsi="宋体" w:cs="Arial"/>
          <w:color w:val="auto"/>
          <w:sz w:val="24"/>
          <w:highlight w:val="none"/>
        </w:rPr>
        <w:t>（12）根据《广州市建设工程文明施工管理规定》（广州市人民政府令2011年第</w:t>
      </w:r>
      <w:r>
        <w:rPr>
          <w:rFonts w:ascii="宋体" w:hAnsi="宋体" w:cs="Arial"/>
          <w:color w:val="auto"/>
          <w:sz w:val="24"/>
          <w:highlight w:val="none"/>
        </w:rPr>
        <w:t>62</w:t>
      </w:r>
      <w:r>
        <w:rPr>
          <w:rFonts w:hint="eastAsia" w:ascii="宋体" w:hAnsi="宋体" w:cs="Arial"/>
          <w:color w:val="auto"/>
          <w:sz w:val="24"/>
          <w:highlight w:val="none"/>
        </w:rPr>
        <w:t>号发布，广州市人民政府令2018年第158号修订）的规定，监理人在对本工程实施监理的时候，应当履行下列管理责任：</w:t>
      </w:r>
    </w:p>
    <w:p w14:paraId="7A3D08AC">
      <w:pPr>
        <w:adjustRightInd w:val="0"/>
        <w:snapToGrid w:val="0"/>
        <w:spacing w:line="360" w:lineRule="auto"/>
        <w:ind w:firstLine="480" w:firstLineChars="200"/>
        <w:rPr>
          <w:rFonts w:ascii="宋体" w:cs="Arial"/>
          <w:color w:val="auto"/>
          <w:sz w:val="24"/>
          <w:highlight w:val="none"/>
        </w:rPr>
      </w:pPr>
      <w:r>
        <w:rPr>
          <w:rFonts w:hint="eastAsia" w:ascii="宋体" w:hAnsi="宋体" w:cs="Arial"/>
          <w:color w:val="auto"/>
          <w:sz w:val="24"/>
          <w:highlight w:val="none"/>
        </w:rPr>
        <w:t>1）审核施工单位拟定的施工组织设计文件（方案），督促施工单位落实安全文明施工管理措施，审核确认施工单位文明施工措施费用使用情况。</w:t>
      </w:r>
    </w:p>
    <w:p w14:paraId="0CA1F2E0">
      <w:pPr>
        <w:adjustRightInd w:val="0"/>
        <w:snapToGrid w:val="0"/>
        <w:spacing w:line="360" w:lineRule="auto"/>
        <w:ind w:firstLine="480" w:firstLineChars="200"/>
        <w:rPr>
          <w:rFonts w:ascii="宋体" w:cs="Arial"/>
          <w:color w:val="auto"/>
          <w:sz w:val="24"/>
          <w:highlight w:val="none"/>
        </w:rPr>
      </w:pPr>
      <w:r>
        <w:rPr>
          <w:rFonts w:hint="eastAsia" w:ascii="宋体" w:hAnsi="宋体" w:cs="Arial"/>
          <w:color w:val="auto"/>
          <w:sz w:val="24"/>
          <w:highlight w:val="none"/>
        </w:rPr>
        <w:t>2）实施监理过程中，发现施工单位有违反文明施工管理规定的，应当要求施工单位整改；施工单位拒不整改的，应当要求施工单位暂停施工，并向委托人报告。</w:t>
      </w:r>
    </w:p>
    <w:p w14:paraId="187CC5EC">
      <w:pPr>
        <w:adjustRightInd w:val="0"/>
        <w:snapToGrid w:val="0"/>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rPr>
        <w:t>3）施工单位违反文明施工管理规定拒不整改或者不停止施工的，及时向工程行政管理部门报告。</w:t>
      </w:r>
    </w:p>
    <w:p w14:paraId="761A18EB">
      <w:pPr>
        <w:adjustRightInd w:val="0"/>
        <w:snapToGrid w:val="0"/>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rPr>
        <w:t>（13）根据《广州市住房和城乡建设局关于印发广州市建筑施工实名制管理办法的通知》（穗建规字[2020]18号）、《广州市建设领域工人工资支付分账管理实施细则》穗建规字[2020]37号、《广州市住房和城乡建设局关于进一步规范落实实名制和工人工资分账管理的通知》和《广州市住房和城乡建设局关于落实广州市建设领域工程项目全面实施农民工工资总包代发制度的通知》等规定，监理人在对本工程实施监理的时候，应当履行下列管理责任：</w:t>
      </w:r>
    </w:p>
    <w:p w14:paraId="4DCACBE9">
      <w:pPr>
        <w:pStyle w:val="10"/>
        <w:adjustRightInd w:val="0"/>
        <w:snapToGrid w:val="0"/>
        <w:spacing w:line="440" w:lineRule="exact"/>
        <w:ind w:firstLine="48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lang w:val="en-US" w:eastAsia="zh-CN"/>
        </w:rPr>
        <w:t>1）</w:t>
      </w:r>
      <w:r>
        <w:rPr>
          <w:rFonts w:hint="eastAsia" w:ascii="宋体" w:hAnsi="宋体" w:cs="Arial"/>
          <w:snapToGrid w:val="0"/>
          <w:color w:val="auto"/>
          <w:kern w:val="0"/>
          <w:sz w:val="24"/>
          <w:highlight w:val="none"/>
        </w:rPr>
        <w:t>督促施工单位落实实名制、工人工资分账管理制度及总承包单位代发分包单位工人工资等制度，如施工单位未按规定执行的，应当要求施工单位整改；施工单位拒不整改的，须立即向建设业主及工程行政管理部门报告。</w:t>
      </w:r>
    </w:p>
    <w:p w14:paraId="2EB14B64">
      <w:pPr>
        <w:pStyle w:val="10"/>
        <w:adjustRightInd w:val="0"/>
        <w:snapToGrid w:val="0"/>
        <w:spacing w:line="440" w:lineRule="exact"/>
        <w:ind w:firstLine="48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lang w:val="en-US" w:eastAsia="zh-CN"/>
        </w:rPr>
        <w:t>2）</w:t>
      </w:r>
      <w:r>
        <w:rPr>
          <w:rFonts w:hint="eastAsia" w:ascii="宋体" w:hAnsi="宋体" w:cs="Arial"/>
          <w:snapToGrid w:val="0"/>
          <w:color w:val="auto"/>
          <w:kern w:val="0"/>
          <w:sz w:val="24"/>
          <w:highlight w:val="none"/>
        </w:rPr>
        <w:t>审核施工单位报送的工人考勤、工资结算和支付等管理台账。如工人工资支付账户内资金少于应付支付工人工资的，监理人应督促施工单位及时补足，确保工人工资按时足额支付。</w:t>
      </w:r>
    </w:p>
    <w:p w14:paraId="5C83D07A">
      <w:pPr>
        <w:pStyle w:val="10"/>
        <w:adjustRightInd w:val="0"/>
        <w:snapToGrid w:val="0"/>
        <w:spacing w:line="440" w:lineRule="exact"/>
        <w:ind w:firstLine="48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lang w:val="en-US" w:eastAsia="zh-CN"/>
        </w:rPr>
        <w:t>3）</w:t>
      </w:r>
      <w:r>
        <w:rPr>
          <w:rFonts w:hint="eastAsia" w:ascii="宋体" w:hAnsi="宋体" w:cs="Arial"/>
          <w:snapToGrid w:val="0"/>
          <w:color w:val="auto"/>
          <w:kern w:val="0"/>
          <w:sz w:val="24"/>
          <w:highlight w:val="none"/>
        </w:rPr>
        <w:t>实施监理过程中，发现施工单位违反上述规定，存在拖欠工人工资、工人工资支付信息与实名制登记的用工信息严重不符、约定的工程进度款中的工人工资款比例低于参照比例下限、工资支付专用账户发生异常情况等，应当要求施工单位立即整改并及时向建设业主报告；如发现施工单位转包或者违法分包造成拖欠工人工资的，须立即上报建设业主及工程行政管理部门严肃处理。</w:t>
      </w:r>
    </w:p>
    <w:p w14:paraId="2BDFACDC">
      <w:pPr>
        <w:pStyle w:val="10"/>
        <w:adjustRightInd w:val="0"/>
        <w:snapToGrid w:val="0"/>
        <w:spacing w:line="440" w:lineRule="exact"/>
        <w:ind w:firstLine="480"/>
        <w:rPr>
          <w:rFonts w:hint="eastAsia" w:ascii="宋体" w:hAnsi="宋体" w:cs="Arial"/>
          <w:color w:val="auto"/>
          <w:sz w:val="24"/>
          <w:highlight w:val="none"/>
        </w:rPr>
      </w:pPr>
      <w:r>
        <w:rPr>
          <w:rFonts w:hint="eastAsia" w:ascii="宋体" w:hAnsi="宋体" w:cs="Arial"/>
          <w:snapToGrid w:val="0"/>
          <w:color w:val="auto"/>
          <w:kern w:val="0"/>
          <w:sz w:val="24"/>
          <w:highlight w:val="none"/>
          <w:lang w:val="en-US" w:eastAsia="zh-CN"/>
        </w:rPr>
        <w:t>4）</w:t>
      </w:r>
      <w:r>
        <w:rPr>
          <w:rFonts w:hint="eastAsia" w:ascii="宋体" w:hAnsi="宋体" w:cs="Arial"/>
          <w:snapToGrid w:val="0"/>
          <w:color w:val="auto"/>
          <w:kern w:val="0"/>
          <w:sz w:val="24"/>
          <w:highlight w:val="none"/>
        </w:rPr>
        <w:t>审核确认工程完工及施工单位结清工人工资的情况，配合施工单位办理工人工资支付专用账户撤销手续。</w:t>
      </w:r>
    </w:p>
    <w:p w14:paraId="1E38EC02">
      <w:pPr>
        <w:adjustRightInd w:val="0"/>
        <w:snapToGrid w:val="0"/>
        <w:spacing w:line="360" w:lineRule="auto"/>
        <w:ind w:firstLine="480" w:firstLineChars="200"/>
        <w:rPr>
          <w:rFonts w:ascii="宋体" w:cs="Arial"/>
          <w:color w:val="auto"/>
          <w:sz w:val="24"/>
          <w:highlight w:val="none"/>
        </w:rPr>
      </w:pPr>
      <w:r>
        <w:rPr>
          <w:rFonts w:ascii="宋体" w:hAnsi="宋体" w:cs="Arial"/>
          <w:color w:val="auto"/>
          <w:sz w:val="24"/>
          <w:highlight w:val="none"/>
        </w:rPr>
        <w:t>4</w:t>
      </w:r>
      <w:r>
        <w:rPr>
          <w:rFonts w:hint="eastAsia" w:ascii="宋体" w:hAnsi="宋体" w:cs="Arial"/>
          <w:color w:val="auto"/>
          <w:sz w:val="24"/>
          <w:highlight w:val="none"/>
        </w:rPr>
        <w:t>、监理人应严格按广州市及增城区有关施工现场余泥渣土排放、建筑垃圾运输管理、市容卫生、文明施工管理规定的标准和要求，加强对承包人的监督和检查。监理人必须对施工承包人的土石方专业工程分包合同、建筑垃圾运输合同进行备案和跟踪管理。检查发现问题，应立即发出监理通知予以制止。监理人还必须审查余泥渣土、建筑垃圾运输单位的资质，发现问题立即予以制止，并同时向委托人、建设主管部门、余泥渣土排放主管部门及城管部门一并报告。监理人对每台出泥运输车应当现场做好出泥登记和双方签名确认，以供城市管理部门和建设主管部门随时抽查。</w:t>
      </w:r>
    </w:p>
    <w:p w14:paraId="6998FDED">
      <w:pPr>
        <w:adjustRightInd w:val="0"/>
        <w:snapToGrid w:val="0"/>
        <w:spacing w:line="360" w:lineRule="auto"/>
        <w:ind w:firstLine="480" w:firstLineChars="200"/>
        <w:rPr>
          <w:rFonts w:ascii="宋体" w:cs="Arial"/>
          <w:color w:val="auto"/>
          <w:sz w:val="24"/>
          <w:highlight w:val="none"/>
        </w:rPr>
      </w:pPr>
      <w:r>
        <w:rPr>
          <w:rFonts w:ascii="宋体" w:hAnsi="宋体" w:cs="Arial"/>
          <w:color w:val="auto"/>
          <w:sz w:val="24"/>
          <w:highlight w:val="none"/>
        </w:rPr>
        <w:t>5</w:t>
      </w:r>
      <w:r>
        <w:rPr>
          <w:rFonts w:hint="eastAsia" w:ascii="宋体" w:hAnsi="宋体" w:cs="Arial"/>
          <w:color w:val="auto"/>
          <w:sz w:val="24"/>
          <w:highlight w:val="none"/>
        </w:rPr>
        <w:t>、工程造价控制工作，包括但不限于以下工作：</w:t>
      </w:r>
    </w:p>
    <w:p w14:paraId="72A26B1E">
      <w:pPr>
        <w:adjustRightInd w:val="0"/>
        <w:snapToGrid w:val="0"/>
        <w:spacing w:line="360" w:lineRule="auto"/>
        <w:ind w:firstLine="480" w:firstLineChars="200"/>
        <w:rPr>
          <w:rFonts w:ascii="宋体"/>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）监理人应每日统计承包人实际完成的</w:t>
      </w:r>
      <w:r>
        <w:rPr>
          <w:rFonts w:hint="eastAsia" w:ascii="宋体" w:hAnsi="宋体"/>
          <w:color w:val="auto"/>
          <w:sz w:val="24"/>
          <w:highlight w:val="none"/>
        </w:rPr>
        <w:t>工程量，并记录于监理日志中。</w:t>
      </w:r>
    </w:p>
    <w:p w14:paraId="41E7C56B">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）复核当期验收合格的工程量，按施工合同的约定审核承包人提交的工程量清单和工程款支付申请表并报委托人。</w:t>
      </w:r>
    </w:p>
    <w:p w14:paraId="518EDA68">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）依据施工合同有关条款、施工图，对工程项目造价目标进行风险分析，并应制定防范性对策上报委托人。</w:t>
      </w:r>
    </w:p>
    <w:p w14:paraId="1448ECF0">
      <w:pPr>
        <w:adjustRightInd w:val="0"/>
        <w:snapToGrid w:val="0"/>
        <w:spacing w:line="440" w:lineRule="exact"/>
        <w:ind w:firstLine="480" w:firstLineChars="200"/>
        <w:rPr>
          <w:rFonts w:hint="eastAsia" w:ascii="宋体" w:hAnsi="宋体"/>
          <w:color w:val="auto"/>
          <w:spacing w:val="8"/>
          <w:sz w:val="24"/>
          <w:highlight w:val="none"/>
        </w:rPr>
      </w:pPr>
      <w:r>
        <w:rPr>
          <w:rFonts w:hint="eastAsia" w:ascii="宋体" w:hAnsi="宋体"/>
          <w:color w:val="auto"/>
          <w:sz w:val="24"/>
          <w:highlight w:val="none"/>
        </w:rPr>
        <w:t>（4）</w:t>
      </w:r>
      <w:r>
        <w:rPr>
          <w:rFonts w:hint="eastAsia" w:ascii="宋体" w:hAnsi="宋体"/>
          <w:color w:val="auto"/>
          <w:spacing w:val="8"/>
          <w:sz w:val="24"/>
          <w:highlight w:val="none"/>
        </w:rPr>
        <w:t>根据</w:t>
      </w:r>
      <w:r>
        <w:rPr>
          <w:rFonts w:hint="eastAsia" w:ascii="宋体" w:hAnsi="宋体"/>
          <w:color w:val="auto"/>
          <w:spacing w:val="8"/>
          <w:sz w:val="24"/>
          <w:highlight w:val="none"/>
          <w:u w:val="single"/>
        </w:rPr>
        <w:t>施工总承包合同、各专业工程</w:t>
      </w:r>
      <w:r>
        <w:rPr>
          <w:rFonts w:hint="eastAsia" w:ascii="宋体" w:hAnsi="宋体"/>
          <w:bCs/>
          <w:color w:val="auto"/>
          <w:sz w:val="24"/>
          <w:highlight w:val="none"/>
          <w:u w:val="single"/>
        </w:rPr>
        <w:t>合同</w:t>
      </w:r>
      <w:r>
        <w:rPr>
          <w:rFonts w:hint="eastAsia" w:ascii="宋体" w:hAnsi="宋体"/>
          <w:bCs/>
          <w:color w:val="auto"/>
          <w:sz w:val="24"/>
          <w:highlight w:val="none"/>
          <w:u w:val="single"/>
        </w:rPr>
        <w:t xml:space="preserve"> </w:t>
      </w:r>
      <w:r>
        <w:rPr>
          <w:rFonts w:hint="eastAsia" w:ascii="宋体" w:hAnsi="宋体"/>
          <w:color w:val="auto"/>
          <w:spacing w:val="8"/>
          <w:sz w:val="24"/>
          <w:highlight w:val="none"/>
        </w:rPr>
        <w:t>，审核施工单位上报的各种造价报表及技术经济签证（其中涉及经济部分的签证需委托人共同签认方有效），控制建造成本。</w:t>
      </w:r>
    </w:p>
    <w:p w14:paraId="7320D8C9">
      <w:pPr>
        <w:adjustRightInd w:val="0"/>
        <w:snapToGrid w:val="0"/>
        <w:spacing w:line="360" w:lineRule="auto"/>
        <w:ind w:firstLine="512" w:firstLineChars="200"/>
        <w:rPr>
          <w:rFonts w:ascii="宋体"/>
          <w:color w:val="auto"/>
          <w:sz w:val="24"/>
          <w:highlight w:val="none"/>
        </w:rPr>
      </w:pPr>
      <w:r>
        <w:rPr>
          <w:rFonts w:hint="eastAsia" w:ascii="宋体" w:hAnsi="宋体"/>
          <w:color w:val="auto"/>
          <w:spacing w:val="8"/>
          <w:sz w:val="24"/>
          <w:highlight w:val="none"/>
        </w:rPr>
        <w:t>（5）根据</w:t>
      </w:r>
      <w:r>
        <w:rPr>
          <w:rFonts w:hint="eastAsia" w:ascii="宋体" w:hAnsi="宋体"/>
          <w:color w:val="auto"/>
          <w:spacing w:val="8"/>
          <w:sz w:val="24"/>
          <w:highlight w:val="none"/>
          <w:u w:val="single"/>
        </w:rPr>
        <w:t>施工总承包合同、各专业工程</w:t>
      </w:r>
      <w:r>
        <w:rPr>
          <w:rFonts w:hint="eastAsia" w:ascii="宋体" w:hAnsi="宋体"/>
          <w:bCs/>
          <w:color w:val="auto"/>
          <w:sz w:val="24"/>
          <w:highlight w:val="none"/>
          <w:u w:val="single"/>
        </w:rPr>
        <w:t>合同</w:t>
      </w:r>
      <w:r>
        <w:rPr>
          <w:rFonts w:hint="eastAsia" w:ascii="宋体" w:hAnsi="宋体"/>
          <w:bCs/>
          <w:color w:val="auto"/>
          <w:sz w:val="24"/>
          <w:highlight w:val="none"/>
          <w:u w:val="single"/>
        </w:rPr>
        <w:t xml:space="preserve"> </w:t>
      </w:r>
      <w:r>
        <w:rPr>
          <w:rFonts w:hint="eastAsia" w:ascii="宋体" w:hAnsi="宋体"/>
          <w:color w:val="auto"/>
          <w:spacing w:val="8"/>
          <w:sz w:val="24"/>
          <w:highlight w:val="none"/>
        </w:rPr>
        <w:t>，对工程质量和数量进行核实，签发工程进度审核意见，通知委托人拨付工程款。工程竣工后，审查工程结算价款。</w:t>
      </w:r>
    </w:p>
    <w:p w14:paraId="285340CC">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6</w:t>
      </w:r>
      <w:r>
        <w:rPr>
          <w:rFonts w:hint="eastAsia" w:ascii="宋体" w:hAnsi="宋体"/>
          <w:color w:val="auto"/>
          <w:sz w:val="24"/>
          <w:highlight w:val="none"/>
        </w:rPr>
        <w:t>、按广州市和增城区及委托人关于工程变更、签证管理的相关规定，从造价、项目的功能要求、质量和工期等方面对工程变更、签证进行审核，并督促相关单位按经审定的变更、签证实施。</w:t>
      </w:r>
    </w:p>
    <w:p w14:paraId="7EAA13AF">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7</w:t>
      </w:r>
      <w:r>
        <w:rPr>
          <w:rFonts w:hint="eastAsia" w:ascii="宋体" w:hAnsi="宋体"/>
          <w:color w:val="auto"/>
          <w:sz w:val="24"/>
          <w:highlight w:val="none"/>
        </w:rPr>
        <w:t>、按监理规范向委托人提交监理月报，内容包括但不限于本月施工进度、质量、安全情况，工程计量及支付情况，工程变更、签证及索赔情况，监理对工程进度、质量、安全、造价的管理情况等。</w:t>
      </w:r>
    </w:p>
    <w:p w14:paraId="4A44C96B">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8</w:t>
      </w:r>
      <w:r>
        <w:rPr>
          <w:rFonts w:hint="eastAsia" w:ascii="宋体" w:hAnsi="宋体"/>
          <w:color w:val="auto"/>
          <w:sz w:val="24"/>
          <w:highlight w:val="none"/>
        </w:rPr>
        <w:t>、工程收尾阶段，包括竣工收尾、验收、整改、移交、结算、考核评价等方面的监理工作，包括但不限于以下内容：</w:t>
      </w:r>
    </w:p>
    <w:p w14:paraId="568F9DAC">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依据有关法律、法规、工程建设强制性标准、设计文件及施工合同，对承包人报送的竣工资料按照《建设工程文件归档规范》（GB/T50328）及相关行业标准进行审查，并在收到完整竣工资料后15个工作日内完成审查工作，对工程质量进行竣工预验收。对存在的问题，应及时要求承包人整改。</w:t>
      </w:r>
    </w:p>
    <w:p w14:paraId="62A49940">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）参加由委托人组织的竣工验收。对验收中提出的整改问题，督促承包人进行整改。工程质量符合要求，会同参加验收的各方签署竣工验收报告。</w:t>
      </w:r>
    </w:p>
    <w:p w14:paraId="6DEF0E12">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）根据有关文件规定，督促检查承包人完成各阶段及全套竣工图的工作和整理各种必须归档的资料，办理工程竣工档案备案手续。</w:t>
      </w:r>
    </w:p>
    <w:p w14:paraId="7C3DED7D">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）负责对项目实施过程中形成的声像材料按广州市及增城区档案局有关规定进行归档整理后，移交委托人。</w:t>
      </w:r>
    </w:p>
    <w:p w14:paraId="7C8227BC">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）组织或协助委托人、承包人和产权管理单位对项目进行移交。</w:t>
      </w:r>
    </w:p>
    <w:p w14:paraId="2ADD57C2">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）按增城区及委托人有关规定组织编制及办理建设项目工程结算，结算报告需经委托人书面确认后方可生效。工程完工经验收通过后</w:t>
      </w:r>
      <w:r>
        <w:rPr>
          <w:rFonts w:ascii="宋体" w:hAnsi="宋体"/>
          <w:color w:val="auto"/>
          <w:sz w:val="24"/>
          <w:highlight w:val="none"/>
        </w:rPr>
        <w:t>45</w:t>
      </w:r>
      <w:r>
        <w:rPr>
          <w:rFonts w:hint="eastAsia" w:ascii="宋体" w:hAnsi="宋体"/>
          <w:color w:val="auto"/>
          <w:sz w:val="24"/>
          <w:highlight w:val="none"/>
        </w:rPr>
        <w:t>天内督促承包人提交工程结算文件，并在收到承包人结算资料后30日内，根据相关合同约定完成审核并提交委托人。</w:t>
      </w:r>
    </w:p>
    <w:p w14:paraId="33329E67">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9</w:t>
      </w:r>
      <w:r>
        <w:rPr>
          <w:rFonts w:hint="eastAsia" w:ascii="宋体" w:hAnsi="宋体"/>
          <w:color w:val="auto"/>
          <w:sz w:val="24"/>
          <w:highlight w:val="none"/>
        </w:rPr>
        <w:t>、督促承包人在工程保修期内对工程进行保修，对委托人提出的工程质量缺陷进行检查和记录，对承包人进行修复的工程质量进行验收，合格后予以签认。对工程质量缺陷原因进行调查分析并确定责任归属，对非承包人原因造成的工程质量缺陷，监理人员应核实修复工程的费用和签署工程款支付证书，并报委托人。</w:t>
      </w:r>
    </w:p>
    <w:p w14:paraId="7156BEF9">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10</w:t>
      </w:r>
      <w:r>
        <w:rPr>
          <w:rFonts w:hint="eastAsia" w:ascii="宋体" w:hAnsi="宋体"/>
          <w:color w:val="auto"/>
          <w:sz w:val="24"/>
          <w:highlight w:val="none"/>
        </w:rPr>
        <w:t>、在整个监理服务期内，定期组织、主持现场工程协调会议，负责协调各承包人的配合穿插施工安排。</w:t>
      </w:r>
    </w:p>
    <w:p w14:paraId="049DF576">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11</w:t>
      </w:r>
      <w:r>
        <w:rPr>
          <w:rFonts w:hint="eastAsia" w:ascii="宋体" w:hAnsi="宋体"/>
          <w:color w:val="auto"/>
          <w:sz w:val="24"/>
          <w:highlight w:val="none"/>
        </w:rPr>
        <w:t>、检查本工程采用主要设备及关键材料是否符合设计文件或标书、合同所规定的厂家、型号、规格、数量以及质量标准，视乎需要并经委托人同意可对生产厂家进行考察，所发生的差旅费用由该责任方负担。</w:t>
      </w:r>
    </w:p>
    <w:p w14:paraId="2B9E8098">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12、其他为完成本工程建设所需要的监理工作。</w:t>
      </w:r>
    </w:p>
    <w:p w14:paraId="098EDFDC">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（三）项目监理机构</w:t>
      </w:r>
    </w:p>
    <w:p w14:paraId="52F40713">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、本项目监理机构配备情况见附件附表，监理人必须按该附表在施工现场建立项目监理机构。项目监理机构在完成委托监理合同约定的完成项目整体移交的监理工作后可撤离施工现场。</w:t>
      </w:r>
    </w:p>
    <w:p w14:paraId="7D45EB6D">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监理人必须在委托人发出进场通知后，按委托人具体的要求进场，并立即开始履行本合同约定的服务。监理人必须按照其投标文件和监理规划的承诺，足额、按时派驻监理人员（见附件2，并且本合同履行期间，监理人不得派驻本项目的监理人员参与委托人作为业主的其他建设项目。</w:t>
      </w:r>
    </w:p>
    <w:p w14:paraId="2B133935">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、监理人派驻到项目所在地履行监理服务的监理人员，必须常驻现场，每天保证8小时在岗，施工期间保证24小时有人在工地。</w:t>
      </w:r>
    </w:p>
    <w:p w14:paraId="0484B30F">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4</w:t>
      </w:r>
      <w:r>
        <w:rPr>
          <w:rFonts w:hint="eastAsia" w:ascii="宋体" w:hAnsi="宋体"/>
          <w:color w:val="auto"/>
          <w:sz w:val="24"/>
          <w:highlight w:val="none"/>
        </w:rPr>
        <w:t>、监理人应对其驻地监理人员的人身安全承担责任。</w:t>
      </w:r>
    </w:p>
    <w:p w14:paraId="7F4416E7">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、监理人在施工监理全过程中有需要时，必须按委托人要求建立施工阶段工程支付台账，具体要求和模式另定。</w:t>
      </w:r>
    </w:p>
    <w:p w14:paraId="3EACCFD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6、监理人应及时更换有下列情形之一的监理人员：</w:t>
      </w:r>
    </w:p>
    <w:p w14:paraId="6BE46DB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监理人应在发现需更换情形后24小时内书面通知委托人，并在3个工作日内完成人员更换。</w:t>
      </w:r>
    </w:p>
    <w:p w14:paraId="2593C5C9">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新更换人员需经委托人考核认可后方可上岗，考核期不超过3个工作日。</w:t>
      </w:r>
    </w:p>
    <w:p w14:paraId="0AD5D9AA">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（1）严重过失行为的；</w:t>
      </w:r>
    </w:p>
    <w:p w14:paraId="3AA8593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（2）有违法行为不能履行职责的；</w:t>
      </w:r>
    </w:p>
    <w:p w14:paraId="3BF5D82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（3）涉嫌犯罪的；</w:t>
      </w:r>
    </w:p>
    <w:p w14:paraId="775CB58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（4）不能胜任岗位职责的；</w:t>
      </w:r>
    </w:p>
    <w:p w14:paraId="6B6F4B6B">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（5）严重违反职业道德的；</w:t>
      </w:r>
    </w:p>
    <w:p w14:paraId="34782A6A">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（6）本合同及招标、投标文件专用条款约定的其他情形。</w:t>
      </w:r>
    </w:p>
    <w:p w14:paraId="32BFAD21">
      <w:pPr>
        <w:adjustRightInd w:val="0"/>
        <w:snapToGrid w:val="0"/>
        <w:spacing w:line="360" w:lineRule="auto"/>
        <w:ind w:firstLine="482" w:firstLineChars="200"/>
        <w:rPr>
          <w:rFonts w:ascii="宋体"/>
          <w:color w:val="auto"/>
          <w:sz w:val="24"/>
          <w:highlight w:val="none"/>
        </w:rPr>
      </w:pPr>
      <w:r>
        <w:rPr>
          <w:rFonts w:hint="eastAsia" w:ascii="宋体" w:hAnsi="宋体"/>
          <w:b/>
          <w:color w:val="auto"/>
          <w:sz w:val="24"/>
          <w:highlight w:val="none"/>
        </w:rPr>
        <w:t>第</w:t>
      </w:r>
      <w:r>
        <w:rPr>
          <w:rFonts w:hint="eastAsia" w:ascii="宋体" w:hAnsi="宋体"/>
          <w:b/>
          <w:color w:val="auto"/>
          <w:sz w:val="24"/>
          <w:highlight w:val="none"/>
          <w:lang w:val="en-US" w:eastAsia="zh-CN"/>
        </w:rPr>
        <w:t>四</w:t>
      </w:r>
      <w:r>
        <w:rPr>
          <w:rFonts w:hint="eastAsia" w:ascii="宋体" w:hAnsi="宋体"/>
          <w:b/>
          <w:color w:val="auto"/>
          <w:sz w:val="24"/>
          <w:highlight w:val="none"/>
        </w:rPr>
        <w:t>条</w:t>
      </w:r>
      <w:r>
        <w:rPr>
          <w:rFonts w:ascii="宋体" w:hAnsi="宋体"/>
          <w:b/>
          <w:color w:val="auto"/>
          <w:sz w:val="24"/>
          <w:highlight w:val="none"/>
        </w:rPr>
        <w:t xml:space="preserve"> </w:t>
      </w:r>
      <w:r>
        <w:rPr>
          <w:rFonts w:hint="eastAsia" w:ascii="宋体" w:hAnsi="宋体"/>
          <w:b/>
          <w:color w:val="auto"/>
          <w:sz w:val="24"/>
          <w:highlight w:val="none"/>
        </w:rPr>
        <w:t>监理人应履行的义务包括但不限于：</w:t>
      </w:r>
    </w:p>
    <w:p w14:paraId="4DBC27A3">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（一）监理人在本合同履行期内必须接受委托人有关项目管理机构职权规定的约束，监理人应对提供给本项目服务的人员经常进行检查、指导、管理及</w:t>
      </w:r>
      <w:r>
        <w:rPr>
          <w:rFonts w:hint="eastAsia" w:ascii="宋体" w:hAnsi="宋体"/>
          <w:color w:val="auto"/>
          <w:sz w:val="24"/>
          <w:highlight w:val="none"/>
          <w:lang w:eastAsia="zh-CN"/>
        </w:rPr>
        <w:t>后勤</w:t>
      </w:r>
      <w:r>
        <w:rPr>
          <w:rFonts w:hint="eastAsia" w:ascii="宋体" w:hAnsi="宋体"/>
          <w:color w:val="auto"/>
          <w:sz w:val="24"/>
          <w:highlight w:val="none"/>
        </w:rPr>
        <w:t>支持，对他们完成的服务承担责任。</w:t>
      </w:r>
    </w:p>
    <w:p w14:paraId="3265B4AB">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（二）监理人必须在收到图纸、勘察资料等技术文件后</w:t>
      </w:r>
      <w:r>
        <w:rPr>
          <w:rFonts w:ascii="宋体" w:hAnsi="宋体"/>
          <w:color w:val="auto"/>
          <w:sz w:val="24"/>
          <w:highlight w:val="none"/>
        </w:rPr>
        <w:t>14</w:t>
      </w:r>
      <w:r>
        <w:rPr>
          <w:rFonts w:hint="eastAsia" w:ascii="宋体" w:hAnsi="宋体"/>
          <w:color w:val="auto"/>
          <w:sz w:val="24"/>
          <w:highlight w:val="none"/>
        </w:rPr>
        <w:t>个日内向委托人提供针对本合同工程特点、重点、难点的《监理规划》、相应的《监理实施细则》，经委托人审核批准后执行。如委托人要求监理人对《监理规划》等进行调整，监理人必须在</w:t>
      </w:r>
      <w:r>
        <w:rPr>
          <w:rFonts w:ascii="宋体" w:hAnsi="宋体"/>
          <w:color w:val="auto"/>
          <w:sz w:val="24"/>
          <w:highlight w:val="none"/>
        </w:rPr>
        <w:t>3</w:t>
      </w:r>
      <w:r>
        <w:rPr>
          <w:rFonts w:hint="eastAsia" w:ascii="宋体" w:hAnsi="宋体"/>
          <w:color w:val="auto"/>
          <w:sz w:val="24"/>
          <w:highlight w:val="none"/>
        </w:rPr>
        <w:t>个工作日内完成调整并报委托人审批。</w:t>
      </w:r>
    </w:p>
    <w:p w14:paraId="7AD42BCC">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（三）委托人委托监理人承担本合同工程范围内的协调管理工作，包括工程施工的进场、设计、退场、质量、进度及其他相关工作。</w:t>
      </w:r>
    </w:p>
    <w:p w14:paraId="77B7B34B">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（四）监理工程师在本合同工程中，对工程质量、安全、投资与进度进行控制，办理合同约定的各项手续。监理工程师在办理各种手续时，不得扣压和延误。</w:t>
      </w:r>
    </w:p>
    <w:p w14:paraId="1CBBB79B">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五）在任何情况下（包括合同另有约定的情况），凡涉及工程变更、工程量增减、议价、造价调整、索赔、处理事故、改变工期、改变技术标准、改变重大施工方案、隐蔽工程验收、竣工验收等及一切有关费用的问题，均需与委托人共同商定，报委托人批准后方可执行。</w:t>
      </w:r>
    </w:p>
    <w:p w14:paraId="1271301A">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（六）监理人必须不折不扣地履行其工作职责，不得推托或耽误，不能有不履行或不完全履行职务的行为，否则，必须承担相应的违约责任。</w:t>
      </w:r>
    </w:p>
    <w:p w14:paraId="0D2AFC0D">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（七）对于委托人及承包人书面提交并要求作出决定的事宜，监理人应在</w:t>
      </w:r>
      <w:r>
        <w:rPr>
          <w:rFonts w:ascii="宋体" w:hAnsi="宋体"/>
          <w:color w:val="auto"/>
          <w:sz w:val="24"/>
          <w:highlight w:val="none"/>
        </w:rPr>
        <w:t>3</w:t>
      </w:r>
      <w:r>
        <w:rPr>
          <w:rFonts w:hint="eastAsia" w:ascii="宋体" w:hAnsi="宋体"/>
          <w:color w:val="auto"/>
          <w:sz w:val="24"/>
          <w:highlight w:val="none"/>
        </w:rPr>
        <w:t>日内作出书面答复，对影响施工现场进度的事项应在</w:t>
      </w:r>
      <w:r>
        <w:rPr>
          <w:rFonts w:ascii="宋体" w:hAnsi="宋体"/>
          <w:color w:val="auto"/>
          <w:sz w:val="24"/>
          <w:highlight w:val="none"/>
        </w:rPr>
        <w:t>24</w:t>
      </w:r>
      <w:r>
        <w:rPr>
          <w:rFonts w:hint="eastAsia" w:ascii="宋体" w:hAnsi="宋体"/>
          <w:color w:val="auto"/>
          <w:sz w:val="24"/>
          <w:highlight w:val="none"/>
        </w:rPr>
        <w:t>小时内作出具有明确处理意见的书面答复。</w:t>
      </w:r>
    </w:p>
    <w:p w14:paraId="44C68E4A">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八）监理人应在监理服务期内，办理派驻到项目所在地人员人身和自备财产的有关保险。如果监理人不办理上述保险，则应对有关风险及后果自负其责。委托人对任何到工地的监理方雇员的意外或伤亡，皆不负任何法律上的赔偿责任，监理方须保障委托人免负任何有关的索偿、要求、诉讼、成本、费用和支出。</w:t>
      </w:r>
    </w:p>
    <w:p w14:paraId="450B7DC6">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五</w:t>
      </w:r>
      <w:r>
        <w:rPr>
          <w:rFonts w:hint="eastAsia" w:ascii="宋体" w:hAnsi="宋体"/>
          <w:b/>
          <w:bCs/>
          <w:color w:val="auto"/>
          <w:sz w:val="24"/>
          <w:highlight w:val="none"/>
        </w:rPr>
        <w:t>条</w:t>
      </w:r>
      <w:r>
        <w:rPr>
          <w:rFonts w:ascii="宋体" w:hAnsi="宋体"/>
          <w:color w:val="auto"/>
          <w:sz w:val="24"/>
          <w:highlight w:val="none"/>
        </w:rPr>
        <w:t xml:space="preserve"> </w:t>
      </w:r>
      <w:r>
        <w:rPr>
          <w:rFonts w:hint="eastAsia" w:ascii="宋体" w:hAnsi="宋体"/>
          <w:color w:val="auto"/>
          <w:sz w:val="24"/>
          <w:highlight w:val="none"/>
        </w:rPr>
        <w:t>委托人在监理人开展监理业务之前</w:t>
      </w:r>
      <w:r>
        <w:rPr>
          <w:rFonts w:hint="eastAsia" w:ascii="宋体" w:hAnsi="宋体"/>
          <w:b/>
          <w:bCs/>
          <w:color w:val="auto"/>
          <w:sz w:val="24"/>
          <w:highlight w:val="none"/>
        </w:rPr>
        <w:t>无须</w:t>
      </w:r>
      <w:r>
        <w:rPr>
          <w:rFonts w:hint="eastAsia" w:ascii="宋体" w:hAnsi="宋体"/>
          <w:color w:val="auto"/>
          <w:sz w:val="24"/>
          <w:highlight w:val="none"/>
        </w:rPr>
        <w:t>向监理人支付任何预付款。</w:t>
      </w:r>
    </w:p>
    <w:p w14:paraId="4EC359AF">
      <w:pPr>
        <w:adjustRightInd w:val="0"/>
        <w:snapToGrid w:val="0"/>
        <w:spacing w:line="360" w:lineRule="auto"/>
        <w:ind w:firstLine="482" w:firstLineChars="200"/>
        <w:rPr>
          <w:rFonts w:hint="eastAsia" w:ascii="宋体" w:hAnsi="宋体"/>
          <w:color w:val="auto"/>
          <w:sz w:val="24"/>
          <w:highlight w:val="none"/>
        </w:rPr>
      </w:pPr>
      <w:r>
        <w:rPr>
          <w:rFonts w:hint="eastAsia" w:ascii="宋体" w:hAnsi="宋体"/>
          <w:b/>
          <w:color w:val="auto"/>
          <w:sz w:val="24"/>
          <w:highlight w:val="none"/>
        </w:rPr>
        <w:t>第</w:t>
      </w:r>
      <w:r>
        <w:rPr>
          <w:rFonts w:hint="eastAsia" w:ascii="宋体" w:hAnsi="宋体"/>
          <w:b/>
          <w:color w:val="auto"/>
          <w:sz w:val="24"/>
          <w:highlight w:val="none"/>
          <w:lang w:val="en-US" w:eastAsia="zh-CN"/>
        </w:rPr>
        <w:t>六</w:t>
      </w:r>
      <w:r>
        <w:rPr>
          <w:rFonts w:hint="eastAsia" w:ascii="宋体" w:hAnsi="宋体"/>
          <w:b/>
          <w:color w:val="auto"/>
          <w:sz w:val="24"/>
          <w:highlight w:val="none"/>
        </w:rPr>
        <w:t>条</w:t>
      </w:r>
      <w:r>
        <w:rPr>
          <w:rFonts w:ascii="宋体" w:hAnsi="宋体"/>
          <w:color w:val="auto"/>
          <w:sz w:val="24"/>
          <w:highlight w:val="none"/>
        </w:rPr>
        <w:t xml:space="preserve"> </w:t>
      </w:r>
      <w:r>
        <w:rPr>
          <w:rFonts w:hint="eastAsia" w:ascii="宋体" w:hAnsi="宋体"/>
          <w:color w:val="auto"/>
          <w:sz w:val="24"/>
          <w:highlight w:val="none"/>
        </w:rPr>
        <w:t>委托人根据需要有权指令监理人协调部分外部关系，委托人对此无需支付任何报酬。</w:t>
      </w:r>
    </w:p>
    <w:p w14:paraId="55A81960">
      <w:pPr>
        <w:adjustRightInd w:val="0"/>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w:t>
      </w:r>
      <w:r>
        <w:rPr>
          <w:rFonts w:hint="eastAsia" w:ascii="宋体" w:hAnsi="宋体"/>
          <w:b/>
          <w:color w:val="auto"/>
          <w:sz w:val="24"/>
          <w:highlight w:val="none"/>
          <w:lang w:val="en-US" w:eastAsia="zh-CN"/>
        </w:rPr>
        <w:t>七</w:t>
      </w:r>
      <w:r>
        <w:rPr>
          <w:rFonts w:hint="eastAsia" w:ascii="宋体" w:hAnsi="宋体"/>
          <w:b/>
          <w:color w:val="auto"/>
          <w:sz w:val="24"/>
          <w:highlight w:val="none"/>
        </w:rPr>
        <w:t xml:space="preserve">条 </w:t>
      </w:r>
      <w:r>
        <w:rPr>
          <w:rFonts w:hint="eastAsia" w:ascii="宋体" w:hAnsi="宋体"/>
          <w:color w:val="auto"/>
          <w:sz w:val="24"/>
          <w:highlight w:val="none"/>
        </w:rPr>
        <w:t>委托人应当将授予监理人的监理权利，以及监理人主要成员的职能分工、监理权限不限形式的及时通知已选定的承包合同的承包人。</w:t>
      </w:r>
    </w:p>
    <w:p w14:paraId="7ED880CD">
      <w:pPr>
        <w:adjustRightInd w:val="0"/>
        <w:snapToGrid w:val="0"/>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八</w:t>
      </w:r>
      <w:r>
        <w:rPr>
          <w:rFonts w:hint="eastAsia" w:ascii="宋体" w:hAnsi="宋体"/>
          <w:b/>
          <w:bCs/>
          <w:color w:val="auto"/>
          <w:sz w:val="24"/>
          <w:highlight w:val="none"/>
        </w:rPr>
        <w:t>条</w:t>
      </w:r>
      <w:r>
        <w:rPr>
          <w:rFonts w:ascii="宋体" w:hAnsi="宋体"/>
          <w:b/>
          <w:color w:val="auto"/>
          <w:sz w:val="24"/>
          <w:highlight w:val="none"/>
        </w:rPr>
        <w:t xml:space="preserve"> </w:t>
      </w:r>
      <w:r>
        <w:rPr>
          <w:rFonts w:hint="eastAsia" w:ascii="宋体" w:hAnsi="宋体"/>
          <w:b/>
          <w:bCs/>
          <w:color w:val="auto"/>
          <w:sz w:val="24"/>
          <w:highlight w:val="none"/>
        </w:rPr>
        <w:t>双方同意不执行</w:t>
      </w:r>
      <w:r>
        <w:rPr>
          <w:rFonts w:ascii="宋体" w:hAnsi="宋体"/>
          <w:b/>
          <w:bCs/>
          <w:color w:val="auto"/>
          <w:sz w:val="24"/>
          <w:highlight w:val="none"/>
        </w:rPr>
        <w:t>标准</w:t>
      </w:r>
      <w:r>
        <w:rPr>
          <w:rFonts w:hint="eastAsia" w:ascii="宋体" w:hAnsi="宋体"/>
          <w:b/>
          <w:bCs/>
          <w:color w:val="auto"/>
          <w:sz w:val="24"/>
          <w:highlight w:val="none"/>
        </w:rPr>
        <w:t>条款第十五条，</w:t>
      </w:r>
      <w:r>
        <w:rPr>
          <w:rFonts w:hint="eastAsia" w:ascii="宋体" w:hAnsi="宋体"/>
          <w:color w:val="auto"/>
          <w:sz w:val="24"/>
          <w:highlight w:val="none"/>
        </w:rPr>
        <w:t>委托人可协调施工承包单位为监理人提供必要的办公用房。对监理人自备设施不给予经济补偿。</w:t>
      </w:r>
    </w:p>
    <w:p w14:paraId="3605533A">
      <w:pPr>
        <w:adjustRightInd w:val="0"/>
        <w:snapToGrid w:val="0"/>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九</w:t>
      </w:r>
      <w:r>
        <w:rPr>
          <w:rFonts w:hint="eastAsia" w:ascii="宋体" w:hAnsi="宋体"/>
          <w:b/>
          <w:bCs/>
          <w:color w:val="auto"/>
          <w:sz w:val="24"/>
          <w:highlight w:val="none"/>
        </w:rPr>
        <w:t>条</w:t>
      </w:r>
      <w:r>
        <w:rPr>
          <w:rFonts w:ascii="宋体" w:hAnsi="宋体"/>
          <w:color w:val="auto"/>
          <w:sz w:val="24"/>
          <w:highlight w:val="none"/>
        </w:rPr>
        <w:t xml:space="preserve"> </w:t>
      </w:r>
      <w:r>
        <w:rPr>
          <w:rFonts w:hint="eastAsia" w:ascii="宋体" w:hAnsi="宋体"/>
          <w:b/>
          <w:bCs/>
          <w:color w:val="auto"/>
          <w:sz w:val="24"/>
          <w:highlight w:val="none"/>
        </w:rPr>
        <w:t>双方同意不执行</w:t>
      </w:r>
      <w:r>
        <w:rPr>
          <w:rFonts w:ascii="宋体" w:hAnsi="宋体"/>
          <w:b/>
          <w:bCs/>
          <w:color w:val="auto"/>
          <w:sz w:val="24"/>
          <w:highlight w:val="none"/>
        </w:rPr>
        <w:t>标准</w:t>
      </w:r>
      <w:r>
        <w:rPr>
          <w:rFonts w:hint="eastAsia" w:ascii="宋体" w:hAnsi="宋体"/>
          <w:b/>
          <w:bCs/>
          <w:color w:val="auto"/>
          <w:sz w:val="24"/>
          <w:highlight w:val="none"/>
        </w:rPr>
        <w:t>条款第十六条，</w:t>
      </w:r>
      <w:r>
        <w:rPr>
          <w:rFonts w:hint="eastAsia" w:ascii="宋体" w:hAnsi="宋体"/>
          <w:color w:val="auto"/>
          <w:sz w:val="24"/>
          <w:highlight w:val="none"/>
        </w:rPr>
        <w:t>在监理服务期间，委托人不免费向监理人提供工作人员和服务人员。</w:t>
      </w:r>
    </w:p>
    <w:p w14:paraId="0CE9BD39">
      <w:pPr>
        <w:adjustRightInd w:val="0"/>
        <w:snapToGrid w:val="0"/>
        <w:spacing w:line="360" w:lineRule="auto"/>
        <w:ind w:firstLine="482" w:firstLineChars="200"/>
        <w:rPr>
          <w:rFonts w:ascii="宋体"/>
          <w:bCs/>
          <w:color w:val="auto"/>
          <w:sz w:val="24"/>
          <w:highlight w:val="none"/>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十</w:t>
      </w:r>
      <w:r>
        <w:rPr>
          <w:rFonts w:hint="eastAsia" w:ascii="宋体" w:hAnsi="宋体"/>
          <w:b/>
          <w:bCs/>
          <w:color w:val="auto"/>
          <w:sz w:val="24"/>
          <w:highlight w:val="none"/>
        </w:rPr>
        <w:t>条</w:t>
      </w:r>
      <w:r>
        <w:rPr>
          <w:rFonts w:ascii="宋体" w:hAnsi="宋体"/>
          <w:b/>
          <w:bCs/>
          <w:color w:val="auto"/>
          <w:sz w:val="24"/>
          <w:highlight w:val="none"/>
        </w:rPr>
        <w:t xml:space="preserve">  </w:t>
      </w:r>
      <w:r>
        <w:rPr>
          <w:rFonts w:hint="eastAsia" w:ascii="宋体" w:hAnsi="宋体"/>
          <w:b/>
          <w:bCs/>
          <w:color w:val="auto"/>
          <w:sz w:val="24"/>
          <w:highlight w:val="none"/>
        </w:rPr>
        <w:t>双方同意不执行标准条款第二十六条，</w:t>
      </w:r>
      <w:r>
        <w:rPr>
          <w:rFonts w:hint="eastAsia" w:ascii="宋体" w:hAnsi="宋体"/>
          <w:color w:val="auto"/>
          <w:sz w:val="24"/>
          <w:highlight w:val="none"/>
        </w:rPr>
        <w:t>监理人的违约责任按本条约定执行：</w:t>
      </w:r>
    </w:p>
    <w:p w14:paraId="3E4D0951">
      <w:pPr>
        <w:adjustRightInd w:val="0"/>
        <w:snapToGrid w:val="0"/>
        <w:spacing w:line="360" w:lineRule="auto"/>
        <w:ind w:firstLine="480" w:firstLineChars="200"/>
        <w:rPr>
          <w:rFonts w:ascii="宋体"/>
          <w:bCs/>
          <w:color w:val="auto"/>
          <w:sz w:val="24"/>
          <w:highlight w:val="none"/>
        </w:rPr>
      </w:pPr>
      <w:r>
        <w:rPr>
          <w:rFonts w:hint="eastAsia" w:ascii="宋体" w:hAnsi="宋体"/>
          <w:bCs/>
          <w:color w:val="auto"/>
          <w:sz w:val="24"/>
          <w:highlight w:val="none"/>
        </w:rPr>
        <w:t>（一）监理人违反本合同的约定，应当按约定向委托人承担相应的违约责任，承担违约责任方式包括但不限于：</w:t>
      </w:r>
    </w:p>
    <w:p w14:paraId="2F5FB18A">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书面警告。监理人未履行或未适当履行义务或不执行委托人（含主管人员）的指令时，委托人有权向监理人发出书面警告，每一次书面警告，监理人应无条件整改并在委托人要求的时间内完成整改，否则委托人有权要求监理人支付违约金5</w:t>
      </w:r>
      <w:r>
        <w:rPr>
          <w:rFonts w:ascii="宋体" w:hAnsi="宋体"/>
          <w:bCs/>
          <w:color w:val="auto"/>
          <w:sz w:val="24"/>
          <w:highlight w:val="none"/>
        </w:rPr>
        <w:t>000</w:t>
      </w:r>
      <w:r>
        <w:rPr>
          <w:rFonts w:hint="eastAsia" w:ascii="宋体" w:hAnsi="宋体"/>
          <w:bCs/>
          <w:color w:val="auto"/>
          <w:sz w:val="24"/>
          <w:highlight w:val="none"/>
        </w:rPr>
        <w:t>元。监理人必须在书面警告限定的时间内履行义务，否则应承担</w:t>
      </w:r>
      <w:r>
        <w:rPr>
          <w:rFonts w:ascii="宋体" w:hAnsi="宋体"/>
          <w:bCs/>
          <w:color w:val="auto"/>
          <w:sz w:val="24"/>
          <w:highlight w:val="none"/>
        </w:rPr>
        <w:t>1</w:t>
      </w:r>
      <w:r>
        <w:rPr>
          <w:rFonts w:hint="eastAsia" w:ascii="宋体" w:hAnsi="宋体"/>
          <w:bCs/>
          <w:color w:val="auto"/>
          <w:sz w:val="24"/>
          <w:highlight w:val="none"/>
        </w:rPr>
        <w:t>次一般违约责任（与前述书面警告违约责任可累加适用）。</w:t>
      </w:r>
    </w:p>
    <w:p w14:paraId="3CE90E94">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rPr>
        <w:t>、一般违约责任。监理人按本合同约定应当承担一般违约责任时，监理人应无条件整改并在委托人要求的时间内完成整改，否则委托人有权要求每次支付违约金1万元。</w:t>
      </w:r>
    </w:p>
    <w:p w14:paraId="60FB30F4">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3</w:t>
      </w:r>
      <w:r>
        <w:rPr>
          <w:rFonts w:hint="eastAsia" w:ascii="宋体" w:hAnsi="宋体"/>
          <w:bCs/>
          <w:color w:val="auto"/>
          <w:sz w:val="24"/>
          <w:highlight w:val="none"/>
        </w:rPr>
        <w:t>、严重违约责任。监理人按本合同约定应当承担严重违约责任时，监理人应无条件整改并在委托人要求的时间内完成整改，否则委托人有权要求每次支付违约金2万元。</w:t>
      </w:r>
    </w:p>
    <w:p w14:paraId="0D1B4A7B">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4</w:t>
      </w:r>
      <w:r>
        <w:rPr>
          <w:rFonts w:hint="eastAsia" w:ascii="宋体" w:hAnsi="宋体"/>
          <w:bCs/>
          <w:color w:val="auto"/>
          <w:sz w:val="24"/>
          <w:highlight w:val="none"/>
        </w:rPr>
        <w:t>、部分解除合同。委托人向监理人发出部分解除合同的通知后，本合同部分解除即生效，监理人支付解除合同部分监理费</w:t>
      </w:r>
      <w:r>
        <w:rPr>
          <w:rFonts w:ascii="宋体" w:hAnsi="宋体"/>
          <w:bCs/>
          <w:color w:val="auto"/>
          <w:sz w:val="24"/>
          <w:highlight w:val="none"/>
        </w:rPr>
        <w:t>1</w:t>
      </w:r>
      <w:r>
        <w:rPr>
          <w:rFonts w:ascii="宋体"/>
          <w:bCs/>
          <w:color w:val="auto"/>
          <w:sz w:val="24"/>
          <w:highlight w:val="none"/>
        </w:rPr>
        <w:t>0</w:t>
      </w:r>
      <w:r>
        <w:rPr>
          <w:rFonts w:ascii="宋体" w:hAnsi="宋体"/>
          <w:bCs/>
          <w:color w:val="auto"/>
          <w:sz w:val="24"/>
          <w:highlight w:val="none"/>
        </w:rPr>
        <w:t>%</w:t>
      </w:r>
      <w:r>
        <w:rPr>
          <w:rFonts w:hint="eastAsia" w:ascii="宋体" w:hAnsi="宋体"/>
          <w:bCs/>
          <w:color w:val="auto"/>
          <w:sz w:val="24"/>
          <w:highlight w:val="none"/>
        </w:rPr>
        <w:t>的违约金，并必须在</w:t>
      </w:r>
      <w:r>
        <w:rPr>
          <w:rFonts w:ascii="宋体" w:hAnsi="宋体"/>
          <w:bCs/>
          <w:color w:val="auto"/>
          <w:sz w:val="24"/>
          <w:highlight w:val="none"/>
        </w:rPr>
        <w:t>3</w:t>
      </w:r>
      <w:r>
        <w:rPr>
          <w:rFonts w:hint="eastAsia" w:ascii="宋体" w:hAnsi="宋体"/>
          <w:bCs/>
          <w:color w:val="auto"/>
          <w:sz w:val="24"/>
          <w:highlight w:val="none"/>
        </w:rPr>
        <w:t>日内停止被解除部分的工作，</w:t>
      </w:r>
      <w:r>
        <w:rPr>
          <w:rFonts w:ascii="宋体" w:hAnsi="宋体"/>
          <w:bCs/>
          <w:color w:val="auto"/>
          <w:sz w:val="24"/>
          <w:highlight w:val="none"/>
        </w:rPr>
        <w:t>5</w:t>
      </w:r>
      <w:r>
        <w:rPr>
          <w:rFonts w:hint="eastAsia" w:ascii="宋体" w:hAnsi="宋体"/>
          <w:bCs/>
          <w:color w:val="auto"/>
          <w:sz w:val="24"/>
          <w:highlight w:val="none"/>
        </w:rPr>
        <w:t>日内配合委托人完成现场工作和有关资料的移交，所交接资料必须完整、真实、有效。监理人无经委托人同意的特殊原因未在规定期限内完成移交和撤出，或交接资料不符合约定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4E031965">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rPr>
        <w:t>、解除合同。委托人向监理人发出解除合同的通知后，本合同即解除，监理人支付监理合同约定总价</w:t>
      </w:r>
      <w:r>
        <w:rPr>
          <w:rFonts w:ascii="宋体" w:hAnsi="宋体"/>
          <w:bCs/>
          <w:color w:val="auto"/>
          <w:sz w:val="24"/>
          <w:highlight w:val="none"/>
        </w:rPr>
        <w:t>1</w:t>
      </w:r>
      <w:r>
        <w:rPr>
          <w:rFonts w:ascii="宋体"/>
          <w:bCs/>
          <w:color w:val="auto"/>
          <w:sz w:val="24"/>
          <w:highlight w:val="none"/>
        </w:rPr>
        <w:t>0</w:t>
      </w:r>
      <w:r>
        <w:rPr>
          <w:rFonts w:ascii="宋体" w:hAnsi="宋体"/>
          <w:bCs/>
          <w:color w:val="auto"/>
          <w:sz w:val="24"/>
          <w:highlight w:val="none"/>
        </w:rPr>
        <w:t>%</w:t>
      </w:r>
      <w:r>
        <w:rPr>
          <w:rFonts w:hint="eastAsia" w:ascii="宋体" w:hAnsi="宋体"/>
          <w:bCs/>
          <w:color w:val="auto"/>
          <w:sz w:val="24"/>
          <w:highlight w:val="none"/>
        </w:rPr>
        <w:t>的违约金，并必须在</w:t>
      </w:r>
      <w:r>
        <w:rPr>
          <w:rFonts w:ascii="宋体" w:hAnsi="宋体"/>
          <w:bCs/>
          <w:color w:val="auto"/>
          <w:sz w:val="24"/>
          <w:highlight w:val="none"/>
        </w:rPr>
        <w:t>3</w:t>
      </w:r>
      <w:r>
        <w:rPr>
          <w:rFonts w:hint="eastAsia" w:ascii="宋体" w:hAnsi="宋体"/>
          <w:bCs/>
          <w:color w:val="auto"/>
          <w:sz w:val="24"/>
          <w:highlight w:val="none"/>
        </w:rPr>
        <w:t>日内停止全部工作，</w:t>
      </w:r>
      <w:r>
        <w:rPr>
          <w:rFonts w:ascii="宋体" w:hAnsi="宋体"/>
          <w:bCs/>
          <w:color w:val="auto"/>
          <w:sz w:val="24"/>
          <w:highlight w:val="none"/>
        </w:rPr>
        <w:t>5</w:t>
      </w:r>
      <w:r>
        <w:rPr>
          <w:rFonts w:hint="eastAsia" w:ascii="宋体" w:hAnsi="宋体"/>
          <w:bCs/>
          <w:color w:val="auto"/>
          <w:sz w:val="24"/>
          <w:highlight w:val="none"/>
        </w:rPr>
        <w:t>日内配合委托人完成现场工作和有关资料的移交，并于完成交接工作当日内离场。监理人应保证所移交的资料齐全完整、真实、有效，监理人无经委托人同意的特殊原因未在规定期限内完成移交和离场或所移交的资料不符合约定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138A5624">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6</w:t>
      </w:r>
      <w:r>
        <w:rPr>
          <w:rFonts w:hint="eastAsia" w:ascii="宋体" w:hAnsi="宋体"/>
          <w:bCs/>
          <w:color w:val="auto"/>
          <w:sz w:val="24"/>
          <w:highlight w:val="none"/>
        </w:rPr>
        <w:t>、赔偿损失。因监理人违约或工作失误给委托人造成损失的，监理人应向委托人赔偿与违约有直接或间接因果关系的所有损失以及为追索该等损失而产生的全部开支（包括但不限于诉讼/仲裁费、律师费、保全费、诉讼保全责任保险费、执行费、鉴定费、评估费、差旅费等），如果损失是由于监理人故意或严重渎职造成的，监理人除应按委托人全部损失承担赔偿责任外，还应支付相当于合同总价20%的违约金。</w:t>
      </w:r>
    </w:p>
    <w:p w14:paraId="66440E28">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7</w:t>
      </w:r>
      <w:r>
        <w:rPr>
          <w:rFonts w:hint="eastAsia" w:ascii="宋体" w:hAnsi="宋体"/>
          <w:bCs/>
          <w:color w:val="auto"/>
          <w:sz w:val="24"/>
          <w:highlight w:val="none"/>
        </w:rPr>
        <w:t>、每三次书面警告则另行追加一次一般违约责任，每三次一般违约责任则另行追加一次严重违约责任，所有违约责任应累计计算。</w:t>
      </w:r>
    </w:p>
    <w:p w14:paraId="11039134">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8</w:t>
      </w:r>
      <w:r>
        <w:rPr>
          <w:rFonts w:hint="eastAsia" w:ascii="宋体" w:hAnsi="宋体"/>
          <w:bCs/>
          <w:color w:val="auto"/>
          <w:sz w:val="24"/>
          <w:highlight w:val="none"/>
        </w:rPr>
        <w:t>、当监理人无正当理由不履行或没有充分履行其相关承诺及监理义务时，除应承担前述约定的违约责任外，委托人还可给予其通报批评、作不良记录及报相关主管部门处理等处罚措施。</w:t>
      </w:r>
    </w:p>
    <w:p w14:paraId="463138FF">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9</w:t>
      </w:r>
      <w:r>
        <w:rPr>
          <w:rFonts w:hint="eastAsia" w:ascii="宋体" w:hAnsi="宋体"/>
          <w:bCs/>
          <w:color w:val="auto"/>
          <w:sz w:val="24"/>
          <w:highlight w:val="none"/>
        </w:rPr>
        <w:t>、当监理人出现严重违约时，委托人可给予其通报批评；当累计出现三次严重违约或者关键节点工期滞后</w:t>
      </w:r>
      <w:r>
        <w:rPr>
          <w:rFonts w:ascii="宋体" w:hAnsi="宋体"/>
          <w:bCs/>
          <w:color w:val="auto"/>
          <w:sz w:val="24"/>
          <w:highlight w:val="none"/>
        </w:rPr>
        <w:t>20</w:t>
      </w:r>
      <w:r>
        <w:rPr>
          <w:rFonts w:hint="eastAsia" w:ascii="宋体" w:hAnsi="宋体"/>
          <w:bCs/>
          <w:color w:val="auto"/>
          <w:sz w:val="24"/>
          <w:highlight w:val="none"/>
        </w:rPr>
        <w:t>天以上时，委托人有权要求监理人的法定代表人或其授权代表人驻场办公，直至其监理工作满足委托人要求时方可离场；累计出现四次严重违约时，委托人有权给予其不良记录并报相关主管部门处理等处罚措施；累计出现五次严重违约时，委托人有权单方面解除合同。</w:t>
      </w:r>
    </w:p>
    <w:p w14:paraId="1450FC0F">
      <w:pPr>
        <w:pStyle w:val="10"/>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（二）监理组织管理方面的违约责任：</w:t>
      </w:r>
    </w:p>
    <w:p w14:paraId="03EF085F">
      <w:pPr>
        <w:pStyle w:val="10"/>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监理人承诺主动支持委托人的工作，对委托人的指令和书面通知，若无正当理由又未提前报告、得到认可，而公开或变相拒不执行的，第一次按一般违约处理；第二次以后，每违反一次按一次严重违约处理；同时，监理人拒不执行委托人指令时，委托人有权解除合同并要求监理人赔偿由此造成的一切经济损失。</w:t>
      </w:r>
    </w:p>
    <w:p w14:paraId="2AA550E9">
      <w:pPr>
        <w:pStyle w:val="10"/>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2、监理人不遵守委托人所制订的各项制度、规定的，由监理人按所触犯制度、规定的有关规定承担违约责任。所触犯制度、规定没有明确规定的，由委托人参照前款的约定处理。</w:t>
      </w:r>
    </w:p>
    <w:p w14:paraId="0D1D50CA">
      <w:pPr>
        <w:adjustRightInd w:val="0"/>
        <w:snapToGrid w:val="0"/>
        <w:spacing w:line="360" w:lineRule="auto"/>
        <w:ind w:firstLine="480" w:firstLineChars="200"/>
        <w:rPr>
          <w:rFonts w:ascii="宋体"/>
          <w:bCs/>
          <w:color w:val="auto"/>
          <w:sz w:val="24"/>
          <w:highlight w:val="none"/>
        </w:rPr>
      </w:pPr>
      <w:r>
        <w:rPr>
          <w:rFonts w:hint="eastAsia" w:ascii="宋体" w:hAnsi="宋体"/>
          <w:bCs/>
          <w:color w:val="auto"/>
          <w:sz w:val="24"/>
          <w:highlight w:val="none"/>
        </w:rPr>
        <w:t>（三）监理人未按投标书及承诺建立组织架构、派驻监理人员和投入设备，监理人必须按委托人要求限期整改，并承担相应违约责任。派驻监理人员需提供身份证复印件（原件核对）以及其属监理人单位员工的社保证明原件，报委托人审核、备案。具体约定为：</w:t>
      </w:r>
    </w:p>
    <w:p w14:paraId="3C35620B">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、在委托人书面通知监理人进场后</w:t>
      </w:r>
      <w:r>
        <w:rPr>
          <w:rFonts w:ascii="宋体" w:hAnsi="宋体"/>
          <w:bCs/>
          <w:color w:val="auto"/>
          <w:sz w:val="24"/>
          <w:highlight w:val="none"/>
        </w:rPr>
        <w:t>3</w:t>
      </w:r>
      <w:r>
        <w:rPr>
          <w:rFonts w:hint="eastAsia" w:ascii="宋体" w:hAnsi="宋体"/>
          <w:bCs/>
          <w:color w:val="auto"/>
          <w:sz w:val="24"/>
          <w:highlight w:val="none"/>
        </w:rPr>
        <w:t>日内，监理人的主要监理人员（指投标书承诺的监理机构所配备的项目总监、专业监理工程师及同等级别以上的监理人员）未能足额到位，或到位后又离开，造成该岗位空缺。委托人一旦发现，有权要求监理人做出书面解释并保证人员限期到位，同时监理人每岗位承担一般违约责任</w:t>
      </w:r>
      <w:r>
        <w:rPr>
          <w:rFonts w:ascii="宋体" w:hAnsi="宋体"/>
          <w:bCs/>
          <w:color w:val="auto"/>
          <w:sz w:val="24"/>
          <w:highlight w:val="none"/>
        </w:rPr>
        <w:t>1</w:t>
      </w:r>
      <w:r>
        <w:rPr>
          <w:rFonts w:hint="eastAsia" w:ascii="宋体" w:hAnsi="宋体"/>
          <w:bCs/>
          <w:color w:val="auto"/>
          <w:sz w:val="24"/>
          <w:highlight w:val="none"/>
        </w:rPr>
        <w:t>次；如果监理人拒不配合，未在委托人提出限期改正的期限内进行整改的，监理人应每岗位承担严重违约责任</w:t>
      </w:r>
      <w:r>
        <w:rPr>
          <w:rFonts w:ascii="宋体" w:hAnsi="宋体"/>
          <w:bCs/>
          <w:color w:val="auto"/>
          <w:sz w:val="24"/>
          <w:highlight w:val="none"/>
        </w:rPr>
        <w:t>1</w:t>
      </w:r>
      <w:r>
        <w:rPr>
          <w:rFonts w:hint="eastAsia" w:ascii="宋体" w:hAnsi="宋体"/>
          <w:bCs/>
          <w:color w:val="auto"/>
          <w:sz w:val="24"/>
          <w:highlight w:val="none"/>
        </w:rPr>
        <w:t>次，直至解除合同，并要求监理人承担由此造成的委托人损失。</w:t>
      </w:r>
    </w:p>
    <w:p w14:paraId="7EAF7559">
      <w:pPr>
        <w:adjustRightInd w:val="0"/>
        <w:snapToGrid w:val="0"/>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rPr>
        <w:t>、监理人必须严格按照合同附件2及投标文件的承诺投入足额的驻场监理人员，且配备相应专业资质标准的驻场监理工程师不少于合同附件2及投标文件的承诺中要求的人数，若在实际施工过程中，驻场监理人员团队少于合同附件2及投标文件的承诺要求的人数，则监理人应自行增派相应专业的监理人员驻场并经委托人书面确认，且不得另行增加费用，调换监理人员必须提出书面报告并附上替代人员的所有证明资料，替代人员的资历不低于被调替代人员的资历，经委托人审核书面同意后才能调换。监理人员配备不足的，每缺少一名监理人员应按每天合同总价1%支付违约金，直至人员配备满足要求。委托人要求监理人更换监理人员时，监理人在接到委托人通知后三天内安排更换到位，否则，监理人应按下表的约定承担违约责任。若监理人未按委托人要求更换监理人员，委托人有权解除合同并要求监理人赔偿全部损失。</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5594"/>
        <w:gridCol w:w="2598"/>
      </w:tblGrid>
      <w:tr w14:paraId="3EC7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89" w:type="dxa"/>
            <w:vAlign w:val="center"/>
          </w:tcPr>
          <w:p w14:paraId="0B7E1E70">
            <w:pPr>
              <w:pStyle w:val="11"/>
              <w:tabs>
                <w:tab w:val="left" w:pos="360"/>
              </w:tabs>
              <w:adjustRightInd w:val="0"/>
              <w:snapToGrid w:val="0"/>
              <w:spacing w:line="440" w:lineRule="exact"/>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序号</w:t>
            </w:r>
          </w:p>
        </w:tc>
        <w:tc>
          <w:tcPr>
            <w:tcW w:w="5594" w:type="dxa"/>
            <w:vAlign w:val="center"/>
          </w:tcPr>
          <w:p w14:paraId="5A6EB052">
            <w:pPr>
              <w:pStyle w:val="11"/>
              <w:tabs>
                <w:tab w:val="left" w:pos="360"/>
              </w:tabs>
              <w:adjustRightInd w:val="0"/>
              <w:snapToGrid w:val="0"/>
              <w:spacing w:line="440" w:lineRule="exact"/>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违约项目</w:t>
            </w:r>
          </w:p>
        </w:tc>
        <w:tc>
          <w:tcPr>
            <w:tcW w:w="2598" w:type="dxa"/>
            <w:vAlign w:val="center"/>
          </w:tcPr>
          <w:p w14:paraId="1389BE6A">
            <w:pPr>
              <w:pStyle w:val="11"/>
              <w:tabs>
                <w:tab w:val="left" w:pos="360"/>
              </w:tabs>
              <w:adjustRightInd w:val="0"/>
              <w:snapToGrid w:val="0"/>
              <w:spacing w:line="440" w:lineRule="exact"/>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违约金计算标准</w:t>
            </w:r>
          </w:p>
          <w:p w14:paraId="6ADE6933">
            <w:pPr>
              <w:pStyle w:val="11"/>
              <w:tabs>
                <w:tab w:val="left" w:pos="360"/>
              </w:tabs>
              <w:adjustRightInd w:val="0"/>
              <w:snapToGrid w:val="0"/>
              <w:spacing w:line="440" w:lineRule="exact"/>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（元/人·次）</w:t>
            </w:r>
          </w:p>
        </w:tc>
      </w:tr>
      <w:tr w14:paraId="65A3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dxa"/>
            <w:vAlign w:val="center"/>
          </w:tcPr>
          <w:p w14:paraId="08F9F2F3">
            <w:pPr>
              <w:pStyle w:val="11"/>
              <w:tabs>
                <w:tab w:val="left" w:pos="360"/>
              </w:tabs>
              <w:adjustRightInd w:val="0"/>
              <w:snapToGrid w:val="0"/>
              <w:spacing w:line="440" w:lineRule="exact"/>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1</w:t>
            </w:r>
          </w:p>
        </w:tc>
        <w:tc>
          <w:tcPr>
            <w:tcW w:w="5594" w:type="dxa"/>
            <w:vAlign w:val="center"/>
          </w:tcPr>
          <w:p w14:paraId="7D268ED4">
            <w:pPr>
              <w:pStyle w:val="11"/>
              <w:tabs>
                <w:tab w:val="left" w:pos="360"/>
              </w:tabs>
              <w:adjustRightInd w:val="0"/>
              <w:snapToGrid w:val="0"/>
              <w:spacing w:line="440" w:lineRule="exact"/>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监理人自行调换或未按照委托人要求及时更换项目总监。</w:t>
            </w:r>
          </w:p>
        </w:tc>
        <w:tc>
          <w:tcPr>
            <w:tcW w:w="2598" w:type="dxa"/>
            <w:vAlign w:val="center"/>
          </w:tcPr>
          <w:p w14:paraId="6B471C91">
            <w:pPr>
              <w:pStyle w:val="11"/>
              <w:tabs>
                <w:tab w:val="left" w:pos="360"/>
              </w:tabs>
              <w:adjustRightInd w:val="0"/>
              <w:snapToGrid w:val="0"/>
              <w:spacing w:line="440" w:lineRule="exact"/>
              <w:jc w:val="left"/>
              <w:rPr>
                <w:rFonts w:hint="eastAsia" w:hAnsi="宋体"/>
                <w:snapToGrid w:val="0"/>
                <w:color w:val="auto"/>
                <w:kern w:val="0"/>
                <w:sz w:val="18"/>
                <w:szCs w:val="18"/>
                <w:highlight w:val="none"/>
              </w:rPr>
            </w:pPr>
            <w:r>
              <w:rPr>
                <w:rFonts w:hint="eastAsia" w:hAnsi="宋体"/>
                <w:bCs/>
                <w:snapToGrid w:val="0"/>
                <w:color w:val="auto"/>
                <w:kern w:val="0"/>
                <w:sz w:val="18"/>
                <w:szCs w:val="18"/>
                <w:highlight w:val="none"/>
              </w:rPr>
              <w:t>本合同监理报酬总额的2%</w:t>
            </w:r>
          </w:p>
        </w:tc>
      </w:tr>
      <w:tr w14:paraId="3C97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dxa"/>
            <w:vAlign w:val="center"/>
          </w:tcPr>
          <w:p w14:paraId="7FAD33BE">
            <w:pPr>
              <w:pStyle w:val="11"/>
              <w:tabs>
                <w:tab w:val="left" w:pos="360"/>
              </w:tabs>
              <w:adjustRightInd w:val="0"/>
              <w:snapToGrid w:val="0"/>
              <w:spacing w:line="440" w:lineRule="exact"/>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2</w:t>
            </w:r>
          </w:p>
        </w:tc>
        <w:tc>
          <w:tcPr>
            <w:tcW w:w="5594" w:type="dxa"/>
            <w:vAlign w:val="center"/>
          </w:tcPr>
          <w:p w14:paraId="3BFD3098">
            <w:pPr>
              <w:pStyle w:val="11"/>
              <w:tabs>
                <w:tab w:val="left" w:pos="360"/>
              </w:tabs>
              <w:adjustRightInd w:val="0"/>
              <w:snapToGrid w:val="0"/>
              <w:spacing w:line="440" w:lineRule="exact"/>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监理人自行调换或未按照委托人要求及时更换项目总工或总监代表。</w:t>
            </w:r>
          </w:p>
        </w:tc>
        <w:tc>
          <w:tcPr>
            <w:tcW w:w="2598" w:type="dxa"/>
            <w:vAlign w:val="center"/>
          </w:tcPr>
          <w:p w14:paraId="73E21B39">
            <w:pPr>
              <w:pStyle w:val="11"/>
              <w:tabs>
                <w:tab w:val="left" w:pos="360"/>
              </w:tabs>
              <w:adjustRightInd w:val="0"/>
              <w:snapToGrid w:val="0"/>
              <w:spacing w:line="440" w:lineRule="exact"/>
              <w:jc w:val="left"/>
              <w:rPr>
                <w:rFonts w:hint="eastAsia" w:hAnsi="宋体"/>
                <w:snapToGrid w:val="0"/>
                <w:color w:val="auto"/>
                <w:kern w:val="0"/>
                <w:sz w:val="18"/>
                <w:szCs w:val="18"/>
                <w:highlight w:val="none"/>
              </w:rPr>
            </w:pPr>
            <w:r>
              <w:rPr>
                <w:rFonts w:hint="eastAsia" w:hAnsi="宋体"/>
                <w:bCs/>
                <w:snapToGrid w:val="0"/>
                <w:color w:val="auto"/>
                <w:kern w:val="0"/>
                <w:sz w:val="18"/>
                <w:szCs w:val="18"/>
                <w:highlight w:val="none"/>
              </w:rPr>
              <w:t>本合同监理报酬总额的1%</w:t>
            </w:r>
          </w:p>
        </w:tc>
      </w:tr>
      <w:tr w14:paraId="06DE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dxa"/>
            <w:vAlign w:val="center"/>
          </w:tcPr>
          <w:p w14:paraId="65677444">
            <w:pPr>
              <w:pStyle w:val="11"/>
              <w:tabs>
                <w:tab w:val="left" w:pos="360"/>
              </w:tabs>
              <w:adjustRightInd w:val="0"/>
              <w:snapToGrid w:val="0"/>
              <w:spacing w:line="440" w:lineRule="exact"/>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3</w:t>
            </w:r>
          </w:p>
        </w:tc>
        <w:tc>
          <w:tcPr>
            <w:tcW w:w="5594" w:type="dxa"/>
            <w:vAlign w:val="center"/>
          </w:tcPr>
          <w:p w14:paraId="451545E0">
            <w:pPr>
              <w:pStyle w:val="11"/>
              <w:tabs>
                <w:tab w:val="left" w:pos="360"/>
              </w:tabs>
              <w:adjustRightInd w:val="0"/>
              <w:snapToGrid w:val="0"/>
              <w:spacing w:line="440" w:lineRule="exact"/>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监理人自行调换或未按照委托人要求及时更换专业监理工程师。</w:t>
            </w:r>
          </w:p>
        </w:tc>
        <w:tc>
          <w:tcPr>
            <w:tcW w:w="2598" w:type="dxa"/>
            <w:vAlign w:val="center"/>
          </w:tcPr>
          <w:p w14:paraId="0565830F">
            <w:pPr>
              <w:pStyle w:val="11"/>
              <w:tabs>
                <w:tab w:val="left" w:pos="360"/>
              </w:tabs>
              <w:adjustRightInd w:val="0"/>
              <w:snapToGrid w:val="0"/>
              <w:spacing w:line="440" w:lineRule="exact"/>
              <w:jc w:val="left"/>
              <w:rPr>
                <w:rFonts w:hint="eastAsia" w:hAnsi="宋体"/>
                <w:snapToGrid w:val="0"/>
                <w:color w:val="auto"/>
                <w:kern w:val="0"/>
                <w:sz w:val="18"/>
                <w:szCs w:val="18"/>
                <w:highlight w:val="none"/>
              </w:rPr>
            </w:pPr>
            <w:r>
              <w:rPr>
                <w:rFonts w:hint="eastAsia" w:hAnsi="宋体"/>
                <w:bCs/>
                <w:snapToGrid w:val="0"/>
                <w:color w:val="auto"/>
                <w:kern w:val="0"/>
                <w:sz w:val="18"/>
                <w:szCs w:val="18"/>
                <w:highlight w:val="none"/>
              </w:rPr>
              <w:t>本合同监理报酬总额的0.5%</w:t>
            </w:r>
          </w:p>
        </w:tc>
      </w:tr>
      <w:tr w14:paraId="37EA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dxa"/>
            <w:vAlign w:val="center"/>
          </w:tcPr>
          <w:p w14:paraId="44AB2514">
            <w:pPr>
              <w:pStyle w:val="11"/>
              <w:tabs>
                <w:tab w:val="left" w:pos="360"/>
              </w:tabs>
              <w:adjustRightInd w:val="0"/>
              <w:snapToGrid w:val="0"/>
              <w:spacing w:line="440" w:lineRule="exact"/>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4</w:t>
            </w:r>
          </w:p>
        </w:tc>
        <w:tc>
          <w:tcPr>
            <w:tcW w:w="5594" w:type="dxa"/>
            <w:vAlign w:val="center"/>
          </w:tcPr>
          <w:p w14:paraId="53E31B11">
            <w:pPr>
              <w:pStyle w:val="11"/>
              <w:tabs>
                <w:tab w:val="left" w:pos="360"/>
              </w:tabs>
              <w:adjustRightInd w:val="0"/>
              <w:snapToGrid w:val="0"/>
              <w:spacing w:line="440" w:lineRule="exact"/>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监理人自行调换或未按照委托人要求及时更换监理员。</w:t>
            </w:r>
          </w:p>
        </w:tc>
        <w:tc>
          <w:tcPr>
            <w:tcW w:w="2598" w:type="dxa"/>
            <w:vAlign w:val="center"/>
          </w:tcPr>
          <w:p w14:paraId="283FA66C">
            <w:pPr>
              <w:pStyle w:val="11"/>
              <w:tabs>
                <w:tab w:val="left" w:pos="360"/>
              </w:tabs>
              <w:adjustRightInd w:val="0"/>
              <w:snapToGrid w:val="0"/>
              <w:spacing w:line="440" w:lineRule="exact"/>
              <w:jc w:val="left"/>
              <w:rPr>
                <w:rFonts w:hint="eastAsia" w:hAnsi="宋体"/>
                <w:bCs/>
                <w:snapToGrid w:val="0"/>
                <w:color w:val="auto"/>
                <w:kern w:val="0"/>
                <w:sz w:val="18"/>
                <w:szCs w:val="18"/>
                <w:highlight w:val="none"/>
              </w:rPr>
            </w:pPr>
            <w:r>
              <w:rPr>
                <w:rFonts w:hint="eastAsia" w:hAnsi="宋体"/>
                <w:bCs/>
                <w:snapToGrid w:val="0"/>
                <w:color w:val="auto"/>
                <w:kern w:val="0"/>
                <w:sz w:val="18"/>
                <w:szCs w:val="18"/>
                <w:highlight w:val="none"/>
              </w:rPr>
              <w:t>本合同监理报酬总额的0.3%</w:t>
            </w:r>
          </w:p>
        </w:tc>
      </w:tr>
    </w:tbl>
    <w:p w14:paraId="598C66B7">
      <w:pPr>
        <w:adjustRightInd w:val="0"/>
        <w:snapToGrid w:val="0"/>
        <w:spacing w:line="360" w:lineRule="auto"/>
        <w:rPr>
          <w:rFonts w:ascii="宋体"/>
          <w:bCs/>
          <w:color w:val="auto"/>
          <w:sz w:val="24"/>
          <w:highlight w:val="none"/>
        </w:rPr>
      </w:pPr>
    </w:p>
    <w:p w14:paraId="20064324">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3</w:t>
      </w:r>
      <w:r>
        <w:rPr>
          <w:rFonts w:hint="eastAsia" w:ascii="宋体" w:hAnsi="宋体"/>
          <w:bCs/>
          <w:color w:val="auto"/>
          <w:sz w:val="24"/>
          <w:highlight w:val="none"/>
        </w:rPr>
        <w:t>、项目总监若需离开施工现场需报委托人批准，在其请假离开的时间段内应书面委托其他驻场监理工程师（需具有相应资质和能力）全权代表其行使职权，否则构成违约；项目总监未经批准擅自离场的，每次应按合同总价1%支付违约金。每违约一次，委托人将要求监理人承担</w:t>
      </w:r>
      <w:r>
        <w:rPr>
          <w:rFonts w:ascii="宋体" w:hAnsi="宋体"/>
          <w:bCs/>
          <w:color w:val="auto"/>
          <w:sz w:val="24"/>
          <w:highlight w:val="none"/>
        </w:rPr>
        <w:t>1</w:t>
      </w:r>
      <w:r>
        <w:rPr>
          <w:rFonts w:hint="eastAsia" w:ascii="宋体" w:hAnsi="宋体"/>
          <w:bCs/>
          <w:color w:val="auto"/>
          <w:sz w:val="24"/>
          <w:highlight w:val="none"/>
        </w:rPr>
        <w:t>次一般违约责任。</w:t>
      </w:r>
    </w:p>
    <w:p w14:paraId="7123A2E6">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4</w:t>
      </w:r>
      <w:r>
        <w:rPr>
          <w:rFonts w:hint="eastAsia" w:ascii="宋体" w:hAnsi="宋体"/>
          <w:bCs/>
          <w:color w:val="auto"/>
          <w:sz w:val="24"/>
          <w:highlight w:val="none"/>
        </w:rPr>
        <w:t>、其他监理人员需离开施工现场</w:t>
      </w:r>
      <w:r>
        <w:rPr>
          <w:rFonts w:ascii="宋体" w:hAnsi="宋体"/>
          <w:bCs/>
          <w:color w:val="auto"/>
          <w:sz w:val="24"/>
          <w:highlight w:val="none"/>
        </w:rPr>
        <w:t>3</w:t>
      </w:r>
      <w:r>
        <w:rPr>
          <w:rFonts w:hint="eastAsia" w:ascii="宋体" w:hAnsi="宋体"/>
          <w:bCs/>
          <w:color w:val="auto"/>
          <w:sz w:val="24"/>
          <w:highlight w:val="none"/>
        </w:rPr>
        <w:t>日以上需报委托人批准，在其请假离开的时间段内应书面委托其他驻场监理代表全权代表其行使相应职权，否则构成违约，每违约一次，委托人将要求监理人承担</w:t>
      </w:r>
      <w:r>
        <w:rPr>
          <w:rFonts w:ascii="宋体" w:hAnsi="宋体"/>
          <w:bCs/>
          <w:color w:val="auto"/>
          <w:sz w:val="24"/>
          <w:highlight w:val="none"/>
        </w:rPr>
        <w:t>1</w:t>
      </w:r>
      <w:r>
        <w:rPr>
          <w:rFonts w:hint="eastAsia" w:ascii="宋体" w:hAnsi="宋体"/>
          <w:bCs/>
          <w:color w:val="auto"/>
          <w:sz w:val="24"/>
          <w:highlight w:val="none"/>
        </w:rPr>
        <w:t>次一般违约责任，并有权按日扣除相应监理服务费。</w:t>
      </w:r>
    </w:p>
    <w:p w14:paraId="653E1E9C">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rPr>
        <w:t>、委托人可以对驻场监理人员进行考勤，未经委托人批准，项目总监或总监代表每月驻场低于</w:t>
      </w:r>
      <w:r>
        <w:rPr>
          <w:rFonts w:ascii="宋体" w:hAnsi="宋体"/>
          <w:bCs/>
          <w:color w:val="auto"/>
          <w:sz w:val="24"/>
          <w:highlight w:val="none"/>
        </w:rPr>
        <w:t>22</w:t>
      </w:r>
      <w:r>
        <w:rPr>
          <w:rFonts w:hint="eastAsia" w:ascii="宋体" w:hAnsi="宋体"/>
          <w:bCs/>
          <w:color w:val="auto"/>
          <w:sz w:val="24"/>
          <w:highlight w:val="none"/>
        </w:rPr>
        <w:t>天的，监理人必须承担每岗位</w:t>
      </w:r>
      <w:r>
        <w:rPr>
          <w:rFonts w:ascii="宋体" w:hAnsi="宋体"/>
          <w:bCs/>
          <w:color w:val="auto"/>
          <w:sz w:val="24"/>
          <w:highlight w:val="none"/>
        </w:rPr>
        <w:t>1</w:t>
      </w:r>
      <w:r>
        <w:rPr>
          <w:rFonts w:hint="eastAsia" w:ascii="宋体" w:hAnsi="宋体"/>
          <w:bCs/>
          <w:color w:val="auto"/>
          <w:sz w:val="24"/>
          <w:highlight w:val="none"/>
        </w:rPr>
        <w:t>次一般违约责任，具体为支付违约金人民币20000元或采取其他双方认可的补救措施。如其他监理人员每月请假日数累计超过</w:t>
      </w:r>
      <w:r>
        <w:rPr>
          <w:rFonts w:ascii="宋体" w:hAnsi="宋体"/>
          <w:bCs/>
          <w:color w:val="auto"/>
          <w:sz w:val="24"/>
          <w:highlight w:val="none"/>
        </w:rPr>
        <w:t>6</w:t>
      </w:r>
      <w:r>
        <w:rPr>
          <w:rFonts w:hint="eastAsia" w:ascii="宋体" w:hAnsi="宋体"/>
          <w:bCs/>
          <w:color w:val="auto"/>
          <w:sz w:val="24"/>
          <w:highlight w:val="none"/>
        </w:rPr>
        <w:t>日，且请假总人数全月累计超过监理人数的</w:t>
      </w:r>
      <w:r>
        <w:rPr>
          <w:rFonts w:ascii="宋体" w:hAnsi="宋体"/>
          <w:bCs/>
          <w:color w:val="auto"/>
          <w:sz w:val="24"/>
          <w:highlight w:val="none"/>
        </w:rPr>
        <w:t>10%</w:t>
      </w:r>
      <w:r>
        <w:rPr>
          <w:rFonts w:hint="eastAsia" w:ascii="宋体" w:hAnsi="宋体"/>
          <w:bCs/>
          <w:color w:val="auto"/>
          <w:sz w:val="24"/>
          <w:highlight w:val="none"/>
        </w:rPr>
        <w:t>，监理人必须承担</w:t>
      </w:r>
      <w:r>
        <w:rPr>
          <w:rFonts w:ascii="宋体" w:hAnsi="宋体"/>
          <w:bCs/>
          <w:color w:val="auto"/>
          <w:sz w:val="24"/>
          <w:highlight w:val="none"/>
        </w:rPr>
        <w:t>1</w:t>
      </w:r>
      <w:r>
        <w:rPr>
          <w:rFonts w:hint="eastAsia" w:ascii="宋体" w:hAnsi="宋体"/>
          <w:bCs/>
          <w:color w:val="auto"/>
          <w:sz w:val="24"/>
          <w:highlight w:val="none"/>
        </w:rPr>
        <w:t>次一般违约责任，具体为支付违约金人民币5000元或采取其他双方认可的补救措施。</w:t>
      </w:r>
    </w:p>
    <w:p w14:paraId="54AADEAE">
      <w:pPr>
        <w:adjustRightInd w:val="0"/>
        <w:snapToGrid w:val="0"/>
        <w:spacing w:line="360" w:lineRule="auto"/>
        <w:ind w:firstLine="480" w:firstLineChars="200"/>
        <w:rPr>
          <w:rFonts w:ascii="宋体"/>
          <w:color w:val="auto"/>
          <w:sz w:val="24"/>
          <w:highlight w:val="none"/>
        </w:rPr>
      </w:pPr>
      <w:r>
        <w:rPr>
          <w:rFonts w:ascii="宋体" w:hAnsi="宋体"/>
          <w:bCs/>
          <w:color w:val="auto"/>
          <w:sz w:val="24"/>
          <w:highlight w:val="none"/>
        </w:rPr>
        <w:t>6</w:t>
      </w:r>
      <w:r>
        <w:rPr>
          <w:rFonts w:hint="eastAsia" w:ascii="宋体" w:hAnsi="宋体"/>
          <w:bCs/>
          <w:color w:val="auto"/>
          <w:sz w:val="24"/>
          <w:highlight w:val="none"/>
        </w:rPr>
        <w:t>、委托人要求项目总监、项目总监代表等主要监理人员必须参加的会议，项目总监、项目总监代表等主要监理人员必须到会。如项目总监、项目总监代表等主要监理人员未经委托人同意不到会或不按期到会，委托人有权要求监理人支付违约金，违约金数额为合同总价款的1%。未经委托人同意不到会或不按期到会的，应向委托人说明理由，拒不说明理由的，监理人应当承担</w:t>
      </w:r>
      <w:r>
        <w:rPr>
          <w:rFonts w:ascii="宋体" w:hAnsi="宋体"/>
          <w:bCs/>
          <w:color w:val="auto"/>
          <w:sz w:val="24"/>
          <w:highlight w:val="none"/>
        </w:rPr>
        <w:t>1</w:t>
      </w:r>
      <w:r>
        <w:rPr>
          <w:rFonts w:hint="eastAsia" w:ascii="宋体" w:hAnsi="宋体"/>
          <w:bCs/>
          <w:color w:val="auto"/>
          <w:sz w:val="24"/>
          <w:highlight w:val="none"/>
        </w:rPr>
        <w:t>次一般违约责任。</w:t>
      </w:r>
    </w:p>
    <w:p w14:paraId="23237E5F">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7</w:t>
      </w:r>
      <w:r>
        <w:rPr>
          <w:rFonts w:hint="eastAsia" w:ascii="宋体" w:hAnsi="宋体"/>
          <w:color w:val="auto"/>
          <w:sz w:val="24"/>
          <w:highlight w:val="none"/>
        </w:rPr>
        <w:t>、在委托人、建设行政主管部门组织的现场检查中，总监理工程师累计不在现场的次数每年应不超过两次，专业监理工程师累计不在现场的次数每年应少于</w:t>
      </w:r>
      <w:r>
        <w:rPr>
          <w:rFonts w:ascii="宋体" w:hAnsi="宋体"/>
          <w:color w:val="auto"/>
          <w:sz w:val="24"/>
          <w:highlight w:val="none"/>
        </w:rPr>
        <w:t>2</w:t>
      </w:r>
      <w:r>
        <w:rPr>
          <w:rFonts w:hint="eastAsia" w:ascii="宋体" w:hAnsi="宋体"/>
          <w:color w:val="auto"/>
          <w:sz w:val="24"/>
          <w:highlight w:val="none"/>
        </w:rPr>
        <w:t>次，否则构成违约。如总监理工程师或专业监理工程师累计不在现场的次数超过规定次数，委托人有权要求监理人支付违约金，违约金数额为合同总价款的1%。每发生一次违约，监理人承担</w:t>
      </w:r>
      <w:r>
        <w:rPr>
          <w:rFonts w:ascii="宋体" w:hAnsi="宋体"/>
          <w:color w:val="auto"/>
          <w:sz w:val="24"/>
          <w:highlight w:val="none"/>
        </w:rPr>
        <w:t>1</w:t>
      </w:r>
      <w:r>
        <w:rPr>
          <w:rFonts w:hint="eastAsia" w:ascii="宋体" w:hAnsi="宋体"/>
          <w:color w:val="auto"/>
          <w:sz w:val="24"/>
          <w:highlight w:val="none"/>
        </w:rPr>
        <w:t>次一般违约责任。每发生二次违约，监理人承担严重违约责任</w:t>
      </w:r>
      <w:r>
        <w:rPr>
          <w:rFonts w:ascii="宋体" w:hAnsi="宋体"/>
          <w:color w:val="auto"/>
          <w:sz w:val="24"/>
          <w:highlight w:val="none"/>
        </w:rPr>
        <w:t>1</w:t>
      </w:r>
      <w:r>
        <w:rPr>
          <w:rFonts w:hint="eastAsia" w:ascii="宋体" w:hAnsi="宋体"/>
          <w:color w:val="auto"/>
          <w:sz w:val="24"/>
          <w:highlight w:val="none"/>
        </w:rPr>
        <w:t>次。</w:t>
      </w:r>
    </w:p>
    <w:p w14:paraId="47E55933">
      <w:pPr>
        <w:adjustRightInd w:val="0"/>
        <w:snapToGrid w:val="0"/>
        <w:spacing w:line="360" w:lineRule="auto"/>
        <w:ind w:firstLine="480" w:firstLineChars="200"/>
        <w:rPr>
          <w:rFonts w:ascii="宋体"/>
          <w:bCs/>
          <w:color w:val="auto"/>
          <w:sz w:val="24"/>
          <w:highlight w:val="none"/>
        </w:rPr>
      </w:pPr>
      <w:r>
        <w:rPr>
          <w:rFonts w:hint="eastAsia" w:ascii="宋体" w:hAnsi="宋体"/>
          <w:color w:val="auto"/>
          <w:sz w:val="24"/>
          <w:highlight w:val="none"/>
        </w:rPr>
        <w:t>8、检测仪器及设备等在监理责任期间，不能保持良好运作性能的，监理人应及时更换，否则，委托人按每件每日扣除</w:t>
      </w:r>
      <w:r>
        <w:rPr>
          <w:rFonts w:ascii="宋体" w:hAnsi="宋体"/>
          <w:color w:val="auto"/>
          <w:sz w:val="24"/>
          <w:highlight w:val="none"/>
        </w:rPr>
        <w:t>1000</w:t>
      </w:r>
      <w:r>
        <w:rPr>
          <w:rFonts w:hint="eastAsia" w:ascii="宋体" w:hAnsi="宋体"/>
          <w:color w:val="auto"/>
          <w:sz w:val="24"/>
          <w:highlight w:val="none"/>
        </w:rPr>
        <w:t>元监理费。</w:t>
      </w:r>
    </w:p>
    <w:p w14:paraId="2707ADE1">
      <w:pPr>
        <w:adjustRightInd w:val="0"/>
        <w:snapToGrid w:val="0"/>
        <w:spacing w:line="360" w:lineRule="auto"/>
        <w:ind w:firstLine="480" w:firstLineChars="200"/>
        <w:rPr>
          <w:rFonts w:ascii="宋体"/>
          <w:bCs/>
          <w:color w:val="auto"/>
          <w:sz w:val="24"/>
          <w:highlight w:val="none"/>
        </w:rPr>
      </w:pPr>
      <w:r>
        <w:rPr>
          <w:rFonts w:hint="eastAsia" w:ascii="宋体" w:hAnsi="宋体"/>
          <w:bCs/>
          <w:color w:val="auto"/>
          <w:sz w:val="24"/>
          <w:highlight w:val="none"/>
        </w:rPr>
        <w:t>（四）履行监理职责方面的违约责任：</w:t>
      </w:r>
    </w:p>
    <w:p w14:paraId="0B504C1C">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、监理人在自己职责范围内应当作出决定的事项故意拖延或者不作出明确的处理意见，委托人发出书面警告后，监理人在整改期限内仍不加以改正的，委托人有权要求监理人承担一般违约责任</w:t>
      </w:r>
      <w:r>
        <w:rPr>
          <w:rFonts w:ascii="宋体" w:hAnsi="宋体"/>
          <w:bCs/>
          <w:color w:val="auto"/>
          <w:sz w:val="24"/>
          <w:highlight w:val="none"/>
        </w:rPr>
        <w:t>1</w:t>
      </w:r>
      <w:r>
        <w:rPr>
          <w:rFonts w:hint="eastAsia" w:ascii="宋体" w:hAnsi="宋体"/>
          <w:bCs/>
          <w:color w:val="auto"/>
          <w:sz w:val="24"/>
          <w:highlight w:val="none"/>
        </w:rPr>
        <w:t>次，造成损失的监理人应对全部损失承担赔偿责任。</w:t>
      </w:r>
    </w:p>
    <w:p w14:paraId="7AFD2892">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rPr>
        <w:t>、承包人未按承诺投入机械、设备、材料等，监理人对此不进行有效检查、督促、处理，不向委托人报告，被委托人发现后，委托人有权给予书面警告并限期改正，监理人拒不限期改正的，应承担</w:t>
      </w:r>
      <w:r>
        <w:rPr>
          <w:rFonts w:ascii="宋体" w:hAnsi="宋体"/>
          <w:bCs/>
          <w:color w:val="auto"/>
          <w:sz w:val="24"/>
          <w:highlight w:val="none"/>
        </w:rPr>
        <w:t>1</w:t>
      </w:r>
      <w:r>
        <w:rPr>
          <w:rFonts w:hint="eastAsia" w:ascii="宋体" w:hAnsi="宋体"/>
          <w:bCs/>
          <w:color w:val="auto"/>
          <w:sz w:val="24"/>
          <w:highlight w:val="none"/>
        </w:rPr>
        <w:t>次一般违约责任，违约金数额为合同总价款的1%。</w:t>
      </w:r>
    </w:p>
    <w:p w14:paraId="64F85E06">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3</w:t>
      </w:r>
      <w:r>
        <w:rPr>
          <w:rFonts w:hint="eastAsia" w:ascii="宋体" w:hAnsi="宋体"/>
          <w:bCs/>
          <w:color w:val="auto"/>
          <w:sz w:val="24"/>
          <w:highlight w:val="none"/>
        </w:rPr>
        <w:t>、对于承包人每次进场材料，监理人不进行检查和登记；对已进场的材料，监理人不按有关规定及时进行抽查、送检的，每发生一次，监理人承担</w:t>
      </w:r>
      <w:r>
        <w:rPr>
          <w:rFonts w:ascii="宋体" w:hAnsi="宋体"/>
          <w:bCs/>
          <w:color w:val="auto"/>
          <w:sz w:val="24"/>
          <w:highlight w:val="none"/>
        </w:rPr>
        <w:t>1</w:t>
      </w:r>
      <w:r>
        <w:rPr>
          <w:rFonts w:hint="eastAsia" w:ascii="宋体" w:hAnsi="宋体"/>
          <w:bCs/>
          <w:color w:val="auto"/>
          <w:sz w:val="24"/>
          <w:highlight w:val="none"/>
        </w:rPr>
        <w:t>次一般违约责任。如由此出现不合格材料使用于工程上并造成质量缺陷，监理人必须承担严重违约责任</w:t>
      </w:r>
      <w:r>
        <w:rPr>
          <w:rFonts w:ascii="宋体" w:hAnsi="宋体"/>
          <w:bCs/>
          <w:color w:val="auto"/>
          <w:sz w:val="24"/>
          <w:highlight w:val="none"/>
        </w:rPr>
        <w:t>1</w:t>
      </w:r>
      <w:r>
        <w:rPr>
          <w:rFonts w:hint="eastAsia" w:ascii="宋体" w:hAnsi="宋体"/>
          <w:bCs/>
          <w:color w:val="auto"/>
          <w:sz w:val="24"/>
          <w:highlight w:val="none"/>
        </w:rPr>
        <w:t>次。</w:t>
      </w:r>
    </w:p>
    <w:p w14:paraId="4E27714D">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4</w:t>
      </w:r>
      <w:r>
        <w:rPr>
          <w:rFonts w:hint="eastAsia" w:ascii="宋体" w:hAnsi="宋体"/>
          <w:bCs/>
          <w:color w:val="auto"/>
          <w:sz w:val="24"/>
          <w:highlight w:val="none"/>
        </w:rPr>
        <w:t>、监理人在编制项目实施细则中，应按监理规范列明需监理人旁站的工序，并应得到委托人的批准。工程施工过程中，需要监理人进行旁站监督的，监理人没有到场，或者到场后没有进行有效监督，或发现质量问题后没有及时处理，没有向委托人报告，委托人有权给予书面警告并限期改正，监理人拒不限期改正的，应承担</w:t>
      </w:r>
      <w:r>
        <w:rPr>
          <w:rFonts w:ascii="宋体" w:hAnsi="宋体"/>
          <w:bCs/>
          <w:color w:val="auto"/>
          <w:sz w:val="24"/>
          <w:highlight w:val="none"/>
        </w:rPr>
        <w:t>1</w:t>
      </w:r>
      <w:r>
        <w:rPr>
          <w:rFonts w:hint="eastAsia" w:ascii="宋体" w:hAnsi="宋体"/>
          <w:bCs/>
          <w:color w:val="auto"/>
          <w:sz w:val="24"/>
          <w:highlight w:val="none"/>
        </w:rPr>
        <w:t>次一般违约责任。</w:t>
      </w:r>
    </w:p>
    <w:p w14:paraId="78BE1615">
      <w:pPr>
        <w:adjustRightInd w:val="0"/>
        <w:snapToGrid w:val="0"/>
        <w:spacing w:line="360" w:lineRule="auto"/>
        <w:ind w:firstLine="480" w:firstLineChars="200"/>
        <w:rPr>
          <w:rFonts w:ascii="宋体"/>
          <w:color w:val="auto"/>
          <w:sz w:val="24"/>
          <w:highlight w:val="none"/>
        </w:rPr>
      </w:pPr>
      <w:r>
        <w:rPr>
          <w:rFonts w:ascii="宋体" w:hAnsi="宋体"/>
          <w:bCs/>
          <w:color w:val="auto"/>
          <w:sz w:val="24"/>
          <w:highlight w:val="none"/>
        </w:rPr>
        <w:t>5</w:t>
      </w:r>
      <w:r>
        <w:rPr>
          <w:rFonts w:hint="eastAsia" w:ascii="宋体" w:hAnsi="宋体"/>
          <w:bCs/>
          <w:color w:val="auto"/>
          <w:sz w:val="24"/>
          <w:highlight w:val="none"/>
        </w:rPr>
        <w:t>、监理人对承包人的施工质量应每月定期或不定期组织大检查并作出报告给委托人。承包人的施工质量经监理人检验为合格，但经委托人或工程质量监督机构抽查，发现质量有不合格或未按设计要求和有关规范进行施工的，监理人应承担一般违约</w:t>
      </w:r>
      <w:r>
        <w:rPr>
          <w:rFonts w:ascii="宋体" w:hAnsi="宋体"/>
          <w:bCs/>
          <w:color w:val="auto"/>
          <w:sz w:val="24"/>
          <w:highlight w:val="none"/>
        </w:rPr>
        <w:t>1</w:t>
      </w:r>
      <w:r>
        <w:rPr>
          <w:rFonts w:hint="eastAsia" w:ascii="宋体" w:hAnsi="宋体"/>
          <w:bCs/>
          <w:color w:val="auto"/>
          <w:sz w:val="24"/>
          <w:highlight w:val="none"/>
        </w:rPr>
        <w:t>次，情节严重的承担严重违约责任</w:t>
      </w:r>
      <w:r>
        <w:rPr>
          <w:rFonts w:ascii="宋体" w:hAnsi="宋体"/>
          <w:bCs/>
          <w:color w:val="auto"/>
          <w:sz w:val="24"/>
          <w:highlight w:val="none"/>
        </w:rPr>
        <w:t>1</w:t>
      </w:r>
      <w:r>
        <w:rPr>
          <w:rFonts w:hint="eastAsia" w:ascii="宋体" w:hAnsi="宋体"/>
          <w:bCs/>
          <w:color w:val="auto"/>
          <w:sz w:val="24"/>
          <w:highlight w:val="none"/>
        </w:rPr>
        <w:t>次，同时，承包人和监理人应赔偿委托人的经济损失。</w:t>
      </w:r>
    </w:p>
    <w:p w14:paraId="5AF18BEE">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6</w:t>
      </w:r>
      <w:r>
        <w:rPr>
          <w:rFonts w:hint="eastAsia" w:ascii="宋体" w:hAnsi="宋体"/>
          <w:bCs/>
          <w:color w:val="auto"/>
          <w:sz w:val="24"/>
          <w:highlight w:val="none"/>
        </w:rPr>
        <w:t>、监理人怠于履行工程质量控制监理工作，导致工程质量事故造成损失超过</w:t>
      </w:r>
      <w:r>
        <w:rPr>
          <w:rFonts w:ascii="宋体" w:hAnsi="宋体"/>
          <w:bCs/>
          <w:color w:val="auto"/>
          <w:sz w:val="24"/>
          <w:highlight w:val="none"/>
        </w:rPr>
        <w:t>5</w:t>
      </w:r>
      <w:r>
        <w:rPr>
          <w:rFonts w:ascii="宋体"/>
          <w:bCs/>
          <w:color w:val="auto"/>
          <w:sz w:val="24"/>
          <w:highlight w:val="none"/>
        </w:rPr>
        <w:t>0</w:t>
      </w:r>
      <w:r>
        <w:rPr>
          <w:rFonts w:hint="eastAsia" w:ascii="宋体" w:hAnsi="宋体"/>
          <w:bCs/>
          <w:color w:val="auto"/>
          <w:sz w:val="24"/>
          <w:highlight w:val="none"/>
        </w:rPr>
        <w:t>万元的，每发生一次，监理人承担严重违约责任</w:t>
      </w:r>
      <w:r>
        <w:rPr>
          <w:rFonts w:ascii="宋体" w:hAnsi="宋体"/>
          <w:bCs/>
          <w:color w:val="auto"/>
          <w:sz w:val="24"/>
          <w:highlight w:val="none"/>
        </w:rPr>
        <w:t>1</w:t>
      </w:r>
      <w:r>
        <w:rPr>
          <w:rFonts w:hint="eastAsia" w:ascii="宋体" w:hAnsi="宋体"/>
          <w:bCs/>
          <w:color w:val="auto"/>
          <w:sz w:val="24"/>
          <w:highlight w:val="none"/>
        </w:rPr>
        <w:t>次。工程出现其他质量问题或缺陷造成损失超过</w:t>
      </w:r>
      <w:r>
        <w:rPr>
          <w:rFonts w:ascii="宋体" w:hAnsi="宋体"/>
          <w:bCs/>
          <w:color w:val="auto"/>
          <w:sz w:val="24"/>
          <w:highlight w:val="none"/>
        </w:rPr>
        <w:t>5</w:t>
      </w:r>
      <w:r>
        <w:rPr>
          <w:rFonts w:ascii="宋体"/>
          <w:bCs/>
          <w:color w:val="auto"/>
          <w:sz w:val="24"/>
          <w:highlight w:val="none"/>
        </w:rPr>
        <w:t>0</w:t>
      </w:r>
      <w:r>
        <w:rPr>
          <w:rFonts w:hint="eastAsia" w:ascii="宋体" w:hAnsi="宋体"/>
          <w:bCs/>
          <w:color w:val="auto"/>
          <w:sz w:val="24"/>
          <w:highlight w:val="none"/>
        </w:rPr>
        <w:t>万元以下的，监理人负有责任的，每发生一次，监理人承担一般违约责任</w:t>
      </w:r>
      <w:r>
        <w:rPr>
          <w:rFonts w:ascii="宋体" w:hAnsi="宋体"/>
          <w:bCs/>
          <w:color w:val="auto"/>
          <w:sz w:val="24"/>
          <w:highlight w:val="none"/>
        </w:rPr>
        <w:t>1</w:t>
      </w:r>
      <w:r>
        <w:rPr>
          <w:rFonts w:hint="eastAsia" w:ascii="宋体" w:hAnsi="宋体"/>
          <w:bCs/>
          <w:color w:val="auto"/>
          <w:sz w:val="24"/>
          <w:highlight w:val="none"/>
        </w:rPr>
        <w:t>次。工程发生重大质量、安全事故，监理人负有责任的，委托人有权视情况的严重程度要求监理人承担违约责任，直至部分或全部解除合同。</w:t>
      </w:r>
    </w:p>
    <w:p w14:paraId="523A607B">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7</w:t>
      </w:r>
      <w:r>
        <w:rPr>
          <w:rFonts w:hint="eastAsia" w:ascii="宋体" w:hAnsi="宋体"/>
          <w:bCs/>
          <w:color w:val="auto"/>
          <w:sz w:val="24"/>
          <w:highlight w:val="none"/>
        </w:rPr>
        <w:t>、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工期比计划滞后</w:t>
      </w:r>
      <w:r>
        <w:rPr>
          <w:rFonts w:ascii="宋体" w:hAnsi="宋体"/>
          <w:bCs/>
          <w:color w:val="auto"/>
          <w:sz w:val="24"/>
          <w:highlight w:val="none"/>
        </w:rPr>
        <w:t>3</w:t>
      </w:r>
      <w:r>
        <w:rPr>
          <w:rFonts w:hint="eastAsia" w:ascii="宋体" w:hAnsi="宋体"/>
          <w:bCs/>
          <w:color w:val="auto"/>
          <w:sz w:val="24"/>
          <w:highlight w:val="none"/>
        </w:rPr>
        <w:t>日以上（含</w:t>
      </w:r>
      <w:r>
        <w:rPr>
          <w:rFonts w:ascii="宋体" w:hAnsi="宋体"/>
          <w:bCs/>
          <w:color w:val="auto"/>
          <w:sz w:val="24"/>
          <w:highlight w:val="none"/>
        </w:rPr>
        <w:t>3</w:t>
      </w:r>
      <w:r>
        <w:rPr>
          <w:rFonts w:hint="eastAsia" w:ascii="宋体" w:hAnsi="宋体"/>
          <w:bCs/>
          <w:color w:val="auto"/>
          <w:sz w:val="24"/>
          <w:highlight w:val="none"/>
        </w:rPr>
        <w:t>日）的，监理人必须承担一般违约责任</w:t>
      </w:r>
      <w:r>
        <w:rPr>
          <w:rFonts w:ascii="宋体" w:hAnsi="宋体"/>
          <w:bCs/>
          <w:color w:val="auto"/>
          <w:sz w:val="24"/>
          <w:highlight w:val="none"/>
        </w:rPr>
        <w:t>1</w:t>
      </w:r>
      <w:r>
        <w:rPr>
          <w:rFonts w:hint="eastAsia" w:ascii="宋体" w:hAnsi="宋体"/>
          <w:bCs/>
          <w:color w:val="auto"/>
          <w:sz w:val="24"/>
          <w:highlight w:val="none"/>
        </w:rPr>
        <w:t>次；出现关键工期滞后</w:t>
      </w:r>
      <w:r>
        <w:rPr>
          <w:rFonts w:ascii="宋体" w:hAnsi="宋体"/>
          <w:bCs/>
          <w:color w:val="auto"/>
          <w:sz w:val="24"/>
          <w:highlight w:val="none"/>
        </w:rPr>
        <w:t>5</w:t>
      </w:r>
      <w:r>
        <w:rPr>
          <w:rFonts w:hint="eastAsia" w:ascii="宋体" w:hAnsi="宋体"/>
          <w:bCs/>
          <w:color w:val="auto"/>
          <w:sz w:val="24"/>
          <w:highlight w:val="none"/>
        </w:rPr>
        <w:t>天以上（含</w:t>
      </w:r>
      <w:r>
        <w:rPr>
          <w:rFonts w:ascii="宋体" w:hAnsi="宋体"/>
          <w:bCs/>
          <w:color w:val="auto"/>
          <w:sz w:val="24"/>
          <w:highlight w:val="none"/>
        </w:rPr>
        <w:t>5</w:t>
      </w:r>
      <w:r>
        <w:rPr>
          <w:rFonts w:hint="eastAsia" w:ascii="宋体" w:hAnsi="宋体"/>
          <w:bCs/>
          <w:color w:val="auto"/>
          <w:sz w:val="24"/>
          <w:highlight w:val="none"/>
        </w:rPr>
        <w:t>天）的，监理人必须承担严重违约责任</w:t>
      </w:r>
      <w:r>
        <w:rPr>
          <w:rFonts w:ascii="宋体" w:hAnsi="宋体"/>
          <w:bCs/>
          <w:color w:val="auto"/>
          <w:sz w:val="24"/>
          <w:highlight w:val="none"/>
        </w:rPr>
        <w:t>1</w:t>
      </w:r>
      <w:r>
        <w:rPr>
          <w:rFonts w:hint="eastAsia" w:ascii="宋体" w:hAnsi="宋体"/>
          <w:bCs/>
          <w:color w:val="auto"/>
          <w:sz w:val="24"/>
          <w:highlight w:val="none"/>
        </w:rPr>
        <w:t>次；出现关键线路工期滞后</w:t>
      </w:r>
      <w:r>
        <w:rPr>
          <w:rFonts w:ascii="宋体" w:hAnsi="宋体"/>
          <w:bCs/>
          <w:color w:val="auto"/>
          <w:sz w:val="24"/>
          <w:highlight w:val="none"/>
        </w:rPr>
        <w:t>10</w:t>
      </w:r>
      <w:r>
        <w:rPr>
          <w:rFonts w:hint="eastAsia" w:ascii="宋体" w:hAnsi="宋体"/>
          <w:bCs/>
          <w:color w:val="auto"/>
          <w:sz w:val="24"/>
          <w:highlight w:val="none"/>
        </w:rPr>
        <w:t>天以上（含</w:t>
      </w:r>
      <w:r>
        <w:rPr>
          <w:rFonts w:ascii="宋体" w:hAnsi="宋体"/>
          <w:bCs/>
          <w:color w:val="auto"/>
          <w:sz w:val="24"/>
          <w:highlight w:val="none"/>
        </w:rPr>
        <w:t>10</w:t>
      </w:r>
      <w:r>
        <w:rPr>
          <w:rFonts w:hint="eastAsia" w:ascii="宋体" w:hAnsi="宋体"/>
          <w:bCs/>
          <w:color w:val="auto"/>
          <w:sz w:val="24"/>
          <w:highlight w:val="none"/>
        </w:rPr>
        <w:t>天）的，委托人有权部分或全部解除合同。</w:t>
      </w:r>
    </w:p>
    <w:p w14:paraId="360254A8">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8</w:t>
      </w:r>
      <w:r>
        <w:rPr>
          <w:rFonts w:hint="eastAsia" w:ascii="宋体" w:hAnsi="宋体"/>
          <w:bCs/>
          <w:color w:val="auto"/>
          <w:sz w:val="24"/>
          <w:highlight w:val="none"/>
        </w:rPr>
        <w:t>、对于承包人提交的现场签证资料，监理人未有准确、真实的现场原始记录或不进行现场复核就给予签认，经委托人检查，发现签认的文件有误的，除立即改正外，监理人承担一般违约责任</w:t>
      </w:r>
      <w:r>
        <w:rPr>
          <w:rFonts w:ascii="宋体" w:hAnsi="宋体"/>
          <w:bCs/>
          <w:color w:val="auto"/>
          <w:sz w:val="24"/>
          <w:highlight w:val="none"/>
        </w:rPr>
        <w:t>1</w:t>
      </w:r>
      <w:r>
        <w:rPr>
          <w:rFonts w:hint="eastAsia" w:ascii="宋体" w:hAnsi="宋体"/>
          <w:bCs/>
          <w:color w:val="auto"/>
          <w:sz w:val="24"/>
          <w:highlight w:val="none"/>
        </w:rPr>
        <w:t>次（具体违约责任包括但不限于支付违约金人民币5000元，违约金不足以弥补委托人损失的，监理人还应另行承担赔偿责任）；对签证错误有可能给委托人造成直接经济损失</w:t>
      </w:r>
      <w:r>
        <w:rPr>
          <w:rFonts w:ascii="宋体" w:hAnsi="宋体"/>
          <w:bCs/>
          <w:color w:val="auto"/>
          <w:sz w:val="24"/>
          <w:highlight w:val="none"/>
        </w:rPr>
        <w:t>10</w:t>
      </w:r>
      <w:r>
        <w:rPr>
          <w:rFonts w:hint="eastAsia" w:ascii="宋体" w:hAnsi="宋体"/>
          <w:bCs/>
          <w:color w:val="auto"/>
          <w:sz w:val="24"/>
          <w:highlight w:val="none"/>
        </w:rPr>
        <w:t>万元（含</w:t>
      </w:r>
      <w:r>
        <w:rPr>
          <w:rFonts w:ascii="宋体" w:hAnsi="宋体"/>
          <w:bCs/>
          <w:color w:val="auto"/>
          <w:sz w:val="24"/>
          <w:highlight w:val="none"/>
        </w:rPr>
        <w:t>10</w:t>
      </w:r>
      <w:r>
        <w:rPr>
          <w:rFonts w:hint="eastAsia" w:ascii="宋体" w:hAnsi="宋体"/>
          <w:bCs/>
          <w:color w:val="auto"/>
          <w:sz w:val="24"/>
          <w:highlight w:val="none"/>
        </w:rPr>
        <w:t>万元）以上的，按严重违约</w:t>
      </w:r>
      <w:r>
        <w:rPr>
          <w:rFonts w:ascii="宋体" w:hAnsi="宋体"/>
          <w:bCs/>
          <w:color w:val="auto"/>
          <w:sz w:val="24"/>
          <w:highlight w:val="none"/>
        </w:rPr>
        <w:t>1</w:t>
      </w:r>
      <w:r>
        <w:rPr>
          <w:rFonts w:hint="eastAsia" w:ascii="宋体" w:hAnsi="宋体"/>
          <w:bCs/>
          <w:color w:val="auto"/>
          <w:sz w:val="24"/>
          <w:highlight w:val="none"/>
        </w:rPr>
        <w:t>次处理；如因监理人故意造成的，则按本合同专用条款第</w:t>
      </w:r>
      <w:r>
        <w:rPr>
          <w:rFonts w:ascii="宋体" w:hAnsi="宋体"/>
          <w:bCs/>
          <w:color w:val="auto"/>
          <w:sz w:val="24"/>
          <w:highlight w:val="none"/>
        </w:rPr>
        <w:t>26</w:t>
      </w:r>
      <w:r>
        <w:rPr>
          <w:rFonts w:hint="eastAsia" w:ascii="宋体" w:hAnsi="宋体"/>
          <w:bCs/>
          <w:color w:val="auto"/>
          <w:sz w:val="24"/>
          <w:highlight w:val="none"/>
        </w:rPr>
        <w:t>条（一）款</w:t>
      </w:r>
      <w:r>
        <w:rPr>
          <w:rFonts w:ascii="宋体" w:hAnsi="宋体"/>
          <w:bCs/>
          <w:color w:val="auto"/>
          <w:sz w:val="24"/>
          <w:highlight w:val="none"/>
        </w:rPr>
        <w:t>6</w:t>
      </w:r>
      <w:r>
        <w:rPr>
          <w:rFonts w:hint="eastAsia" w:ascii="宋体" w:hAnsi="宋体"/>
          <w:bCs/>
          <w:color w:val="auto"/>
          <w:sz w:val="24"/>
          <w:highlight w:val="none"/>
        </w:rPr>
        <w:t>项执行；对于现场签证（含工程数量、单价等）未经过监理人审核、或经过监理人审核但未在规定时间内报送委托人，除必须立即改正外，每累计出现</w:t>
      </w:r>
      <w:r>
        <w:rPr>
          <w:rFonts w:ascii="宋体" w:hAnsi="宋体"/>
          <w:bCs/>
          <w:color w:val="auto"/>
          <w:sz w:val="24"/>
          <w:highlight w:val="none"/>
        </w:rPr>
        <w:t>2</w:t>
      </w:r>
      <w:r>
        <w:rPr>
          <w:rFonts w:hint="eastAsia" w:ascii="宋体" w:hAnsi="宋体"/>
          <w:bCs/>
          <w:color w:val="auto"/>
          <w:sz w:val="24"/>
          <w:highlight w:val="none"/>
        </w:rPr>
        <w:t>次，监理人必须承担一般违约责任</w:t>
      </w:r>
      <w:r>
        <w:rPr>
          <w:rFonts w:ascii="宋体" w:hAnsi="宋体"/>
          <w:bCs/>
          <w:color w:val="auto"/>
          <w:sz w:val="24"/>
          <w:highlight w:val="none"/>
        </w:rPr>
        <w:t>1</w:t>
      </w:r>
      <w:r>
        <w:rPr>
          <w:rFonts w:hint="eastAsia" w:ascii="宋体" w:hAnsi="宋体"/>
          <w:bCs/>
          <w:color w:val="auto"/>
          <w:sz w:val="24"/>
          <w:highlight w:val="none"/>
        </w:rPr>
        <w:t>次。</w:t>
      </w:r>
    </w:p>
    <w:p w14:paraId="2BB458B5">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9</w:t>
      </w:r>
      <w:r>
        <w:rPr>
          <w:rFonts w:hint="eastAsia" w:ascii="宋体" w:hAnsi="宋体"/>
          <w:bCs/>
          <w:color w:val="auto"/>
          <w:sz w:val="24"/>
          <w:highlight w:val="none"/>
        </w:rPr>
        <w:t>、对承包人提交的施工方案、设计变更以及施工图、深化设计图等技术文件，监理人对其中明显不符合现场实际的部分，或者与招投标文件不符、会引起委托人投资增加、工期延误的部分，不进行认真审核、不进行优化就给予同意的，除必须限期改正外，每发生一次，监理人必须承担</w:t>
      </w:r>
      <w:r>
        <w:rPr>
          <w:rFonts w:ascii="宋体" w:hAnsi="宋体"/>
          <w:bCs/>
          <w:color w:val="auto"/>
          <w:sz w:val="24"/>
          <w:highlight w:val="none"/>
        </w:rPr>
        <w:t>1</w:t>
      </w:r>
      <w:r>
        <w:rPr>
          <w:rFonts w:hint="eastAsia" w:ascii="宋体" w:hAnsi="宋体"/>
          <w:bCs/>
          <w:color w:val="auto"/>
          <w:sz w:val="24"/>
          <w:highlight w:val="none"/>
        </w:rPr>
        <w:t>次一般违约责任，情节严重的（造成损失【</w:t>
      </w:r>
      <w:r>
        <w:rPr>
          <w:rFonts w:ascii="宋体" w:hAnsi="宋体"/>
          <w:bCs/>
          <w:color w:val="auto"/>
          <w:sz w:val="24"/>
          <w:highlight w:val="none"/>
        </w:rPr>
        <w:t>1】万元（含）以上的）</w:t>
      </w:r>
      <w:r>
        <w:rPr>
          <w:rFonts w:hint="eastAsia" w:ascii="宋体" w:hAnsi="宋体"/>
          <w:bCs/>
          <w:color w:val="auto"/>
          <w:sz w:val="24"/>
          <w:highlight w:val="none"/>
        </w:rPr>
        <w:t>，委托人可视情况要求监理人承担严重违约责任。对承包人提交的施工方案、设计变更等技术文件，监理人应当在</w:t>
      </w:r>
      <w:r>
        <w:rPr>
          <w:rFonts w:ascii="宋体" w:hAnsi="宋体"/>
          <w:bCs/>
          <w:color w:val="auto"/>
          <w:sz w:val="24"/>
          <w:highlight w:val="none"/>
        </w:rPr>
        <w:t>3</w:t>
      </w:r>
      <w:r>
        <w:rPr>
          <w:rFonts w:hint="eastAsia" w:ascii="宋体" w:hAnsi="宋体"/>
          <w:bCs/>
          <w:color w:val="auto"/>
          <w:sz w:val="24"/>
          <w:highlight w:val="none"/>
        </w:rPr>
        <w:t>日内予以批复，监理人未及时批复的，视延误程度，监理人承担一般违约责任</w:t>
      </w:r>
      <w:r>
        <w:rPr>
          <w:rFonts w:ascii="宋体" w:hAnsi="宋体"/>
          <w:bCs/>
          <w:color w:val="auto"/>
          <w:sz w:val="24"/>
          <w:highlight w:val="none"/>
        </w:rPr>
        <w:t>1</w:t>
      </w:r>
      <w:r>
        <w:rPr>
          <w:rFonts w:hint="eastAsia" w:ascii="宋体" w:hAnsi="宋体"/>
          <w:bCs/>
          <w:color w:val="auto"/>
          <w:sz w:val="24"/>
          <w:highlight w:val="none"/>
        </w:rPr>
        <w:t>次或严重违约程度</w:t>
      </w:r>
      <w:r>
        <w:rPr>
          <w:rFonts w:ascii="宋体" w:hAnsi="宋体"/>
          <w:bCs/>
          <w:color w:val="auto"/>
          <w:sz w:val="24"/>
          <w:highlight w:val="none"/>
        </w:rPr>
        <w:t>1</w:t>
      </w:r>
      <w:r>
        <w:rPr>
          <w:rFonts w:hint="eastAsia" w:ascii="宋体" w:hAnsi="宋体"/>
          <w:bCs/>
          <w:color w:val="auto"/>
          <w:sz w:val="24"/>
          <w:highlight w:val="none"/>
        </w:rPr>
        <w:t>次（延误【</w:t>
      </w:r>
      <w:r>
        <w:rPr>
          <w:rFonts w:ascii="宋体" w:hAnsi="宋体"/>
          <w:bCs/>
          <w:color w:val="auto"/>
          <w:sz w:val="24"/>
          <w:highlight w:val="none"/>
        </w:rPr>
        <w:t>3】天（含）以上）</w:t>
      </w:r>
      <w:r>
        <w:rPr>
          <w:rFonts w:hint="eastAsia" w:ascii="宋体" w:hAnsi="宋体"/>
          <w:bCs/>
          <w:color w:val="auto"/>
          <w:sz w:val="24"/>
          <w:highlight w:val="none"/>
        </w:rPr>
        <w:t>，监理人未在3日内批复的，每延迟一天应按合同总价款的0.1%支付违约金；须转报委托人审批的，监理人应在</w:t>
      </w:r>
      <w:r>
        <w:rPr>
          <w:rFonts w:ascii="宋体" w:hAnsi="宋体"/>
          <w:bCs/>
          <w:color w:val="auto"/>
          <w:sz w:val="24"/>
          <w:highlight w:val="none"/>
        </w:rPr>
        <w:t>3</w:t>
      </w:r>
      <w:r>
        <w:rPr>
          <w:rFonts w:hint="eastAsia" w:ascii="宋体" w:hAnsi="宋体"/>
          <w:bCs/>
          <w:color w:val="auto"/>
          <w:sz w:val="24"/>
          <w:highlight w:val="none"/>
        </w:rPr>
        <w:t>日内出具审核意见报委托人，监理人未在</w:t>
      </w:r>
      <w:r>
        <w:rPr>
          <w:rFonts w:ascii="宋体" w:hAnsi="宋体"/>
          <w:bCs/>
          <w:color w:val="auto"/>
          <w:sz w:val="24"/>
          <w:highlight w:val="none"/>
        </w:rPr>
        <w:t>3</w:t>
      </w:r>
      <w:r>
        <w:rPr>
          <w:rFonts w:hint="eastAsia" w:ascii="宋体" w:hAnsi="宋体"/>
          <w:bCs/>
          <w:color w:val="auto"/>
          <w:sz w:val="24"/>
          <w:highlight w:val="none"/>
        </w:rPr>
        <w:t>日内报委托人或未出具审核意见的，监理人除必须限期改正外，监理人必须承担一般违约责任</w:t>
      </w:r>
      <w:r>
        <w:rPr>
          <w:rFonts w:ascii="宋体" w:hAnsi="宋体"/>
          <w:bCs/>
          <w:color w:val="auto"/>
          <w:sz w:val="24"/>
          <w:highlight w:val="none"/>
        </w:rPr>
        <w:t>1</w:t>
      </w:r>
      <w:r>
        <w:rPr>
          <w:rFonts w:hint="eastAsia" w:ascii="宋体" w:hAnsi="宋体"/>
          <w:bCs/>
          <w:color w:val="auto"/>
          <w:sz w:val="24"/>
          <w:highlight w:val="none"/>
        </w:rPr>
        <w:t>次。承包人提交给监理人审核的资料或文件存在错误须承包人改正的，监理人应将所有错误一次性要求承包人改正，监理人要求承包人反复修改的，委托人有权给予书面警告并限期改正，监理人拒不限期改正的，应承担</w:t>
      </w:r>
      <w:r>
        <w:rPr>
          <w:rFonts w:ascii="宋体" w:hAnsi="宋体"/>
          <w:bCs/>
          <w:color w:val="auto"/>
          <w:sz w:val="24"/>
          <w:highlight w:val="none"/>
        </w:rPr>
        <w:t>1</w:t>
      </w:r>
      <w:r>
        <w:rPr>
          <w:rFonts w:hint="eastAsia" w:ascii="宋体" w:hAnsi="宋体"/>
          <w:bCs/>
          <w:color w:val="auto"/>
          <w:sz w:val="24"/>
          <w:highlight w:val="none"/>
        </w:rPr>
        <w:t>次一般违约责任。</w:t>
      </w:r>
    </w:p>
    <w:p w14:paraId="2DED3615">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10</w:t>
      </w:r>
      <w:r>
        <w:rPr>
          <w:rFonts w:hint="eastAsia" w:ascii="宋体" w:hAnsi="宋体"/>
          <w:bCs/>
          <w:color w:val="auto"/>
          <w:sz w:val="24"/>
          <w:highlight w:val="none"/>
        </w:rPr>
        <w:t>、监理人未履行本合同约定的文明施工管理责任的，委托人可发出书面警告要求其限期改正，委托人发出书面警告后，监理人在整改期限内仍不加以改正的，每发生一次，监理人承担一次一般违约责任，委托人有权按合同总价款的1%扣减监理报酬。</w:t>
      </w:r>
    </w:p>
    <w:p w14:paraId="7D4604F1">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11</w:t>
      </w:r>
      <w:r>
        <w:rPr>
          <w:rFonts w:hint="eastAsia" w:ascii="宋体" w:hAnsi="宋体"/>
          <w:bCs/>
          <w:color w:val="auto"/>
          <w:sz w:val="24"/>
          <w:highlight w:val="none"/>
        </w:rPr>
        <w:t>、监理人应当按时对承包人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w:t>
      </w:r>
      <w:r>
        <w:rPr>
          <w:rFonts w:ascii="宋体" w:hAnsi="宋体"/>
          <w:bCs/>
          <w:color w:val="auto"/>
          <w:sz w:val="24"/>
          <w:highlight w:val="none"/>
        </w:rPr>
        <w:t>1</w:t>
      </w:r>
      <w:r>
        <w:rPr>
          <w:rFonts w:hint="eastAsia" w:ascii="宋体" w:hAnsi="宋体"/>
          <w:bCs/>
          <w:color w:val="auto"/>
          <w:sz w:val="24"/>
          <w:highlight w:val="none"/>
        </w:rPr>
        <w:t>次，情节严重的（不符合约定确认的计量达到【</w:t>
      </w:r>
      <w:r>
        <w:rPr>
          <w:rFonts w:ascii="宋体" w:hAnsi="宋体"/>
          <w:bCs/>
          <w:color w:val="auto"/>
          <w:sz w:val="24"/>
          <w:highlight w:val="none"/>
        </w:rPr>
        <w:t>3】及以上的）</w:t>
      </w:r>
      <w:r>
        <w:rPr>
          <w:rFonts w:hint="eastAsia" w:ascii="宋体" w:hAnsi="宋体"/>
          <w:bCs/>
          <w:color w:val="auto"/>
          <w:sz w:val="24"/>
          <w:highlight w:val="none"/>
        </w:rPr>
        <w:t>应承担严重违约责任</w:t>
      </w:r>
      <w:r>
        <w:rPr>
          <w:rFonts w:ascii="宋体" w:hAnsi="宋体"/>
          <w:bCs/>
          <w:color w:val="auto"/>
          <w:sz w:val="24"/>
          <w:highlight w:val="none"/>
        </w:rPr>
        <w:t>1</w:t>
      </w:r>
      <w:r>
        <w:rPr>
          <w:rFonts w:hint="eastAsia" w:ascii="宋体" w:hAnsi="宋体"/>
          <w:bCs/>
          <w:color w:val="auto"/>
          <w:sz w:val="24"/>
          <w:highlight w:val="none"/>
        </w:rPr>
        <w:t>次，给委托人造成损失的，应当赔偿损失。</w:t>
      </w:r>
    </w:p>
    <w:p w14:paraId="504BE242">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12</w:t>
      </w:r>
      <w:r>
        <w:rPr>
          <w:rFonts w:hint="eastAsia" w:ascii="宋体" w:hAnsi="宋体"/>
          <w:bCs/>
          <w:color w:val="auto"/>
          <w:sz w:val="24"/>
          <w:highlight w:val="none"/>
        </w:rPr>
        <w:t>、对于承包人提交的请款报告，监理人不按实际完成的工作量进行审核，或不按本合同要求签署拨款意见，被审查发现后，必须限期改正，如监理人审核的当期支付金额超过经过委托人复核的实际应付金额</w:t>
      </w:r>
      <w:r>
        <w:rPr>
          <w:rFonts w:ascii="宋体" w:hAnsi="宋体"/>
          <w:bCs/>
          <w:color w:val="auto"/>
          <w:sz w:val="24"/>
          <w:highlight w:val="none"/>
        </w:rPr>
        <w:t>5</w:t>
      </w:r>
      <w:r>
        <w:rPr>
          <w:rFonts w:hint="eastAsia" w:ascii="宋体" w:hAnsi="宋体"/>
          <w:bCs/>
          <w:color w:val="auto"/>
          <w:sz w:val="24"/>
          <w:highlight w:val="none"/>
        </w:rPr>
        <w:t>％以上的，监理人必须承担一般违约责任</w:t>
      </w:r>
      <w:r>
        <w:rPr>
          <w:rFonts w:ascii="宋体" w:hAnsi="宋体"/>
          <w:bCs/>
          <w:color w:val="auto"/>
          <w:sz w:val="24"/>
          <w:highlight w:val="none"/>
        </w:rPr>
        <w:t>1</w:t>
      </w:r>
      <w:r>
        <w:rPr>
          <w:rFonts w:hint="eastAsia" w:ascii="宋体" w:hAnsi="宋体"/>
          <w:bCs/>
          <w:color w:val="auto"/>
          <w:sz w:val="24"/>
          <w:highlight w:val="none"/>
        </w:rPr>
        <w:t>次，超过</w:t>
      </w:r>
      <w:r>
        <w:rPr>
          <w:rFonts w:ascii="宋体" w:hAnsi="宋体"/>
          <w:bCs/>
          <w:color w:val="auto"/>
          <w:sz w:val="24"/>
          <w:highlight w:val="none"/>
        </w:rPr>
        <w:t>10%</w:t>
      </w:r>
      <w:r>
        <w:rPr>
          <w:rFonts w:hint="eastAsia" w:ascii="宋体" w:hAnsi="宋体"/>
          <w:bCs/>
          <w:color w:val="auto"/>
          <w:sz w:val="24"/>
          <w:highlight w:val="none"/>
        </w:rPr>
        <w:t>的，应承担严重违约责任</w:t>
      </w:r>
      <w:r>
        <w:rPr>
          <w:rFonts w:ascii="宋体" w:hAnsi="宋体"/>
          <w:bCs/>
          <w:color w:val="auto"/>
          <w:sz w:val="24"/>
          <w:highlight w:val="none"/>
        </w:rPr>
        <w:t>1</w:t>
      </w:r>
      <w:r>
        <w:rPr>
          <w:rFonts w:hint="eastAsia" w:ascii="宋体" w:hAnsi="宋体"/>
          <w:bCs/>
          <w:color w:val="auto"/>
          <w:sz w:val="24"/>
          <w:highlight w:val="none"/>
        </w:rPr>
        <w:t>次。监理人因审核不实造成委托人超额付款的，应赔偿委托人全部损失，并按超额付款金额的10%支付违约金。若由此给委托人造成超额付款在</w:t>
      </w:r>
      <w:r>
        <w:rPr>
          <w:rFonts w:ascii="宋体" w:hAnsi="宋体"/>
          <w:bCs/>
          <w:color w:val="auto"/>
          <w:sz w:val="24"/>
          <w:highlight w:val="none"/>
        </w:rPr>
        <w:t>50</w:t>
      </w:r>
      <w:r>
        <w:rPr>
          <w:rFonts w:hint="eastAsia" w:ascii="宋体" w:hAnsi="宋体"/>
          <w:bCs/>
          <w:color w:val="auto"/>
          <w:sz w:val="24"/>
          <w:highlight w:val="none"/>
        </w:rPr>
        <w:t>万元以上（含</w:t>
      </w:r>
      <w:r>
        <w:rPr>
          <w:rFonts w:ascii="宋体" w:hAnsi="宋体"/>
          <w:bCs/>
          <w:color w:val="auto"/>
          <w:sz w:val="24"/>
          <w:highlight w:val="none"/>
        </w:rPr>
        <w:t>50</w:t>
      </w:r>
      <w:r>
        <w:rPr>
          <w:rFonts w:hint="eastAsia" w:ascii="宋体" w:hAnsi="宋体"/>
          <w:bCs/>
          <w:color w:val="auto"/>
          <w:sz w:val="24"/>
          <w:highlight w:val="none"/>
        </w:rPr>
        <w:t>万元）的，监理人除必须承担相应的经济赔偿外，委托人将视情况部分或全部解除合同。</w:t>
      </w:r>
    </w:p>
    <w:p w14:paraId="462C0A75">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13</w:t>
      </w:r>
      <w:r>
        <w:rPr>
          <w:rFonts w:hint="eastAsia" w:ascii="宋体" w:hAnsi="宋体"/>
          <w:bCs/>
          <w:color w:val="auto"/>
          <w:sz w:val="24"/>
          <w:highlight w:val="none"/>
        </w:rPr>
        <w:t>、监理人同时发生本合同专用条款第</w:t>
      </w:r>
      <w:r>
        <w:rPr>
          <w:rFonts w:ascii="宋体" w:hAnsi="宋体"/>
          <w:bCs/>
          <w:color w:val="auto"/>
          <w:sz w:val="24"/>
          <w:highlight w:val="none"/>
        </w:rPr>
        <w:t>26</w:t>
      </w:r>
      <w:r>
        <w:rPr>
          <w:rFonts w:hint="eastAsia" w:ascii="宋体" w:hAnsi="宋体"/>
          <w:bCs/>
          <w:color w:val="auto"/>
          <w:sz w:val="24"/>
          <w:highlight w:val="none"/>
        </w:rPr>
        <w:t>条（四）款</w:t>
      </w:r>
      <w:r>
        <w:rPr>
          <w:rFonts w:ascii="宋体" w:hAnsi="宋体"/>
          <w:bCs/>
          <w:color w:val="auto"/>
          <w:sz w:val="24"/>
          <w:highlight w:val="none"/>
        </w:rPr>
        <w:t>8</w:t>
      </w:r>
      <w:r>
        <w:rPr>
          <w:rFonts w:hint="eastAsia" w:ascii="宋体" w:hAnsi="宋体"/>
          <w:bCs/>
          <w:color w:val="auto"/>
          <w:sz w:val="24"/>
          <w:highlight w:val="none"/>
        </w:rPr>
        <w:t>、</w:t>
      </w:r>
      <w:r>
        <w:rPr>
          <w:rFonts w:ascii="宋体" w:hAnsi="宋体"/>
          <w:bCs/>
          <w:color w:val="auto"/>
          <w:sz w:val="24"/>
          <w:highlight w:val="none"/>
        </w:rPr>
        <w:t>9</w:t>
      </w:r>
      <w:r>
        <w:rPr>
          <w:rFonts w:hint="eastAsia" w:ascii="宋体" w:hAnsi="宋体"/>
          <w:bCs/>
          <w:color w:val="auto"/>
          <w:sz w:val="24"/>
          <w:highlight w:val="none"/>
        </w:rPr>
        <w:t>、</w:t>
      </w:r>
      <w:r>
        <w:rPr>
          <w:rFonts w:ascii="宋体" w:hAnsi="宋体"/>
          <w:bCs/>
          <w:color w:val="auto"/>
          <w:sz w:val="24"/>
          <w:highlight w:val="none"/>
        </w:rPr>
        <w:t>11</w:t>
      </w:r>
      <w:r>
        <w:rPr>
          <w:rFonts w:hint="eastAsia" w:ascii="宋体" w:hAnsi="宋体"/>
          <w:bCs/>
          <w:color w:val="auto"/>
          <w:sz w:val="24"/>
          <w:highlight w:val="none"/>
        </w:rPr>
        <w:t>、</w:t>
      </w:r>
      <w:r>
        <w:rPr>
          <w:rFonts w:ascii="宋体" w:hAnsi="宋体"/>
          <w:bCs/>
          <w:color w:val="auto"/>
          <w:sz w:val="24"/>
          <w:highlight w:val="none"/>
        </w:rPr>
        <w:t>12</w:t>
      </w:r>
      <w:r>
        <w:rPr>
          <w:rFonts w:hint="eastAsia" w:ascii="宋体" w:hAnsi="宋体"/>
          <w:bCs/>
          <w:color w:val="auto"/>
          <w:sz w:val="24"/>
          <w:highlight w:val="none"/>
        </w:rPr>
        <w:t>项约定的违约行为的，视同监理人和承包人串通作假，委托人有权单方解除合同，造成委托人损失的，委托人有权按本合同专用条款第</w:t>
      </w:r>
      <w:r>
        <w:rPr>
          <w:rFonts w:ascii="宋体" w:hAnsi="宋体"/>
          <w:bCs/>
          <w:color w:val="auto"/>
          <w:sz w:val="24"/>
          <w:highlight w:val="none"/>
        </w:rPr>
        <w:t>26</w:t>
      </w:r>
      <w:r>
        <w:rPr>
          <w:rFonts w:hint="eastAsia" w:ascii="宋体" w:hAnsi="宋体"/>
          <w:bCs/>
          <w:color w:val="auto"/>
          <w:sz w:val="24"/>
          <w:highlight w:val="none"/>
        </w:rPr>
        <w:t>条（一）款</w:t>
      </w:r>
      <w:r>
        <w:rPr>
          <w:rFonts w:ascii="宋体" w:hAnsi="宋体"/>
          <w:bCs/>
          <w:color w:val="auto"/>
          <w:sz w:val="24"/>
          <w:highlight w:val="none"/>
        </w:rPr>
        <w:t>6</w:t>
      </w:r>
      <w:r>
        <w:rPr>
          <w:rFonts w:hint="eastAsia" w:ascii="宋体" w:hAnsi="宋体"/>
          <w:bCs/>
          <w:color w:val="auto"/>
          <w:sz w:val="24"/>
          <w:highlight w:val="none"/>
        </w:rPr>
        <w:t>项的约定要求监理人承担赔偿责任。</w:t>
      </w:r>
    </w:p>
    <w:p w14:paraId="1E3FFF3D">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14</w:t>
      </w:r>
      <w:r>
        <w:rPr>
          <w:rFonts w:hint="eastAsia" w:ascii="宋体" w:hAnsi="宋体"/>
          <w:bCs/>
          <w:color w:val="auto"/>
          <w:sz w:val="24"/>
          <w:highlight w:val="none"/>
        </w:rPr>
        <w:t>、监理人应设立专职安全管理人员，督促承包人建立安全生产保障体系，并要求各施工标段设立专职安全员，将安全责任制度落实到人。监理人应每月定期或不定期组织安全文明施工大检查，并将检查结果向委托人报告。监理人未按时组织检查或未报告检查结果的，每延迟一天应按合同总价款的1%支付违约金。承包人没有做好安全文明施工措施，没有按有关规定做到安全生产，或存在安全隐患，监理人未及时发现、不督促承包人进行整改，不作及时处理，不及时向委托人报告，被委托人发现后，委托人有权给予书面警告并限期改正，监理人拒不限期改正的，应承担</w:t>
      </w:r>
      <w:r>
        <w:rPr>
          <w:rFonts w:ascii="宋体" w:hAnsi="宋体"/>
          <w:bCs/>
          <w:color w:val="auto"/>
          <w:sz w:val="24"/>
          <w:highlight w:val="none"/>
        </w:rPr>
        <w:t>1</w:t>
      </w:r>
      <w:r>
        <w:rPr>
          <w:rFonts w:hint="eastAsia" w:ascii="宋体" w:hAnsi="宋体"/>
          <w:bCs/>
          <w:color w:val="auto"/>
          <w:sz w:val="24"/>
          <w:highlight w:val="none"/>
        </w:rPr>
        <w:t>次一般违约责任。由此而发生安全生产事故，或被上级主管部门通报批评、被新闻媒体曝光的，监理人应承担严重违约责任</w:t>
      </w:r>
      <w:r>
        <w:rPr>
          <w:rFonts w:ascii="宋体" w:hAnsi="宋体"/>
          <w:bCs/>
          <w:color w:val="auto"/>
          <w:sz w:val="24"/>
          <w:highlight w:val="none"/>
        </w:rPr>
        <w:t>1</w:t>
      </w:r>
      <w:r>
        <w:rPr>
          <w:rFonts w:hint="eastAsia" w:ascii="宋体" w:hAnsi="宋体"/>
          <w:bCs/>
          <w:color w:val="auto"/>
          <w:sz w:val="24"/>
          <w:highlight w:val="none"/>
        </w:rPr>
        <w:t>次；情节严重的，委托人有权部分或全部解除合同。</w:t>
      </w:r>
    </w:p>
    <w:p w14:paraId="3B754014">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15</w:t>
      </w:r>
      <w:r>
        <w:rPr>
          <w:rFonts w:hint="eastAsia" w:ascii="宋体" w:hAnsi="宋体"/>
          <w:bCs/>
          <w:color w:val="auto"/>
          <w:sz w:val="24"/>
          <w:highlight w:val="none"/>
        </w:rPr>
        <w:t>、</w:t>
      </w:r>
      <w:r>
        <w:rPr>
          <w:rFonts w:hint="eastAsia" w:ascii="宋体" w:hAnsi="宋体"/>
          <w:color w:val="auto"/>
          <w:sz w:val="24"/>
          <w:highlight w:val="none"/>
        </w:rPr>
        <w:t>本项目实施过程中，若发生重大安全责任事故，经核实监理人负有管理责任的，每发生一次，监理人应向委托人支付人民币贰拾万元违约金。</w:t>
      </w:r>
      <w:r>
        <w:rPr>
          <w:rFonts w:hint="eastAsia" w:ascii="宋体" w:hAnsi="宋体"/>
          <w:color w:val="auto"/>
          <w:spacing w:val="6"/>
          <w:sz w:val="24"/>
          <w:highlight w:val="none"/>
        </w:rPr>
        <w:t>该违约金由委托人在支付给监理人的当月监理费用中扣除，</w:t>
      </w:r>
      <w:r>
        <w:rPr>
          <w:rFonts w:hint="eastAsia" w:ascii="宋体" w:hAnsi="宋体"/>
          <w:color w:val="auto"/>
          <w:sz w:val="24"/>
          <w:highlight w:val="none"/>
        </w:rPr>
        <w:t>违约金按实际发生计算，不足部分由监理人另行支付。</w:t>
      </w:r>
    </w:p>
    <w:p w14:paraId="1EE2665D">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16</w:t>
      </w:r>
      <w:r>
        <w:rPr>
          <w:rFonts w:hint="eastAsia" w:ascii="宋体" w:hAnsi="宋体"/>
          <w:bCs/>
          <w:color w:val="auto"/>
          <w:sz w:val="24"/>
          <w:highlight w:val="none"/>
        </w:rPr>
        <w:t>、监理人因在施工过程中发出错误指令、越权审批设计变更及其他因监理人自身失误或失职原因导致本合同工程在投资、工期、质量等方面给委托人造成损失的，委托人将要求监理人进行赔偿。具体约定为：</w:t>
      </w:r>
    </w:p>
    <w:p w14:paraId="4818D7D8">
      <w:pPr>
        <w:adjustRightInd w:val="0"/>
        <w:snapToGrid w:val="0"/>
        <w:spacing w:line="360" w:lineRule="auto"/>
        <w:ind w:firstLine="480" w:firstLineChars="200"/>
        <w:rPr>
          <w:rFonts w:asci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w:t>
      </w:r>
      <w:r>
        <w:rPr>
          <w:rFonts w:hint="eastAsia" w:ascii="宋体" w:hAnsi="宋体"/>
          <w:bCs/>
          <w:color w:val="auto"/>
          <w:sz w:val="24"/>
          <w:highlight w:val="none"/>
        </w:rPr>
        <w:t>）因监理人原因造成工程投资增加的，委托人将根据工程投资的增加额与原计划投资额的比例，按相应比例双倍扣减监理报酬；若增加工程投资比例超过原计划投资额的</w:t>
      </w:r>
      <w:r>
        <w:rPr>
          <w:rFonts w:ascii="宋体" w:hAnsi="宋体"/>
          <w:bCs/>
          <w:color w:val="auto"/>
          <w:sz w:val="24"/>
          <w:highlight w:val="none"/>
        </w:rPr>
        <w:t>20%</w:t>
      </w:r>
      <w:r>
        <w:rPr>
          <w:rFonts w:hint="eastAsia" w:ascii="宋体" w:hAnsi="宋体"/>
          <w:bCs/>
          <w:color w:val="auto"/>
          <w:sz w:val="24"/>
          <w:highlight w:val="none"/>
        </w:rPr>
        <w:t>时，委托人有权单方解除本合同，按相应比例双倍扣减监理报酬，并要求监理人赔偿委托人由此遭受的全部损失。</w:t>
      </w:r>
    </w:p>
    <w:p w14:paraId="58A4E502">
      <w:pPr>
        <w:adjustRightInd w:val="0"/>
        <w:snapToGrid w:val="0"/>
        <w:spacing w:line="360" w:lineRule="auto"/>
        <w:ind w:firstLine="480" w:firstLineChars="200"/>
        <w:rPr>
          <w:rFonts w:asci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）因监理人责任导致工期延误，其中分段工期延误日数占该段总工期的</w:t>
      </w:r>
      <w:r>
        <w:rPr>
          <w:rFonts w:ascii="宋体" w:hAnsi="宋体"/>
          <w:bCs/>
          <w:color w:val="auto"/>
          <w:sz w:val="24"/>
          <w:highlight w:val="none"/>
        </w:rPr>
        <w:t>30%</w:t>
      </w:r>
      <w:r>
        <w:rPr>
          <w:rFonts w:hint="eastAsia" w:ascii="宋体" w:hAnsi="宋体"/>
          <w:bCs/>
          <w:color w:val="auto"/>
          <w:sz w:val="24"/>
          <w:highlight w:val="none"/>
        </w:rPr>
        <w:t>时，则委托人有权扣除该分段工程监理报酬的</w:t>
      </w:r>
      <w:r>
        <w:rPr>
          <w:rFonts w:ascii="宋体" w:hAnsi="宋体"/>
          <w:bCs/>
          <w:color w:val="auto"/>
          <w:sz w:val="24"/>
          <w:highlight w:val="none"/>
        </w:rPr>
        <w:t>60%</w:t>
      </w:r>
      <w:r>
        <w:rPr>
          <w:rFonts w:hint="eastAsia" w:ascii="宋体" w:hAnsi="宋体"/>
          <w:bCs/>
          <w:color w:val="auto"/>
          <w:sz w:val="24"/>
          <w:highlight w:val="none"/>
        </w:rPr>
        <w:t>；分段工期延误日数达到该段总工期的</w:t>
      </w:r>
      <w:r>
        <w:rPr>
          <w:rFonts w:ascii="宋体" w:hAnsi="宋体"/>
          <w:bCs/>
          <w:color w:val="auto"/>
          <w:sz w:val="24"/>
          <w:highlight w:val="none"/>
        </w:rPr>
        <w:t>50%</w:t>
      </w:r>
      <w:r>
        <w:rPr>
          <w:rFonts w:hint="eastAsia" w:ascii="宋体" w:hAnsi="宋体"/>
          <w:bCs/>
          <w:color w:val="auto"/>
          <w:sz w:val="24"/>
          <w:highlight w:val="none"/>
        </w:rPr>
        <w:t>时，则委托人有权单方解除本合同。因监理人责任导致工程竣工拖延的，依据拖延的日数，监理人应每日按</w:t>
      </w:r>
      <w:r>
        <w:rPr>
          <w:rFonts w:ascii="宋体" w:hAnsi="宋体"/>
          <w:bCs/>
          <w:color w:val="auto"/>
          <w:sz w:val="24"/>
          <w:highlight w:val="none"/>
        </w:rPr>
        <w:t>2</w:t>
      </w:r>
      <w:r>
        <w:rPr>
          <w:rFonts w:ascii="宋体"/>
          <w:bCs/>
          <w:color w:val="auto"/>
          <w:sz w:val="24"/>
          <w:highlight w:val="none"/>
        </w:rPr>
        <w:t>000</w:t>
      </w:r>
      <w:r>
        <w:rPr>
          <w:rFonts w:hint="eastAsia" w:ascii="宋体" w:hAnsi="宋体"/>
          <w:bCs/>
          <w:color w:val="auto"/>
          <w:sz w:val="24"/>
          <w:highlight w:val="none"/>
        </w:rPr>
        <w:t>元向委托人支付违约金。由于监理人责任导致工期延误，致使委托人要承担赔偿第三方责任的，监理人必须承担赔偿委托人由此遭受的实际损失。</w:t>
      </w:r>
    </w:p>
    <w:p w14:paraId="5F84B175">
      <w:pPr>
        <w:adjustRightInd w:val="0"/>
        <w:snapToGrid w:val="0"/>
        <w:spacing w:line="360" w:lineRule="auto"/>
        <w:ind w:firstLine="480" w:firstLineChars="200"/>
        <w:rPr>
          <w:rFonts w:asci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）因监理人责任造成质量事故，需要返工的，监理人应承担</w:t>
      </w:r>
      <w:r>
        <w:rPr>
          <w:rFonts w:ascii="宋体" w:hAnsi="宋体"/>
          <w:bCs/>
          <w:color w:val="auto"/>
          <w:sz w:val="24"/>
          <w:highlight w:val="none"/>
        </w:rPr>
        <w:t>1</w:t>
      </w:r>
      <w:r>
        <w:rPr>
          <w:rFonts w:hint="eastAsia" w:ascii="宋体" w:hAnsi="宋体"/>
          <w:bCs/>
          <w:color w:val="auto"/>
          <w:sz w:val="24"/>
          <w:highlight w:val="none"/>
        </w:rPr>
        <w:t>次严重违约责任并双倍扣减该部分的监理报酬，同时监理人应赔偿委托人的实际损失；情节严重的，委托人有权单方面解除合同，并有权要求监理人赔偿委托人由此遭受的经济损失。</w:t>
      </w:r>
    </w:p>
    <w:p w14:paraId="4E5B046F">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17</w:t>
      </w:r>
      <w:r>
        <w:rPr>
          <w:rFonts w:hint="eastAsia" w:ascii="宋体" w:hAnsi="宋体"/>
          <w:bCs/>
          <w:color w:val="auto"/>
          <w:sz w:val="24"/>
          <w:highlight w:val="none"/>
        </w:rPr>
        <w:t>、对于工程施工过程中出现的工程变更，监理人未有准确、真实的或不进行现场复核就给予签认，经委托人检查，发现签认的文件有误的，除立即改正外，累计出现</w:t>
      </w:r>
      <w:r>
        <w:rPr>
          <w:rFonts w:ascii="宋体" w:hAnsi="宋体"/>
          <w:bCs/>
          <w:color w:val="auto"/>
          <w:sz w:val="24"/>
          <w:highlight w:val="none"/>
        </w:rPr>
        <w:t>2</w:t>
      </w:r>
      <w:r>
        <w:rPr>
          <w:rFonts w:hint="eastAsia" w:ascii="宋体" w:hAnsi="宋体"/>
          <w:bCs/>
          <w:color w:val="auto"/>
          <w:sz w:val="24"/>
          <w:highlight w:val="none"/>
        </w:rPr>
        <w:t>宗以上（含</w:t>
      </w:r>
      <w:r>
        <w:rPr>
          <w:rFonts w:ascii="宋体" w:hAnsi="宋体"/>
          <w:bCs/>
          <w:color w:val="auto"/>
          <w:sz w:val="24"/>
          <w:highlight w:val="none"/>
        </w:rPr>
        <w:t>2</w:t>
      </w:r>
      <w:r>
        <w:rPr>
          <w:rFonts w:hint="eastAsia" w:ascii="宋体" w:hAnsi="宋体"/>
          <w:bCs/>
          <w:color w:val="auto"/>
          <w:sz w:val="24"/>
          <w:highlight w:val="none"/>
        </w:rPr>
        <w:t>宗），监理人应当承担</w:t>
      </w:r>
      <w:r>
        <w:rPr>
          <w:rFonts w:ascii="宋体" w:hAnsi="宋体"/>
          <w:bCs/>
          <w:color w:val="auto"/>
          <w:sz w:val="24"/>
          <w:highlight w:val="none"/>
        </w:rPr>
        <w:t>1</w:t>
      </w:r>
      <w:r>
        <w:rPr>
          <w:rFonts w:hint="eastAsia" w:ascii="宋体" w:hAnsi="宋体"/>
          <w:bCs/>
          <w:color w:val="auto"/>
          <w:sz w:val="24"/>
          <w:highlight w:val="none"/>
        </w:rPr>
        <w:t>次一般违约责任。</w:t>
      </w:r>
    </w:p>
    <w:p w14:paraId="1CC3C7FB">
      <w:pPr>
        <w:adjustRightInd w:val="0"/>
        <w:snapToGrid w:val="0"/>
        <w:spacing w:line="360" w:lineRule="auto"/>
        <w:ind w:firstLine="480" w:firstLineChars="200"/>
        <w:rPr>
          <w:rFonts w:ascii="宋体"/>
          <w:bCs/>
          <w:color w:val="auto"/>
          <w:sz w:val="24"/>
          <w:highlight w:val="none"/>
        </w:rPr>
      </w:pPr>
      <w:r>
        <w:rPr>
          <w:rFonts w:ascii="宋体" w:hAnsi="宋体"/>
          <w:bCs/>
          <w:color w:val="auto"/>
          <w:sz w:val="24"/>
          <w:highlight w:val="none"/>
        </w:rPr>
        <w:t>18</w:t>
      </w:r>
      <w:r>
        <w:rPr>
          <w:rFonts w:hint="eastAsia" w:ascii="宋体" w:hAnsi="宋体"/>
          <w:bCs/>
          <w:color w:val="auto"/>
          <w:sz w:val="24"/>
          <w:highlight w:val="none"/>
        </w:rPr>
        <w:t>、对于承包人不按时</w:t>
      </w:r>
      <w:r>
        <w:rPr>
          <w:rFonts w:hint="eastAsia" w:ascii="宋体" w:hAnsi="宋体"/>
          <w:color w:val="auto"/>
          <w:sz w:val="24"/>
          <w:highlight w:val="none"/>
        </w:rPr>
        <w:t>提交工程结算文件，监理人不按合同约定采取有效措施的，监理人应承担</w:t>
      </w:r>
      <w:r>
        <w:rPr>
          <w:rFonts w:ascii="宋体" w:hAnsi="宋体"/>
          <w:color w:val="auto"/>
          <w:sz w:val="24"/>
          <w:highlight w:val="none"/>
        </w:rPr>
        <w:t>1</w:t>
      </w:r>
      <w:r>
        <w:rPr>
          <w:rFonts w:hint="eastAsia" w:ascii="宋体" w:hAnsi="宋体"/>
          <w:color w:val="auto"/>
          <w:sz w:val="24"/>
          <w:highlight w:val="none"/>
        </w:rPr>
        <w:t>次一般违约责任。监理人应在收到施工单位报送的结算书及必要的支持材料后30日内根据相关合同约定完成审核并提交委托人。否则，每拖延一天，监理人应向委托人支付</w:t>
      </w:r>
      <w:r>
        <w:rPr>
          <w:rFonts w:ascii="宋体" w:hAnsi="宋体"/>
          <w:color w:val="auto"/>
          <w:sz w:val="24"/>
          <w:highlight w:val="none"/>
        </w:rPr>
        <w:t>2000</w:t>
      </w:r>
      <w:r>
        <w:rPr>
          <w:rFonts w:hint="eastAsia" w:ascii="宋体" w:hAnsi="宋体"/>
          <w:color w:val="auto"/>
          <w:sz w:val="24"/>
          <w:highlight w:val="none"/>
        </w:rPr>
        <w:t>元违约金，依次累计。</w:t>
      </w:r>
    </w:p>
    <w:p w14:paraId="3FB9F22F">
      <w:pPr>
        <w:adjustRightInd w:val="0"/>
        <w:snapToGrid w:val="0"/>
        <w:spacing w:line="360" w:lineRule="auto"/>
        <w:ind w:firstLine="360" w:firstLineChars="150"/>
        <w:rPr>
          <w:rFonts w:ascii="宋体"/>
          <w:bCs/>
          <w:color w:val="auto"/>
          <w:sz w:val="24"/>
          <w:highlight w:val="none"/>
        </w:rPr>
      </w:pPr>
      <w:r>
        <w:rPr>
          <w:rFonts w:ascii="宋体" w:hAnsi="宋体"/>
          <w:bCs/>
          <w:color w:val="auto"/>
          <w:sz w:val="24"/>
          <w:highlight w:val="none"/>
        </w:rPr>
        <w:t>19</w:t>
      </w:r>
      <w:r>
        <w:rPr>
          <w:rFonts w:hint="eastAsia" w:ascii="宋体" w:hAnsi="宋体"/>
          <w:bCs/>
          <w:color w:val="auto"/>
          <w:sz w:val="24"/>
          <w:highlight w:val="none"/>
        </w:rPr>
        <w:t>、监理人根据合同约定对承包人提交的工程结算书（结算资料）进行审核，并对资料的真实性、完整性负责。</w:t>
      </w:r>
    </w:p>
    <w:p w14:paraId="1764B394">
      <w:pPr>
        <w:adjustRightInd w:val="0"/>
        <w:snapToGrid w:val="0"/>
        <w:spacing w:line="360" w:lineRule="auto"/>
        <w:ind w:firstLine="360" w:firstLineChars="150"/>
        <w:rPr>
          <w:rFonts w:ascii="宋体"/>
          <w:bCs/>
          <w:color w:val="auto"/>
          <w:sz w:val="24"/>
          <w:highlight w:val="none"/>
        </w:rPr>
      </w:pPr>
      <w:r>
        <w:rPr>
          <w:rFonts w:hint="eastAsia" w:ascii="宋体" w:hAnsi="宋体"/>
          <w:bCs/>
          <w:color w:val="auto"/>
          <w:sz w:val="24"/>
          <w:highlight w:val="none"/>
        </w:rPr>
        <w:t>（五）其他方面的违约责任：</w:t>
      </w:r>
    </w:p>
    <w:p w14:paraId="0A00BC21">
      <w:pPr>
        <w:adjustRightInd w:val="0"/>
        <w:snapToGrid w:val="0"/>
        <w:spacing w:line="360" w:lineRule="auto"/>
        <w:ind w:firstLine="360" w:firstLineChars="150"/>
        <w:rPr>
          <w:rFonts w:asci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监理人必须加强对监理人员职业操守、廉政建设的培训和教育，本项目监理人员利用职业身份“吃、拿、卡、要”或有其他违反职业操守及廉政建设相关规定的，一经查实，监理人应立即清退该监理人员，并承担</w:t>
      </w:r>
      <w:r>
        <w:rPr>
          <w:rFonts w:ascii="宋体" w:hAnsi="宋体"/>
          <w:bCs/>
          <w:color w:val="auto"/>
          <w:sz w:val="24"/>
          <w:highlight w:val="none"/>
        </w:rPr>
        <w:t>1</w:t>
      </w:r>
      <w:r>
        <w:rPr>
          <w:rFonts w:hint="eastAsia" w:ascii="宋体" w:hAnsi="宋体"/>
          <w:bCs/>
          <w:color w:val="auto"/>
          <w:sz w:val="24"/>
          <w:highlight w:val="none"/>
        </w:rPr>
        <w:t>次严重违约，情节严重的，委托人有权部分或全部解除合同并有权向有关部门反映情况，同时将上述违反职业道德的行为通过新闻媒体公诸于众，情节严重者移交司法机关追究法律责任。</w:t>
      </w:r>
    </w:p>
    <w:p w14:paraId="0F3C37E1">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、工程监理资料收集不齐、管理混乱的，监理人承担一般违约责任；缺损原始记录的，每份文件扣减</w:t>
      </w:r>
      <w:r>
        <w:rPr>
          <w:rFonts w:ascii="宋体" w:hAnsi="宋体"/>
          <w:color w:val="auto"/>
          <w:sz w:val="24"/>
          <w:highlight w:val="none"/>
        </w:rPr>
        <w:t>1000</w:t>
      </w:r>
      <w:r>
        <w:rPr>
          <w:rFonts w:hint="eastAsia" w:ascii="宋体" w:hAnsi="宋体"/>
          <w:color w:val="auto"/>
          <w:sz w:val="24"/>
          <w:highlight w:val="none"/>
        </w:rPr>
        <w:t>元监理费。</w:t>
      </w:r>
    </w:p>
    <w:p w14:paraId="39CAF462">
      <w:pPr>
        <w:pStyle w:val="10"/>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color w:val="auto"/>
          <w:sz w:val="24"/>
          <w:highlight w:val="none"/>
        </w:rPr>
        <w:t>3、</w:t>
      </w:r>
      <w:r>
        <w:rPr>
          <w:rFonts w:hint="eastAsia" w:ascii="宋体" w:hAnsi="宋体"/>
          <w:bCs/>
          <w:snapToGrid w:val="0"/>
          <w:color w:val="auto"/>
          <w:kern w:val="0"/>
          <w:sz w:val="24"/>
          <w:highlight w:val="none"/>
        </w:rPr>
        <w:t>监理人不执行委托人有关规定的，须按委托人有关规定承担违约责任。</w:t>
      </w:r>
    </w:p>
    <w:p w14:paraId="1BCEA5F4">
      <w:pPr>
        <w:pStyle w:val="10"/>
        <w:adjustRightInd w:val="0"/>
        <w:snapToGrid w:val="0"/>
        <w:spacing w:line="440" w:lineRule="exact"/>
        <w:ind w:firstLine="480" w:firstLineChars="200"/>
        <w:rPr>
          <w:rFonts w:hint="eastAsia" w:ascii="宋体" w:hAnsi="宋体" w:cs="宋体"/>
          <w:b/>
          <w:color w:val="auto"/>
          <w:sz w:val="21"/>
          <w:szCs w:val="21"/>
          <w:highlight w:val="none"/>
          <w:lang w:bidi="ar"/>
        </w:rPr>
      </w:pPr>
      <w:r>
        <w:rPr>
          <w:rFonts w:hint="eastAsia" w:ascii="宋体" w:hAnsi="宋体"/>
          <w:bCs/>
          <w:snapToGrid w:val="0"/>
          <w:color w:val="auto"/>
          <w:kern w:val="0"/>
          <w:sz w:val="24"/>
          <w:highlight w:val="none"/>
        </w:rPr>
        <w:t>4、除上述约定之外，监理人有违反合同约定的其他义务的，均构成违约，委托人有权视具体情况给予书面警告并限期改正，监理人拒不限期改正的，应承担1次一般违约责任，情节严重的，应承担1次严重违约责任。</w:t>
      </w:r>
    </w:p>
    <w:p w14:paraId="244FB8BC">
      <w:pPr>
        <w:pStyle w:val="10"/>
        <w:snapToGrid w:val="0"/>
        <w:spacing w:line="500" w:lineRule="exact"/>
        <w:ind w:firstLine="421"/>
        <w:rPr>
          <w:rFonts w:hint="eastAsia" w:ascii="宋体" w:hAnsi="宋体"/>
          <w:bCs/>
          <w:snapToGrid w:val="0"/>
          <w:color w:val="auto"/>
          <w:kern w:val="0"/>
          <w:sz w:val="24"/>
          <w:highlight w:val="none"/>
          <w:lang w:bidi="ar"/>
        </w:rPr>
      </w:pPr>
      <w:r>
        <w:rPr>
          <w:rFonts w:hint="eastAsia" w:ascii="宋体" w:hAnsi="宋体"/>
          <w:bCs/>
          <w:snapToGrid w:val="0"/>
          <w:color w:val="auto"/>
          <w:kern w:val="0"/>
          <w:sz w:val="24"/>
          <w:highlight w:val="none"/>
          <w:lang w:bidi="ar"/>
        </w:rPr>
        <w:t>5、监理人应严格遵守委托人制定的建设工程第三方质量安全评估服务相关管理办法，配合完成第三方质量安全评估工作。如因监理人不配合评估工作导致委托人遭受损失的，监理人应赔偿委托人的全部损失。根据每次评估结果，经评估确定为一般违约情况的，监理人应按合同约定承担一次一般违约责任；经评估确定为严重违约情况的，监理人应按合同约定承担一次严重违约责任。</w:t>
      </w:r>
    </w:p>
    <w:p w14:paraId="63E8E9D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（六）委托人以书面形式作出的违约处理决定一经送达监理人立即生效。监理人拒收违约处理文件的，视为违约处理决定送达。监理人如有足够证据证明不应由其承担违约责任的，应在收到违约处理决定后</w:t>
      </w:r>
      <w:r>
        <w:rPr>
          <w:rFonts w:ascii="宋体" w:hAnsi="宋体"/>
          <w:bCs/>
          <w:color w:val="auto"/>
          <w:sz w:val="24"/>
          <w:highlight w:val="none"/>
        </w:rPr>
        <w:t>3</w:t>
      </w:r>
      <w:r>
        <w:rPr>
          <w:rFonts w:hint="eastAsia" w:ascii="宋体" w:hAnsi="宋体"/>
          <w:bCs/>
          <w:color w:val="auto"/>
          <w:sz w:val="24"/>
          <w:highlight w:val="none"/>
        </w:rPr>
        <w:t>天内以书面形式向委托人提出异议并附上有关证据；委托人在收到监理人的异议后</w:t>
      </w:r>
      <w:r>
        <w:rPr>
          <w:rFonts w:ascii="宋体" w:hAnsi="宋体"/>
          <w:bCs/>
          <w:color w:val="auto"/>
          <w:sz w:val="24"/>
          <w:highlight w:val="none"/>
        </w:rPr>
        <w:t>15</w:t>
      </w:r>
      <w:r>
        <w:rPr>
          <w:rFonts w:hint="eastAsia" w:ascii="宋体" w:hAnsi="宋体"/>
          <w:bCs/>
          <w:color w:val="auto"/>
          <w:sz w:val="24"/>
          <w:highlight w:val="none"/>
        </w:rPr>
        <w:t>天内审核完毕且作出书面决定并通知监理人。</w:t>
      </w:r>
    </w:p>
    <w:p w14:paraId="667DEAF9">
      <w:pPr>
        <w:adjustRightInd w:val="0"/>
        <w:snapToGrid w:val="0"/>
        <w:spacing w:line="360" w:lineRule="auto"/>
        <w:ind w:firstLine="480" w:firstLineChars="200"/>
        <w:rPr>
          <w:rFonts w:ascii="宋体"/>
          <w:bCs/>
          <w:color w:val="auto"/>
          <w:sz w:val="24"/>
          <w:highlight w:val="none"/>
        </w:rPr>
      </w:pPr>
      <w:r>
        <w:rPr>
          <w:rFonts w:hint="eastAsia" w:ascii="宋体" w:hAnsi="宋体"/>
          <w:bCs/>
          <w:color w:val="auto"/>
          <w:sz w:val="24"/>
          <w:highlight w:val="none"/>
        </w:rPr>
        <w:t>（七）当月发生的违约处罚，委托人均有权在当月监理费用中扣除。</w:t>
      </w:r>
    </w:p>
    <w:p w14:paraId="7EFCCA54">
      <w:pPr>
        <w:adjustRightInd w:val="0"/>
        <w:snapToGrid w:val="0"/>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十一</w:t>
      </w:r>
      <w:r>
        <w:rPr>
          <w:rFonts w:hint="eastAsia" w:ascii="宋体" w:hAnsi="宋体"/>
          <w:b/>
          <w:bCs/>
          <w:color w:val="auto"/>
          <w:sz w:val="24"/>
          <w:highlight w:val="none"/>
        </w:rPr>
        <w:t>条</w:t>
      </w:r>
      <w:r>
        <w:rPr>
          <w:rFonts w:ascii="宋体" w:hAnsi="宋体"/>
          <w:b/>
          <w:bCs/>
          <w:color w:val="auto"/>
          <w:sz w:val="24"/>
          <w:highlight w:val="none"/>
        </w:rPr>
        <w:t xml:space="preserve"> </w:t>
      </w:r>
      <w:r>
        <w:rPr>
          <w:rFonts w:hint="eastAsia" w:ascii="宋体" w:hAnsi="宋体"/>
          <w:color w:val="auto"/>
          <w:sz w:val="24"/>
          <w:highlight w:val="none"/>
        </w:rPr>
        <w:t>双方一致同意不适用本合同标准条款第</w:t>
      </w:r>
      <w:r>
        <w:rPr>
          <w:rFonts w:ascii="宋体" w:hAnsi="宋体"/>
          <w:color w:val="auto"/>
          <w:sz w:val="24"/>
          <w:highlight w:val="none"/>
        </w:rPr>
        <w:t>27</w:t>
      </w:r>
      <w:r>
        <w:rPr>
          <w:rFonts w:hint="eastAsia" w:ascii="宋体" w:hAnsi="宋体"/>
          <w:color w:val="auto"/>
          <w:sz w:val="24"/>
          <w:highlight w:val="none"/>
        </w:rPr>
        <w:t>条的约定，承包人对质量和工期的违约，如监理人存在过错的，应按本合同专用条款相关约定承担违约责任。</w:t>
      </w:r>
    </w:p>
    <w:p w14:paraId="68F18C86">
      <w:pPr>
        <w:adjustRightInd w:val="0"/>
        <w:snapToGrid w:val="0"/>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十二</w:t>
      </w:r>
      <w:r>
        <w:rPr>
          <w:rFonts w:hint="eastAsia" w:ascii="宋体" w:hAnsi="宋体"/>
          <w:b/>
          <w:bCs/>
          <w:color w:val="auto"/>
          <w:sz w:val="24"/>
          <w:highlight w:val="none"/>
        </w:rPr>
        <w:t>条</w:t>
      </w:r>
      <w:r>
        <w:rPr>
          <w:rFonts w:ascii="宋体" w:hAnsi="宋体"/>
          <w:color w:val="auto"/>
          <w:sz w:val="24"/>
          <w:highlight w:val="none"/>
        </w:rPr>
        <w:t xml:space="preserve"> </w:t>
      </w:r>
      <w:r>
        <w:rPr>
          <w:rFonts w:hint="eastAsia" w:ascii="宋体" w:hAnsi="宋体"/>
          <w:color w:val="auto"/>
          <w:sz w:val="24"/>
          <w:highlight w:val="none"/>
        </w:rPr>
        <w:t>双方一致同意不适用本合同标准条款第</w:t>
      </w:r>
      <w:r>
        <w:rPr>
          <w:rFonts w:ascii="宋体" w:hAnsi="宋体"/>
          <w:color w:val="auto"/>
          <w:sz w:val="24"/>
          <w:highlight w:val="none"/>
        </w:rPr>
        <w:t>31</w:t>
      </w:r>
      <w:r>
        <w:rPr>
          <w:rFonts w:hint="eastAsia" w:ascii="宋体" w:hAnsi="宋体"/>
          <w:color w:val="auto"/>
          <w:sz w:val="24"/>
          <w:highlight w:val="none"/>
        </w:rPr>
        <w:t>条的约定，由于委托人或承包人的原因使监理工作受到阻碍或延误，则监理人应当将此情况与可能产生的影响及时通知委托人，完成监理业务的时间相应延长，监理人的报酬不变。</w:t>
      </w:r>
    </w:p>
    <w:p w14:paraId="76293927">
      <w:pPr>
        <w:adjustRightInd w:val="0"/>
        <w:snapToGrid w:val="0"/>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十三</w:t>
      </w:r>
      <w:r>
        <w:rPr>
          <w:rFonts w:hint="eastAsia" w:ascii="宋体" w:hAnsi="宋体"/>
          <w:b/>
          <w:bCs/>
          <w:color w:val="auto"/>
          <w:sz w:val="24"/>
          <w:highlight w:val="none"/>
        </w:rPr>
        <w:t>条</w:t>
      </w:r>
      <w:r>
        <w:rPr>
          <w:rFonts w:ascii="宋体" w:hAnsi="宋体"/>
          <w:color w:val="auto"/>
          <w:sz w:val="24"/>
          <w:highlight w:val="none"/>
        </w:rPr>
        <w:t xml:space="preserve"> </w:t>
      </w:r>
      <w:r>
        <w:rPr>
          <w:rFonts w:hint="eastAsia" w:ascii="宋体" w:hAnsi="宋体"/>
          <w:color w:val="auto"/>
          <w:sz w:val="24"/>
          <w:highlight w:val="none"/>
        </w:rPr>
        <w:t>双方一致同意不适用本合同标准条款第</w:t>
      </w:r>
      <w:r>
        <w:rPr>
          <w:rFonts w:ascii="宋体" w:hAnsi="宋体"/>
          <w:color w:val="auto"/>
          <w:sz w:val="24"/>
          <w:highlight w:val="none"/>
        </w:rPr>
        <w:t>32</w:t>
      </w:r>
      <w:r>
        <w:rPr>
          <w:rFonts w:hint="eastAsia" w:ascii="宋体" w:hAnsi="宋体"/>
          <w:color w:val="auto"/>
          <w:sz w:val="24"/>
          <w:highlight w:val="none"/>
        </w:rPr>
        <w:t>条的约定，在实际情况发生变化，使得监理人不能全部或部分执行监理业务时，监理人应当立即通知委托人，该监理业务的完成时间应予延长。当恢复执行监理业务时，监理人应当立即恢复执行监理业务，监理人的报酬不变。</w:t>
      </w:r>
    </w:p>
    <w:p w14:paraId="1530F23F">
      <w:pPr>
        <w:adjustRightInd w:val="0"/>
        <w:snapToGrid w:val="0"/>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十四</w:t>
      </w:r>
      <w:r>
        <w:rPr>
          <w:rFonts w:hint="eastAsia" w:ascii="宋体" w:hAnsi="宋体"/>
          <w:b/>
          <w:bCs/>
          <w:color w:val="auto"/>
          <w:sz w:val="24"/>
          <w:highlight w:val="none"/>
        </w:rPr>
        <w:t>条</w:t>
      </w:r>
      <w:r>
        <w:rPr>
          <w:rFonts w:ascii="宋体" w:hAnsi="宋体"/>
          <w:color w:val="auto"/>
          <w:sz w:val="24"/>
          <w:highlight w:val="none"/>
        </w:rPr>
        <w:t xml:space="preserve"> </w:t>
      </w:r>
      <w:r>
        <w:rPr>
          <w:rFonts w:hint="eastAsia" w:ascii="宋体" w:hAnsi="宋体"/>
          <w:color w:val="auto"/>
          <w:sz w:val="24"/>
          <w:highlight w:val="none"/>
        </w:rPr>
        <w:t>双方一致同意不适用本合同标准条款第</w:t>
      </w:r>
      <w:r>
        <w:rPr>
          <w:rFonts w:ascii="宋体" w:hAnsi="宋体"/>
          <w:color w:val="auto"/>
          <w:sz w:val="24"/>
          <w:highlight w:val="none"/>
        </w:rPr>
        <w:t>33</w:t>
      </w:r>
      <w:r>
        <w:rPr>
          <w:rFonts w:hint="eastAsia" w:ascii="宋体" w:hAnsi="宋体"/>
          <w:color w:val="auto"/>
          <w:sz w:val="24"/>
          <w:highlight w:val="none"/>
        </w:rPr>
        <w:t>条的约定，本合同的有效期一直至本合同工程保修期间届满且竣工结算完成且双方的责任、义务履行完毕时才终止。本合同工程保修期间，监理人仍须承担监理责任。</w:t>
      </w:r>
    </w:p>
    <w:p w14:paraId="36364215">
      <w:pPr>
        <w:adjustRightInd w:val="0"/>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十五</w:t>
      </w:r>
      <w:r>
        <w:rPr>
          <w:rFonts w:hint="eastAsia" w:ascii="宋体" w:hAnsi="宋体"/>
          <w:b/>
          <w:bCs/>
          <w:color w:val="auto"/>
          <w:sz w:val="24"/>
          <w:highlight w:val="none"/>
        </w:rPr>
        <w:t>条</w:t>
      </w:r>
      <w:r>
        <w:rPr>
          <w:rFonts w:ascii="宋体" w:hAnsi="宋体"/>
          <w:color w:val="auto"/>
          <w:sz w:val="24"/>
          <w:highlight w:val="none"/>
        </w:rPr>
        <w:t xml:space="preserve"> </w:t>
      </w:r>
      <w:r>
        <w:rPr>
          <w:rFonts w:hint="eastAsia" w:ascii="宋体" w:hAnsi="宋体"/>
          <w:color w:val="auto"/>
          <w:sz w:val="24"/>
          <w:highlight w:val="none"/>
        </w:rPr>
        <w:t>双方一致同意不适用本合同标准条款第</w:t>
      </w:r>
      <w:r>
        <w:rPr>
          <w:rFonts w:ascii="宋体" w:hAnsi="宋体"/>
          <w:color w:val="auto"/>
          <w:sz w:val="24"/>
          <w:highlight w:val="none"/>
        </w:rPr>
        <w:t>34</w:t>
      </w:r>
      <w:r>
        <w:rPr>
          <w:rFonts w:hint="eastAsia" w:ascii="宋体" w:hAnsi="宋体"/>
          <w:color w:val="auto"/>
          <w:sz w:val="24"/>
          <w:highlight w:val="none"/>
        </w:rPr>
        <w:t>条的约定，委托人有权单方面解除合同，监理人未经委托人书面同意不得解除合同。委托人根据本合同的约定单方面部分或全部解除本合同的，自委托人书面通知监理人时起部分或全部解除本合同即生效。</w:t>
      </w:r>
    </w:p>
    <w:p w14:paraId="0F10AD05">
      <w:pPr>
        <w:adjustRightInd w:val="0"/>
        <w:snapToGrid w:val="0"/>
        <w:spacing w:line="360" w:lineRule="auto"/>
        <w:ind w:firstLine="480" w:firstLineChars="200"/>
        <w:rPr>
          <w:rFonts w:ascii="宋体"/>
          <w:b/>
          <w:bCs/>
          <w:color w:val="auto"/>
          <w:sz w:val="24"/>
          <w:highlight w:val="none"/>
        </w:rPr>
      </w:pPr>
      <w:r>
        <w:rPr>
          <w:rFonts w:hint="eastAsia" w:ascii="宋体" w:hAnsi="宋体"/>
          <w:color w:val="auto"/>
          <w:sz w:val="24"/>
          <w:highlight w:val="none"/>
        </w:rPr>
        <w:t>本合同的修改（包括服务范围的修改），只能以双方书面同意的方式进行。</w:t>
      </w:r>
    </w:p>
    <w:p w14:paraId="58F6FF1B">
      <w:pPr>
        <w:adjustRightInd w:val="0"/>
        <w:snapToGrid w:val="0"/>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十六</w:t>
      </w:r>
      <w:r>
        <w:rPr>
          <w:rFonts w:hint="eastAsia" w:ascii="宋体" w:hAnsi="宋体"/>
          <w:b/>
          <w:bCs/>
          <w:color w:val="auto"/>
          <w:sz w:val="24"/>
          <w:highlight w:val="none"/>
        </w:rPr>
        <w:t>条</w:t>
      </w:r>
      <w:r>
        <w:rPr>
          <w:rFonts w:ascii="宋体" w:hAnsi="宋体"/>
          <w:color w:val="auto"/>
          <w:sz w:val="24"/>
          <w:highlight w:val="none"/>
        </w:rPr>
        <w:t xml:space="preserve"> </w:t>
      </w:r>
      <w:r>
        <w:rPr>
          <w:rFonts w:hint="eastAsia" w:ascii="宋体" w:hAnsi="宋体"/>
          <w:color w:val="auto"/>
          <w:sz w:val="24"/>
          <w:highlight w:val="none"/>
        </w:rPr>
        <w:t>双方一致同意不适用本合同标准条款第</w:t>
      </w:r>
      <w:r>
        <w:rPr>
          <w:rFonts w:ascii="宋体" w:hAnsi="宋体"/>
          <w:color w:val="auto"/>
          <w:sz w:val="24"/>
          <w:highlight w:val="none"/>
        </w:rPr>
        <w:t>35</w:t>
      </w:r>
      <w:r>
        <w:rPr>
          <w:rFonts w:hint="eastAsia" w:ascii="宋体" w:hAnsi="宋体"/>
          <w:color w:val="auto"/>
          <w:sz w:val="24"/>
          <w:highlight w:val="none"/>
        </w:rPr>
        <w:t>条的约定。</w:t>
      </w:r>
    </w:p>
    <w:p w14:paraId="43F028ED">
      <w:pPr>
        <w:adjustRightInd w:val="0"/>
        <w:snapToGrid w:val="0"/>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十七</w:t>
      </w:r>
      <w:r>
        <w:rPr>
          <w:rFonts w:hint="eastAsia" w:ascii="宋体" w:hAnsi="宋体"/>
          <w:b/>
          <w:bCs/>
          <w:color w:val="auto"/>
          <w:sz w:val="24"/>
          <w:highlight w:val="none"/>
        </w:rPr>
        <w:t>条</w:t>
      </w:r>
      <w:r>
        <w:rPr>
          <w:rFonts w:ascii="宋体" w:hAnsi="宋体"/>
          <w:color w:val="auto"/>
          <w:sz w:val="24"/>
          <w:highlight w:val="none"/>
        </w:rPr>
        <w:t xml:space="preserve"> </w:t>
      </w:r>
      <w:r>
        <w:rPr>
          <w:rFonts w:hint="eastAsia" w:ascii="宋体" w:hAnsi="宋体"/>
          <w:color w:val="auto"/>
          <w:sz w:val="24"/>
          <w:highlight w:val="none"/>
        </w:rPr>
        <w:t>双方一致同意不适用本合同标准条款第</w:t>
      </w:r>
      <w:r>
        <w:rPr>
          <w:rFonts w:ascii="宋体" w:hAnsi="宋体"/>
          <w:color w:val="auto"/>
          <w:sz w:val="24"/>
          <w:highlight w:val="none"/>
        </w:rPr>
        <w:t>36</w:t>
      </w:r>
      <w:r>
        <w:rPr>
          <w:rFonts w:hint="eastAsia" w:ascii="宋体" w:hAnsi="宋体"/>
          <w:color w:val="auto"/>
          <w:sz w:val="24"/>
          <w:highlight w:val="none"/>
        </w:rPr>
        <w:t>条的约定。</w:t>
      </w:r>
    </w:p>
    <w:p w14:paraId="3CBD01B3">
      <w:pPr>
        <w:adjustRightInd w:val="0"/>
        <w:snapToGrid w:val="0"/>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十八</w:t>
      </w:r>
      <w:r>
        <w:rPr>
          <w:rFonts w:hint="eastAsia" w:ascii="宋体" w:hAnsi="宋体"/>
          <w:b/>
          <w:bCs/>
          <w:color w:val="auto"/>
          <w:sz w:val="24"/>
          <w:highlight w:val="none"/>
        </w:rPr>
        <w:t>条</w:t>
      </w:r>
      <w:r>
        <w:rPr>
          <w:rFonts w:ascii="宋体" w:hAnsi="宋体"/>
          <w:color w:val="auto"/>
          <w:sz w:val="24"/>
          <w:highlight w:val="none"/>
        </w:rPr>
        <w:t xml:space="preserve"> </w:t>
      </w:r>
      <w:r>
        <w:rPr>
          <w:rFonts w:hint="eastAsia" w:ascii="宋体" w:hAnsi="宋体"/>
          <w:color w:val="auto"/>
          <w:sz w:val="24"/>
          <w:highlight w:val="none"/>
        </w:rPr>
        <w:t>双方一致同意不适用本合同标准条款第</w:t>
      </w:r>
      <w:r>
        <w:rPr>
          <w:rFonts w:ascii="宋体" w:hAnsi="宋体"/>
          <w:color w:val="auto"/>
          <w:sz w:val="24"/>
          <w:highlight w:val="none"/>
        </w:rPr>
        <w:t>37</w:t>
      </w:r>
      <w:r>
        <w:rPr>
          <w:rFonts w:hint="eastAsia" w:ascii="宋体" w:hAnsi="宋体"/>
          <w:color w:val="auto"/>
          <w:sz w:val="24"/>
          <w:highlight w:val="none"/>
        </w:rPr>
        <w:t>条的约定，当监理人无正当理由而又未履行监理义务时，按本合同专用条款第</w:t>
      </w:r>
      <w:r>
        <w:rPr>
          <w:rFonts w:ascii="宋体" w:hAnsi="宋体"/>
          <w:color w:val="auto"/>
          <w:sz w:val="24"/>
          <w:highlight w:val="none"/>
        </w:rPr>
        <w:t>26</w:t>
      </w:r>
      <w:r>
        <w:rPr>
          <w:rFonts w:hint="eastAsia" w:ascii="宋体" w:hAnsi="宋体"/>
          <w:color w:val="auto"/>
          <w:sz w:val="24"/>
          <w:highlight w:val="none"/>
        </w:rPr>
        <w:t>条的约定处理。</w:t>
      </w:r>
    </w:p>
    <w:p w14:paraId="4C97C87A">
      <w:pPr>
        <w:adjustRightInd w:val="0"/>
        <w:snapToGrid w:val="0"/>
        <w:spacing w:line="360" w:lineRule="auto"/>
        <w:ind w:firstLine="482" w:firstLineChars="200"/>
        <w:rPr>
          <w:rFonts w:ascii="宋体"/>
          <w:bCs/>
          <w:color w:val="auto"/>
          <w:sz w:val="24"/>
          <w:highlight w:val="none"/>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十九</w:t>
      </w:r>
      <w:r>
        <w:rPr>
          <w:rFonts w:hint="eastAsia" w:ascii="宋体" w:hAnsi="宋体"/>
          <w:b/>
          <w:bCs/>
          <w:color w:val="auto"/>
          <w:sz w:val="24"/>
          <w:highlight w:val="none"/>
        </w:rPr>
        <w:t xml:space="preserve">条 </w:t>
      </w:r>
      <w:r>
        <w:rPr>
          <w:rFonts w:hint="eastAsia" w:ascii="宋体" w:hAnsi="宋体"/>
          <w:bCs/>
          <w:color w:val="auto"/>
          <w:sz w:val="24"/>
          <w:highlight w:val="none"/>
        </w:rPr>
        <w:t>双方一致同意不适用本合同标准条款第</w:t>
      </w:r>
      <w:r>
        <w:rPr>
          <w:rFonts w:ascii="宋体" w:hAnsi="宋体"/>
          <w:bCs/>
          <w:color w:val="auto"/>
          <w:sz w:val="24"/>
          <w:highlight w:val="none"/>
        </w:rPr>
        <w:t>39</w:t>
      </w:r>
      <w:r>
        <w:rPr>
          <w:rFonts w:hint="eastAsia" w:ascii="宋体" w:hAnsi="宋体"/>
          <w:bCs/>
          <w:color w:val="auto"/>
          <w:sz w:val="24"/>
          <w:highlight w:val="none"/>
        </w:rPr>
        <w:t>、40条的约定，监理报酬的计算方法、支付时间与金额按本条以下约定执行：</w:t>
      </w:r>
    </w:p>
    <w:p w14:paraId="0DA239CE">
      <w:pPr>
        <w:numPr>
          <w:ilvl w:val="0"/>
          <w:numId w:val="3"/>
        </w:numPr>
        <w:adjustRightInd w:val="0"/>
        <w:snapToGrid w:val="0"/>
        <w:spacing w:line="360" w:lineRule="auto"/>
        <w:rPr>
          <w:rFonts w:ascii="宋体"/>
          <w:color w:val="auto"/>
          <w:sz w:val="24"/>
          <w:highlight w:val="none"/>
        </w:rPr>
      </w:pPr>
      <w:r>
        <w:rPr>
          <w:rFonts w:hint="eastAsia" w:ascii="宋体" w:hAnsi="宋体"/>
          <w:bCs/>
          <w:color w:val="auto"/>
          <w:sz w:val="24"/>
          <w:highlight w:val="none"/>
        </w:rPr>
        <w:t>监理服务费的计取</w:t>
      </w:r>
    </w:p>
    <w:p w14:paraId="17BA9DA2">
      <w:pPr>
        <w:adjustRightInd w:val="0"/>
        <w:snapToGrid w:val="0"/>
        <w:spacing w:line="440" w:lineRule="exact"/>
        <w:ind w:left="480"/>
        <w:rPr>
          <w:rFonts w:hint="eastAsia"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w:t>
      </w:r>
      <w:r>
        <w:rPr>
          <w:rFonts w:hint="eastAsia" w:ascii="宋体" w:hAnsi="宋体"/>
          <w:bCs/>
          <w:color w:val="auto"/>
          <w:sz w:val="24"/>
          <w:highlight w:val="none"/>
        </w:rPr>
        <w:t>监理服务费的结算方式：</w:t>
      </w:r>
    </w:p>
    <w:p w14:paraId="13AA7C78">
      <w:pPr>
        <w:adjustRightInd w:val="0"/>
        <w:snapToGrid w:val="0"/>
        <w:spacing w:line="500" w:lineRule="exact"/>
        <w:ind w:right="11" w:firstLine="480" w:firstLineChars="200"/>
        <w:rPr>
          <w:rFonts w:hint="eastAsia" w:ascii="宋体" w:hAnsi="宋体"/>
          <w:color w:val="auto"/>
          <w:sz w:val="24"/>
          <w:highlight w:val="none"/>
        </w:rPr>
      </w:pPr>
      <w:r>
        <w:rPr>
          <w:rFonts w:hint="eastAsia" w:ascii="宋体" w:hAnsi="宋体"/>
          <w:color w:val="auto"/>
          <w:sz w:val="24"/>
          <w:highlight w:val="none"/>
        </w:rPr>
        <w:t>委托人及监理人同意本合同约定的监理范围和监理期内的施工监理服务收费采用固定总价包干，合同价为人民币</w:t>
      </w:r>
      <w:r>
        <w:rPr>
          <w:rFonts w:hint="eastAsia" w:ascii="宋体" w:hAnsi="宋体"/>
          <w:color w:val="auto"/>
          <w:sz w:val="24"/>
          <w:highlight w:val="none"/>
          <w:u w:val="single"/>
        </w:rPr>
        <w:t xml:space="preserve">         </w:t>
      </w:r>
      <w:r>
        <w:rPr>
          <w:rFonts w:hint="eastAsia" w:hAnsi="宋体" w:cs="宋体"/>
          <w:color w:val="auto"/>
          <w:sz w:val="24"/>
          <w:highlight w:val="none"/>
        </w:rPr>
        <w:t>元（大写：人民币</w:t>
      </w:r>
      <w:r>
        <w:rPr>
          <w:rFonts w:hint="eastAsia" w:hAnsi="宋体" w:cs="宋体"/>
          <w:color w:val="auto"/>
          <w:sz w:val="24"/>
          <w:highlight w:val="none"/>
          <w:u w:val="single"/>
        </w:rPr>
        <w:t xml:space="preserve">                </w:t>
      </w:r>
      <w:r>
        <w:rPr>
          <w:rFonts w:hint="eastAsia" w:hAnsi="宋体" w:cs="宋体"/>
          <w:color w:val="auto"/>
          <w:sz w:val="24"/>
          <w:highlight w:val="none"/>
        </w:rPr>
        <w:t>元整）</w:t>
      </w:r>
      <w:r>
        <w:rPr>
          <w:rFonts w:hint="eastAsia" w:ascii="宋体" w:hAnsi="宋体"/>
          <w:color w:val="auto"/>
          <w:sz w:val="24"/>
          <w:highlight w:val="none"/>
        </w:rPr>
        <w:t>，此为含税价，其中不含税价款为人民币</w:t>
      </w:r>
      <w:r>
        <w:rPr>
          <w:rFonts w:hint="eastAsia" w:ascii="宋体" w:hAnsi="宋体"/>
          <w:color w:val="auto"/>
          <w:sz w:val="24"/>
          <w:highlight w:val="none"/>
          <w:u w:val="single"/>
        </w:rPr>
        <w:t xml:space="preserve">          </w:t>
      </w:r>
      <w:r>
        <w:rPr>
          <w:rFonts w:hint="eastAsia" w:ascii="宋体" w:hAnsi="宋体"/>
          <w:color w:val="auto"/>
          <w:sz w:val="24"/>
          <w:highlight w:val="none"/>
        </w:rPr>
        <w:t>元，增值税税款为人民币</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color w:val="auto"/>
          <w:highlight w:val="none"/>
        </w:rPr>
        <w:t>，</w:t>
      </w:r>
      <w:r>
        <w:rPr>
          <w:rFonts w:hint="eastAsia" w:ascii="宋体" w:hAnsi="宋体" w:cs="宋体"/>
          <w:bCs/>
          <w:color w:val="auto"/>
          <w:kern w:val="0"/>
          <w:sz w:val="24"/>
          <w:highlight w:val="none"/>
        </w:rPr>
        <w:t>增值税税率</w:t>
      </w:r>
      <w:r>
        <w:rPr>
          <w:rFonts w:hint="eastAsia" w:ascii="宋体" w:hAnsi="宋体" w:cs="宋体"/>
          <w:bCs/>
          <w:color w:val="auto"/>
          <w:kern w:val="0"/>
          <w:sz w:val="24"/>
          <w:highlight w:val="none"/>
          <w:u w:val="single"/>
        </w:rPr>
        <w:t xml:space="preserve">      </w:t>
      </w:r>
      <w:r>
        <w:rPr>
          <w:rFonts w:hint="eastAsia" w:ascii="宋体" w:hAnsi="宋体"/>
          <w:color w:val="auto"/>
          <w:sz w:val="24"/>
          <w:highlight w:val="none"/>
        </w:rPr>
        <w:t>。监理费结算价不得超过监理费中标价，如超过，则按监理费中标价结算，最终监理费结算价以财政审核意见为准。</w:t>
      </w:r>
    </w:p>
    <w:p w14:paraId="1CCF99EA">
      <w:pPr>
        <w:adjustRightInd w:val="0"/>
        <w:snapToGrid w:val="0"/>
        <w:spacing w:line="440" w:lineRule="exact"/>
        <w:ind w:firstLine="480" w:firstLineChars="200"/>
        <w:rPr>
          <w:rFonts w:hint="eastAsia"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rPr>
        <w:t>在本合同约定的监理范围内，监理人不得以任何理由要求附加工作和额外工作的监理报酬。</w:t>
      </w:r>
    </w:p>
    <w:p w14:paraId="2746AE88">
      <w:pPr>
        <w:adjustRightInd w:val="0"/>
        <w:snapToGrid w:val="0"/>
        <w:spacing w:line="440" w:lineRule="exact"/>
        <w:ind w:firstLine="480" w:firstLineChars="200"/>
        <w:rPr>
          <w:rFonts w:hint="eastAsia" w:ascii="宋体" w:hAnsi="宋体"/>
          <w:bCs/>
          <w:color w:val="auto"/>
          <w:sz w:val="24"/>
          <w:highlight w:val="none"/>
        </w:rPr>
      </w:pPr>
      <w:r>
        <w:rPr>
          <w:rFonts w:ascii="宋体" w:hAnsi="宋体"/>
          <w:bCs/>
          <w:color w:val="auto"/>
          <w:sz w:val="24"/>
          <w:highlight w:val="none"/>
        </w:rPr>
        <w:t>3.</w:t>
      </w:r>
      <w:r>
        <w:rPr>
          <w:rFonts w:hint="eastAsia" w:ascii="宋体" w:hAnsi="宋体"/>
          <w:bCs/>
          <w:color w:val="auto"/>
          <w:sz w:val="24"/>
          <w:highlight w:val="none"/>
        </w:rPr>
        <w:t>委托人有独立决定本项目最终实施方案的权利，如果委托人决定进行实施方案调整的，监理人应予以配合，不视为委托人违约，不得以此为理由向委托人进行索赔。</w:t>
      </w:r>
    </w:p>
    <w:p w14:paraId="504A8A96">
      <w:pPr>
        <w:adjustRightInd w:val="0"/>
        <w:snapToGrid w:val="0"/>
        <w:spacing w:line="440" w:lineRule="exact"/>
        <w:ind w:firstLine="480" w:firstLineChars="200"/>
        <w:rPr>
          <w:rFonts w:hint="eastAsia" w:ascii="宋体" w:hAnsi="宋体"/>
          <w:bCs/>
          <w:color w:val="auto"/>
          <w:sz w:val="24"/>
          <w:highlight w:val="none"/>
        </w:rPr>
      </w:pPr>
      <w:r>
        <w:rPr>
          <w:rFonts w:ascii="宋体" w:hAnsi="宋体"/>
          <w:bCs/>
          <w:color w:val="auto"/>
          <w:sz w:val="24"/>
          <w:highlight w:val="none"/>
        </w:rPr>
        <w:t>4.</w:t>
      </w:r>
      <w:r>
        <w:rPr>
          <w:rFonts w:hint="eastAsia" w:ascii="宋体" w:hAnsi="宋体"/>
          <w:bCs/>
          <w:color w:val="auto"/>
          <w:sz w:val="24"/>
          <w:highlight w:val="none"/>
        </w:rPr>
        <w:t>在本合同约定的监理范围内，当工程量增加、或设计变更或设计规模变化时，监理人工作的变化均应视为包含在本合同约定的监理工作内，委托人不再另行支付费用。</w:t>
      </w:r>
    </w:p>
    <w:p w14:paraId="6DEBF648">
      <w:pPr>
        <w:adjustRightInd w:val="0"/>
        <w:snapToGrid w:val="0"/>
        <w:spacing w:line="440" w:lineRule="exact"/>
        <w:ind w:firstLine="480" w:firstLineChars="200"/>
        <w:rPr>
          <w:rFonts w:hint="eastAsia" w:ascii="宋体" w:hAns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rPr>
        <w:t>除非双方另有约定，本合同约定的服务期间，各种费率和费用不因物价变动而给予弥补或调整。</w:t>
      </w:r>
    </w:p>
    <w:p w14:paraId="7445B1FC">
      <w:pPr>
        <w:adjustRightInd w:val="0"/>
        <w:snapToGrid w:val="0"/>
        <w:spacing w:line="440" w:lineRule="exact"/>
        <w:ind w:firstLine="480" w:firstLineChars="200"/>
        <w:rPr>
          <w:rFonts w:hint="eastAsia" w:ascii="宋体" w:hAnsi="宋体"/>
          <w:color w:val="auto"/>
          <w:sz w:val="24"/>
          <w:highlight w:val="none"/>
        </w:rPr>
      </w:pPr>
      <w:r>
        <w:rPr>
          <w:rFonts w:ascii="宋体" w:hAnsi="宋体"/>
          <w:bCs/>
          <w:color w:val="auto"/>
          <w:sz w:val="24"/>
          <w:highlight w:val="none"/>
        </w:rPr>
        <w:t>6.</w:t>
      </w:r>
      <w:r>
        <w:rPr>
          <w:rFonts w:hint="eastAsia" w:ascii="宋体" w:hAnsi="宋体"/>
          <w:bCs/>
          <w:color w:val="auto"/>
          <w:sz w:val="24"/>
          <w:highlight w:val="none"/>
        </w:rPr>
        <w:t>本工程监理费用已包含监理人履行本项目合同项下所有义务所需所有</w:t>
      </w:r>
      <w:r>
        <w:rPr>
          <w:rFonts w:hint="eastAsia" w:ascii="宋体" w:hAnsi="宋体"/>
          <w:color w:val="auto"/>
          <w:sz w:val="24"/>
          <w:highlight w:val="none"/>
        </w:rPr>
        <w:t>费用，包括但不限于完成全部监理工作所需的工作人员工资、监造费、住宿费、加班费、驻现场人员津贴福利、差旅费、考察费、交通费、办公桌椅、固定电话报装及资讯费用、工伤保险、后勤保障、电话机、饮水机、复印机、空调、文件复印</w:t>
      </w:r>
      <w:r>
        <w:rPr>
          <w:rFonts w:ascii="宋体" w:hAnsi="宋体"/>
          <w:color w:val="auto"/>
          <w:sz w:val="24"/>
          <w:highlight w:val="none"/>
        </w:rPr>
        <w:t>/国内外电话费、传真邮递费、办公用水、电费等服务过程中发生的一切费用及监理人的管理费</w:t>
      </w:r>
      <w:r>
        <w:rPr>
          <w:rFonts w:hint="eastAsia" w:ascii="宋体" w:hAnsi="宋体"/>
          <w:color w:val="auto"/>
          <w:sz w:val="24"/>
          <w:highlight w:val="none"/>
        </w:rPr>
        <w:t>、税费</w:t>
      </w:r>
      <w:r>
        <w:rPr>
          <w:rFonts w:ascii="宋体" w:hAnsi="宋体"/>
          <w:color w:val="auto"/>
          <w:sz w:val="24"/>
          <w:highlight w:val="none"/>
        </w:rPr>
        <w:t>、利润、规费等费用。</w:t>
      </w:r>
      <w:r>
        <w:rPr>
          <w:rFonts w:hint="eastAsia" w:ascii="宋体" w:hAnsi="宋体"/>
          <w:color w:val="auto"/>
          <w:sz w:val="24"/>
          <w:highlight w:val="none"/>
        </w:rPr>
        <w:t>除监理费用外，委托人无须向监理人另行支付其他任何费用。</w:t>
      </w:r>
    </w:p>
    <w:p w14:paraId="6B2F372A">
      <w:pPr>
        <w:adjustRightInd w:val="0"/>
        <w:snapToGrid w:val="0"/>
        <w:spacing w:line="44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7</w:t>
      </w:r>
      <w:r>
        <w:rPr>
          <w:rFonts w:ascii="宋体" w:hAnsi="宋体"/>
          <w:color w:val="auto"/>
          <w:sz w:val="24"/>
          <w:highlight w:val="none"/>
        </w:rPr>
        <w:t>.</w:t>
      </w:r>
      <w:r>
        <w:rPr>
          <w:rFonts w:ascii="宋体" w:hAnsi="宋体"/>
          <w:bCs/>
          <w:color w:val="auto"/>
          <w:sz w:val="24"/>
          <w:highlight w:val="none"/>
        </w:rPr>
        <w:t>在合同履行期间，如遇国家的税率政策调整，合同不含税价格不因国家税率变化而变化，合同含税价格按国家的税率政策进行调整。</w:t>
      </w:r>
    </w:p>
    <w:p w14:paraId="68A63904">
      <w:pPr>
        <w:adjustRightInd w:val="0"/>
        <w:snapToGrid w:val="0"/>
        <w:spacing w:line="440" w:lineRule="exact"/>
        <w:ind w:firstLine="480" w:firstLineChars="200"/>
        <w:rPr>
          <w:rFonts w:ascii="宋体"/>
          <w:bCs/>
          <w:color w:val="auto"/>
          <w:sz w:val="24"/>
          <w:highlight w:val="none"/>
        </w:rPr>
      </w:pPr>
      <w:r>
        <w:rPr>
          <w:rFonts w:ascii="宋体" w:hAnsi="宋体"/>
          <w:bCs/>
          <w:color w:val="auto"/>
          <w:sz w:val="24"/>
          <w:highlight w:val="none"/>
        </w:rPr>
        <w:t>8.</w:t>
      </w:r>
      <w:r>
        <w:rPr>
          <w:rFonts w:hint="eastAsia"/>
          <w:color w:val="auto"/>
          <w:sz w:val="24"/>
          <w:highlight w:val="none"/>
        </w:rPr>
        <w:t>在本合同约定的监理范围内，非因监理人原因造成工程延期，致使监理服务期出现延长，监理人的责任期也应相应延长，不因监理服务期的延长而调整本合同监理酬金。</w:t>
      </w:r>
    </w:p>
    <w:p w14:paraId="5B12A7E8">
      <w:pPr>
        <w:adjustRightInd w:val="0"/>
        <w:snapToGrid w:val="0"/>
        <w:spacing w:line="440" w:lineRule="exact"/>
        <w:ind w:firstLine="480" w:firstLineChars="200"/>
        <w:rPr>
          <w:rFonts w:hint="eastAsia" w:ascii="宋体" w:hAnsi="宋体"/>
          <w:bCs/>
          <w:color w:val="auto"/>
          <w:sz w:val="24"/>
          <w:highlight w:val="none"/>
        </w:rPr>
      </w:pPr>
      <w:r>
        <w:rPr>
          <w:rFonts w:ascii="宋体" w:hAnsi="宋体"/>
          <w:bCs/>
          <w:color w:val="auto"/>
          <w:sz w:val="24"/>
          <w:highlight w:val="none"/>
        </w:rPr>
        <w:t>9.</w:t>
      </w:r>
      <w:r>
        <w:rPr>
          <w:rFonts w:hint="eastAsia" w:ascii="宋体" w:hAnsi="宋体"/>
          <w:bCs/>
          <w:color w:val="auto"/>
          <w:sz w:val="24"/>
          <w:highlight w:val="none"/>
        </w:rPr>
        <w:t>如在工程实施期间，因国家政策变化、政府对本合同工程的计划调整或不可抗力等非委托人原因造成本合同工程停建的，则监理人必须接受终止服务并积极配合委托人做好善后工作，按已实际完成的监理服务内容和本合同的相关约定结清监理报酬。</w:t>
      </w:r>
    </w:p>
    <w:p w14:paraId="455BDA2E">
      <w:pPr>
        <w:adjustRightInd w:val="0"/>
        <w:snapToGrid w:val="0"/>
        <w:spacing w:line="440" w:lineRule="exact"/>
        <w:ind w:firstLine="480" w:firstLineChars="200"/>
        <w:rPr>
          <w:rFonts w:ascii="宋体"/>
          <w:bCs/>
          <w:color w:val="auto"/>
          <w:sz w:val="24"/>
          <w:highlight w:val="none"/>
        </w:rPr>
      </w:pPr>
      <w:r>
        <w:rPr>
          <w:rFonts w:hint="eastAsia" w:ascii="宋体" w:hAnsi="宋体"/>
          <w:bCs/>
          <w:color w:val="auto"/>
          <w:sz w:val="24"/>
          <w:highlight w:val="none"/>
        </w:rPr>
        <w:t>因非委托人原因终止服务的，监理人无权要求任何额外补偿或赔偿</w:t>
      </w:r>
    </w:p>
    <w:p w14:paraId="44A47869">
      <w:pPr>
        <w:adjustRightInd w:val="0"/>
        <w:snapToGrid w:val="0"/>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0.</w:t>
      </w:r>
      <w:r>
        <w:rPr>
          <w:rFonts w:hint="eastAsia" w:ascii="宋体" w:hAnsi="宋体"/>
          <w:bCs/>
          <w:color w:val="auto"/>
          <w:sz w:val="24"/>
          <w:highlight w:val="none"/>
        </w:rPr>
        <w:t>如在工程实施期间，因任何原因造成本合同工程中间停工而导致监理人必须二次或多次进出场，监理报酬总额将不会因此而有所调整，相关费用亦已经包含在本合同监理报酬中。</w:t>
      </w:r>
    </w:p>
    <w:p w14:paraId="7C5E701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1.</w:t>
      </w:r>
      <w:r>
        <w:rPr>
          <w:rFonts w:hint="eastAsia" w:ascii="宋体" w:hAnsi="宋体"/>
          <w:bCs/>
          <w:color w:val="auto"/>
          <w:sz w:val="24"/>
          <w:highlight w:val="none"/>
        </w:rPr>
        <w:t>监理人应在签订本合同后15个工作日内提交履约保证金给委托人，提供的履约保证金为中标价款的 10%，采用履约保函形式，履约保函格式参照附件4。</w:t>
      </w:r>
    </w:p>
    <w:p w14:paraId="22DED533">
      <w:pPr>
        <w:adjustRightInd w:val="0"/>
        <w:snapToGrid w:val="0"/>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（二）监理报酬的支付</w:t>
      </w:r>
    </w:p>
    <w:p w14:paraId="43BA80B2">
      <w:pPr>
        <w:spacing w:line="44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1、双方同意按以下方法、支付时间支付监理报酬：</w:t>
      </w:r>
    </w:p>
    <w:p w14:paraId="2B653198">
      <w:pPr>
        <w:adjustRightInd w:val="0"/>
        <w:snapToGrid w:val="0"/>
        <w:spacing w:line="440" w:lineRule="exact"/>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监理报酬从工程正式开工（取得施工许可证）后按季度支付，每季度末月25日，监理人提交本季度监理服务费支付申请及对应工作成果报告至委托人审核，付款比例为工程费完成产值比例对应监理服务费完成比例的80%，具体计算方式如下：</w:t>
      </w:r>
    </w:p>
    <w:p w14:paraId="159D8277">
      <w:pPr>
        <w:spacing w:line="440" w:lineRule="exact"/>
        <w:ind w:firstLine="48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当期进度款=A×B×80%-C</w:t>
      </w:r>
    </w:p>
    <w:p w14:paraId="4EFF33B8">
      <w:pPr>
        <w:spacing w:line="440" w:lineRule="exact"/>
        <w:ind w:firstLine="48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A：监理服务费合同总价</w:t>
      </w:r>
    </w:p>
    <w:p w14:paraId="14383AC4">
      <w:pPr>
        <w:spacing w:line="440" w:lineRule="exact"/>
        <w:ind w:firstLine="48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B：工程费当期完成产值比例</w:t>
      </w:r>
    </w:p>
    <w:p w14:paraId="7FE7EC60">
      <w:pPr>
        <w:adjustRightInd w:val="0"/>
        <w:snapToGrid w:val="0"/>
        <w:spacing w:line="440" w:lineRule="exact"/>
        <w:ind w:firstLine="0" w:firstLineChars="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C：应扣款项</w:t>
      </w:r>
    </w:p>
    <w:p w14:paraId="3E241A82">
      <w:pPr>
        <w:adjustRightInd w:val="0"/>
        <w:snapToGrid w:val="0"/>
        <w:spacing w:line="440" w:lineRule="exact"/>
        <w:ind w:firstLine="0" w:firstLineChars="0"/>
        <w:jc w:val="left"/>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rPr>
        <w:t>在监理项目工程竣工备案后，委托人支付至本项目</w:t>
      </w:r>
      <w:r>
        <w:rPr>
          <w:rFonts w:hint="eastAsia" w:ascii="宋体" w:hAnsi="宋体"/>
          <w:bCs/>
          <w:color w:val="auto"/>
          <w:sz w:val="24"/>
          <w:highlight w:val="none"/>
          <w:u w:val="single"/>
        </w:rPr>
        <w:t>监理服务费</w:t>
      </w:r>
      <w:r>
        <w:rPr>
          <w:rFonts w:hint="eastAsia" w:ascii="宋体" w:hAnsi="宋体" w:cs="宋体"/>
          <w:color w:val="auto"/>
          <w:sz w:val="24"/>
          <w:highlight w:val="none"/>
          <w:u w:val="single"/>
        </w:rPr>
        <w:t>的</w:t>
      </w:r>
      <w:r>
        <w:rPr>
          <w:rFonts w:ascii="宋体" w:hAnsi="宋体" w:cs="宋体"/>
          <w:color w:val="auto"/>
          <w:sz w:val="24"/>
          <w:highlight w:val="none"/>
          <w:u w:val="single"/>
        </w:rPr>
        <w:t>9</w:t>
      </w:r>
      <w:r>
        <w:rPr>
          <w:rFonts w:hint="eastAsia" w:ascii="宋体" w:hAnsi="宋体" w:cs="宋体"/>
          <w:color w:val="auto"/>
          <w:sz w:val="24"/>
          <w:highlight w:val="none"/>
          <w:u w:val="single"/>
        </w:rPr>
        <w:t>0%；</w:t>
      </w:r>
    </w:p>
    <w:p w14:paraId="49411578">
      <w:pPr>
        <w:spacing w:line="44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待完成施工通过竣工验收并办理完成结算后，监理人提交本工程监理费结算资料。委托人支付至监理费结算价的97%（具体支付时应扣减监理人违约金、赔偿金（如有）），预留监理费结算价的3%作为质保金。在签发工程保修责任终止证书60日之内，扣减其它应从监理人扣减的费用后，结算工程保修期的监理酬金余额，并将余额无息退回给监理人。</w:t>
      </w:r>
    </w:p>
    <w:p w14:paraId="3275F0AC">
      <w:pPr>
        <w:spacing w:line="44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特别地，如前期累计支付的监理服务费超出监理结算价的97%，则监理人应将多出</w:t>
      </w:r>
    </w:p>
    <w:p w14:paraId="2DAE7EB9">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的部分在5个工作日内退回给委托人。</w:t>
      </w:r>
    </w:p>
    <w:p w14:paraId="1B562F93">
      <w:pPr>
        <w:spacing w:line="440" w:lineRule="exact"/>
        <w:ind w:firstLine="482"/>
        <w:jc w:val="left"/>
        <w:rPr>
          <w:rFonts w:hint="eastAsia" w:ascii="宋体" w:hAnsi="宋体" w:cs="宋体"/>
          <w:color w:val="auto"/>
          <w:sz w:val="24"/>
          <w:highlight w:val="none"/>
        </w:rPr>
      </w:pPr>
      <w:r>
        <w:rPr>
          <w:rFonts w:hint="eastAsia" w:ascii="宋体" w:hAnsi="宋体" w:cs="宋体"/>
          <w:color w:val="auto"/>
          <w:sz w:val="24"/>
          <w:highlight w:val="none"/>
        </w:rPr>
        <w:t>（7）监理人应于每个进度节点完成后10日内向委托人提交进度款支付申请，经委托人审核确认后在次月15日前支付款项。每次支付前，应由本项目监理办公室报出“监理支付报表”和支付申请（格式另定），经委托人考核和审查后支付。</w:t>
      </w:r>
    </w:p>
    <w:p w14:paraId="042E2076">
      <w:pPr>
        <w:spacing w:line="440" w:lineRule="exact"/>
        <w:ind w:firstLine="482"/>
        <w:jc w:val="left"/>
        <w:rPr>
          <w:rFonts w:hint="eastAsia" w:ascii="宋体" w:hAnsi="宋体" w:cs="宋体"/>
          <w:color w:val="auto"/>
          <w:sz w:val="24"/>
          <w:highlight w:val="none"/>
        </w:rPr>
      </w:pPr>
      <w:r>
        <w:rPr>
          <w:rFonts w:hint="eastAsia" w:ascii="宋体" w:hAnsi="宋体" w:cs="宋体"/>
          <w:color w:val="auto"/>
          <w:sz w:val="24"/>
          <w:highlight w:val="none"/>
        </w:rPr>
        <w:t>（8）本合同费用的支付，监理人均需按照委托人要求提前提供合法等额有效的增值税专用发票及请款函，并需按委托人相关管理制度、办法执行，否则委托人有权暂缓付款且无需承担任何违约责任。</w:t>
      </w:r>
    </w:p>
    <w:p w14:paraId="2CACE8E8">
      <w:pPr>
        <w:snapToGrid w:val="0"/>
        <w:spacing w:line="440" w:lineRule="exact"/>
        <w:ind w:firstLine="480" w:firstLineChars="200"/>
        <w:jc w:val="left"/>
        <w:rPr>
          <w:rFonts w:hint="eastAsia" w:hAnsi="宋体" w:cs="宋体"/>
          <w:color w:val="auto"/>
          <w:sz w:val="24"/>
          <w:highlight w:val="none"/>
        </w:rPr>
      </w:pPr>
      <w:r>
        <w:rPr>
          <w:rFonts w:hint="eastAsia" w:ascii="宋体" w:hAnsi="宋体" w:cs="宋体"/>
          <w:color w:val="auto"/>
          <w:sz w:val="24"/>
          <w:highlight w:val="none"/>
        </w:rPr>
        <w:t>（9）因非监理人原因导致项目工期调整，监理人应无条件接受，因此产生的费用已包含在合同款项中，不另行计取，监理人不得要求委托人另行计取工期调整增加费。</w:t>
      </w:r>
    </w:p>
    <w:p w14:paraId="26FFFCD0">
      <w:pPr>
        <w:adjustRightInd w:val="0"/>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0）以上付款条件必须在达到对应节点后方可申请进度款支付，如有应扣减监理人的违约金、罚款及赔偿费等，需在当期进度款中扣减。</w:t>
      </w:r>
    </w:p>
    <w:p w14:paraId="0865A9EE">
      <w:pPr>
        <w:spacing w:line="44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（11）监理人必须根据我国及广州市现行税费征收的相关规定，按照地方税务局的指引，依照纳税期限，在税费代征点申报缴纳本项目的应缴税费。</w:t>
      </w:r>
    </w:p>
    <w:p w14:paraId="0995FC5C">
      <w:pPr>
        <w:spacing w:line="48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2、委托人将监理费支付至以下账户后，视为完成相应的付款义务：</w:t>
      </w:r>
    </w:p>
    <w:p w14:paraId="038D7B40">
      <w:pPr>
        <w:spacing w:line="360" w:lineRule="auto"/>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rPr>
        <w:t xml:space="preserve">账  号： </w:t>
      </w:r>
      <w:r>
        <w:rPr>
          <w:rFonts w:hint="eastAsia" w:ascii="宋体" w:hAnsi="宋体"/>
          <w:color w:val="auto"/>
          <w:sz w:val="24"/>
          <w:highlight w:val="none"/>
          <w:u w:val="single"/>
        </w:rPr>
        <w:t xml:space="preserve">                                    </w:t>
      </w:r>
    </w:p>
    <w:p w14:paraId="0C637182">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户  名：</w:t>
      </w:r>
      <w:r>
        <w:rPr>
          <w:rFonts w:hint="eastAsia" w:ascii="宋体" w:hAnsi="宋体"/>
          <w:color w:val="auto"/>
          <w:sz w:val="24"/>
          <w:highlight w:val="none"/>
          <w:u w:val="single"/>
        </w:rPr>
        <w:t xml:space="preserve">                                     </w:t>
      </w:r>
      <w:r>
        <w:rPr>
          <w:rFonts w:ascii="宋体" w:hAnsi="宋体"/>
          <w:color w:val="auto"/>
          <w:sz w:val="24"/>
          <w:highlight w:val="none"/>
        </w:rPr>
        <w:t xml:space="preserve">                                         </w:t>
      </w:r>
    </w:p>
    <w:p w14:paraId="26E51D86">
      <w:pPr>
        <w:spacing w:line="360" w:lineRule="auto"/>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14:paraId="79E9D35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税  号：</w:t>
      </w:r>
      <w:r>
        <w:rPr>
          <w:rFonts w:hint="eastAsia" w:ascii="宋体" w:hAnsi="宋体"/>
          <w:color w:val="auto"/>
          <w:sz w:val="24"/>
          <w:highlight w:val="none"/>
          <w:u w:val="single"/>
        </w:rPr>
        <w:t xml:space="preserve">                                     </w:t>
      </w:r>
      <w:r>
        <w:rPr>
          <w:rFonts w:ascii="宋体" w:hAnsi="宋体"/>
          <w:color w:val="auto"/>
          <w:sz w:val="24"/>
          <w:highlight w:val="none"/>
        </w:rPr>
        <w:t xml:space="preserve">                             </w:t>
      </w:r>
    </w:p>
    <w:p w14:paraId="57A3F3E5">
      <w:pPr>
        <w:spacing w:line="480" w:lineRule="exact"/>
        <w:ind w:firstLine="480" w:firstLineChars="200"/>
        <w:rPr>
          <w:rFonts w:hint="eastAsia" w:ascii="宋体" w:hAnsi="宋体" w:cs="宋体"/>
          <w:color w:val="auto"/>
          <w:sz w:val="24"/>
          <w:highlight w:val="none"/>
        </w:rPr>
      </w:pPr>
      <w:r>
        <w:rPr>
          <w:rFonts w:hint="eastAsia"/>
          <w:color w:val="auto"/>
          <w:sz w:val="24"/>
          <w:highlight w:val="none"/>
        </w:rPr>
        <w:t>3、</w:t>
      </w:r>
      <w:r>
        <w:rPr>
          <w:rFonts w:hint="eastAsia" w:ascii="宋体" w:hAnsi="宋体"/>
          <w:bCs/>
          <w:color w:val="auto"/>
          <w:sz w:val="24"/>
          <w:highlight w:val="none"/>
        </w:rPr>
        <w:t>监理人每次请款前需向委托人开具合法有效等额的增值税专用发票，监理人因收取费用所需缴纳的所有税费，由监理人自行承担。</w:t>
      </w:r>
      <w:r>
        <w:rPr>
          <w:rFonts w:hint="eastAsia" w:ascii="宋体" w:hAnsi="宋体" w:cs="宋体"/>
          <w:color w:val="auto"/>
          <w:sz w:val="24"/>
          <w:highlight w:val="none"/>
        </w:rPr>
        <w:t>监理人未按要求进行请款或所提交的发票不符要求的，委托人有权暂停付款，因此而导致付款时间延误的责任由监理人承担，并且委托人无需承担任何违约责任。</w:t>
      </w:r>
    </w:p>
    <w:p w14:paraId="615D845E">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开票信息如下：</w:t>
      </w:r>
    </w:p>
    <w:tbl>
      <w:tblPr>
        <w:tblStyle w:val="8"/>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3"/>
        <w:gridCol w:w="5352"/>
      </w:tblGrid>
      <w:tr w14:paraId="0BFD5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25EAA1AF">
            <w:pPr>
              <w:rPr>
                <w:rFonts w:ascii="宋体"/>
                <w:color w:val="auto"/>
                <w:sz w:val="24"/>
                <w:highlight w:val="none"/>
              </w:rPr>
            </w:pPr>
            <w:r>
              <w:rPr>
                <w:rFonts w:hint="eastAsia" w:ascii="宋体" w:hAnsi="宋体"/>
                <w:color w:val="auto"/>
                <w:sz w:val="24"/>
                <w:highlight w:val="none"/>
              </w:rPr>
              <w:t>单位名称</w:t>
            </w:r>
          </w:p>
        </w:tc>
        <w:tc>
          <w:tcPr>
            <w:tcW w:w="5352" w:type="dxa"/>
            <w:vAlign w:val="center"/>
          </w:tcPr>
          <w:p w14:paraId="2B70B9A2">
            <w:pPr>
              <w:jc w:val="left"/>
              <w:rPr>
                <w:rFonts w:hint="default" w:ascii="宋体" w:eastAsia="宋体"/>
                <w:color w:val="auto"/>
                <w:sz w:val="24"/>
                <w:highlight w:val="none"/>
                <w:u w:val="single"/>
                <w:lang w:val="en-US" w:eastAsia="zh-CN"/>
              </w:rPr>
            </w:pPr>
            <w:r>
              <w:rPr>
                <w:rFonts w:hint="eastAsia" w:ascii="宋体"/>
                <w:color w:val="auto"/>
                <w:sz w:val="24"/>
                <w:highlight w:val="none"/>
                <w:u w:val="single"/>
                <w:lang w:val="en-US" w:eastAsia="zh-CN"/>
              </w:rPr>
              <w:t xml:space="preserve">      </w:t>
            </w:r>
          </w:p>
        </w:tc>
      </w:tr>
      <w:tr w14:paraId="0721F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2ABA047D">
            <w:pPr>
              <w:rPr>
                <w:rFonts w:ascii="宋体"/>
                <w:color w:val="auto"/>
                <w:sz w:val="24"/>
                <w:highlight w:val="none"/>
              </w:rPr>
            </w:pPr>
            <w:r>
              <w:rPr>
                <w:rFonts w:hint="eastAsia" w:ascii="宋体" w:hAnsi="宋体"/>
                <w:color w:val="auto"/>
                <w:sz w:val="24"/>
                <w:highlight w:val="none"/>
              </w:rPr>
              <w:t>税号</w:t>
            </w:r>
          </w:p>
        </w:tc>
        <w:tc>
          <w:tcPr>
            <w:tcW w:w="5352" w:type="dxa"/>
            <w:vAlign w:val="center"/>
          </w:tcPr>
          <w:p w14:paraId="5CBC1EE3">
            <w:pPr>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u w:val="single"/>
                <w:lang w:val="en-US" w:eastAsia="zh-CN"/>
              </w:rPr>
              <w:t xml:space="preserve">      </w:t>
            </w:r>
          </w:p>
        </w:tc>
      </w:tr>
      <w:tr w14:paraId="7B088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2F5B3117">
            <w:pPr>
              <w:rPr>
                <w:rFonts w:ascii="宋体"/>
                <w:color w:val="auto"/>
                <w:sz w:val="24"/>
                <w:highlight w:val="none"/>
              </w:rPr>
            </w:pPr>
            <w:r>
              <w:rPr>
                <w:rFonts w:hint="eastAsia" w:ascii="宋体" w:hAnsi="宋体"/>
                <w:color w:val="auto"/>
                <w:sz w:val="24"/>
                <w:highlight w:val="none"/>
              </w:rPr>
              <w:t>地址</w:t>
            </w:r>
          </w:p>
        </w:tc>
        <w:tc>
          <w:tcPr>
            <w:tcW w:w="5352" w:type="dxa"/>
            <w:vAlign w:val="center"/>
          </w:tcPr>
          <w:p w14:paraId="0947D271">
            <w:pPr>
              <w:jc w:val="left"/>
              <w:rPr>
                <w:rFonts w:hint="default" w:ascii="宋体" w:eastAsia="宋体"/>
                <w:color w:val="auto"/>
                <w:sz w:val="24"/>
                <w:highlight w:val="none"/>
                <w:u w:val="none"/>
                <w:lang w:val="en-US" w:eastAsia="zh-CN"/>
              </w:rPr>
            </w:pPr>
            <w:r>
              <w:rPr>
                <w:rFonts w:hint="eastAsia" w:ascii="宋体"/>
                <w:color w:val="auto"/>
                <w:sz w:val="24"/>
                <w:highlight w:val="none"/>
                <w:u w:val="single"/>
                <w:lang w:val="en-US" w:eastAsia="zh-CN"/>
              </w:rPr>
              <w:t xml:space="preserve">      </w:t>
            </w:r>
          </w:p>
        </w:tc>
      </w:tr>
      <w:tr w14:paraId="7BAC0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169AD7AE">
            <w:pPr>
              <w:rPr>
                <w:rFonts w:ascii="宋体"/>
                <w:color w:val="auto"/>
                <w:sz w:val="24"/>
                <w:highlight w:val="none"/>
              </w:rPr>
            </w:pPr>
            <w:r>
              <w:rPr>
                <w:rFonts w:hint="eastAsia" w:ascii="宋体" w:hAnsi="宋体"/>
                <w:color w:val="auto"/>
                <w:sz w:val="24"/>
                <w:highlight w:val="none"/>
              </w:rPr>
              <w:t>电话</w:t>
            </w:r>
          </w:p>
        </w:tc>
        <w:tc>
          <w:tcPr>
            <w:tcW w:w="5352" w:type="dxa"/>
            <w:vAlign w:val="center"/>
          </w:tcPr>
          <w:p w14:paraId="7127A238">
            <w:pPr>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u w:val="single"/>
                <w:lang w:val="en-US" w:eastAsia="zh-CN"/>
              </w:rPr>
              <w:t xml:space="preserve">      </w:t>
            </w:r>
          </w:p>
        </w:tc>
      </w:tr>
      <w:tr w14:paraId="21C28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3211AEF6">
            <w:pPr>
              <w:rPr>
                <w:rFonts w:ascii="宋体"/>
                <w:color w:val="auto"/>
                <w:sz w:val="24"/>
                <w:highlight w:val="none"/>
              </w:rPr>
            </w:pPr>
            <w:r>
              <w:rPr>
                <w:rFonts w:hint="eastAsia" w:ascii="宋体" w:hAnsi="宋体"/>
                <w:color w:val="auto"/>
                <w:sz w:val="24"/>
                <w:highlight w:val="none"/>
              </w:rPr>
              <w:t>开户银行</w:t>
            </w:r>
          </w:p>
        </w:tc>
        <w:tc>
          <w:tcPr>
            <w:tcW w:w="5352" w:type="dxa"/>
            <w:vAlign w:val="center"/>
          </w:tcPr>
          <w:p w14:paraId="5EBE0ED5">
            <w:pPr>
              <w:jc w:val="left"/>
              <w:rPr>
                <w:rFonts w:hint="default" w:ascii="宋体" w:eastAsia="宋体"/>
                <w:color w:val="auto"/>
                <w:sz w:val="24"/>
                <w:highlight w:val="none"/>
                <w:u w:val="single"/>
                <w:lang w:val="en-US" w:eastAsia="zh-CN"/>
              </w:rPr>
            </w:pPr>
            <w:r>
              <w:rPr>
                <w:rFonts w:hint="eastAsia" w:ascii="宋体"/>
                <w:color w:val="auto"/>
                <w:sz w:val="24"/>
                <w:highlight w:val="none"/>
                <w:u w:val="single"/>
                <w:lang w:val="en-US" w:eastAsia="zh-CN"/>
              </w:rPr>
              <w:t xml:space="preserve">      </w:t>
            </w:r>
          </w:p>
        </w:tc>
      </w:tr>
      <w:tr w14:paraId="2120E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0EF25196">
            <w:pPr>
              <w:rPr>
                <w:rFonts w:ascii="宋体"/>
                <w:color w:val="auto"/>
                <w:sz w:val="24"/>
                <w:highlight w:val="none"/>
              </w:rPr>
            </w:pPr>
            <w:r>
              <w:rPr>
                <w:rFonts w:hint="eastAsia" w:ascii="宋体" w:hAnsi="宋体"/>
                <w:color w:val="auto"/>
                <w:sz w:val="24"/>
                <w:highlight w:val="none"/>
              </w:rPr>
              <w:t>银行账号</w:t>
            </w:r>
          </w:p>
        </w:tc>
        <w:tc>
          <w:tcPr>
            <w:tcW w:w="5352" w:type="dxa"/>
            <w:vAlign w:val="center"/>
          </w:tcPr>
          <w:p w14:paraId="7038ED09">
            <w:pPr>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u w:val="single"/>
                <w:lang w:val="en-US" w:eastAsia="zh-CN"/>
              </w:rPr>
              <w:t xml:space="preserve">      </w:t>
            </w:r>
          </w:p>
        </w:tc>
      </w:tr>
    </w:tbl>
    <w:p w14:paraId="08153F0B">
      <w:pPr>
        <w:spacing w:line="360" w:lineRule="auto"/>
        <w:rPr>
          <w:color w:val="auto"/>
          <w:sz w:val="24"/>
          <w:highlight w:val="none"/>
        </w:rPr>
      </w:pPr>
    </w:p>
    <w:p w14:paraId="4CBCAC2C">
      <w:pPr>
        <w:adjustRightInd w:val="0"/>
        <w:snapToGrid w:val="0"/>
        <w:spacing w:line="360" w:lineRule="auto"/>
        <w:ind w:right="11" w:firstLine="482" w:firstLineChars="200"/>
        <w:rPr>
          <w:rFonts w:ascii="宋体"/>
          <w:bCs/>
          <w:color w:val="auto"/>
          <w:sz w:val="24"/>
          <w:highlight w:val="none"/>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二</w:t>
      </w:r>
      <w:r>
        <w:rPr>
          <w:rFonts w:ascii="宋体" w:hAnsi="宋体"/>
          <w:b/>
          <w:bCs/>
          <w:color w:val="auto"/>
          <w:sz w:val="24"/>
          <w:highlight w:val="none"/>
        </w:rPr>
        <w:t>十</w:t>
      </w:r>
      <w:r>
        <w:rPr>
          <w:rFonts w:hint="eastAsia" w:ascii="宋体" w:hAnsi="宋体"/>
          <w:b/>
          <w:bCs/>
          <w:color w:val="auto"/>
          <w:sz w:val="24"/>
          <w:highlight w:val="none"/>
        </w:rPr>
        <w:t>条</w:t>
      </w:r>
      <w:r>
        <w:rPr>
          <w:rFonts w:ascii="宋体" w:hAnsi="宋体"/>
          <w:bCs/>
          <w:color w:val="auto"/>
          <w:sz w:val="24"/>
          <w:highlight w:val="none"/>
        </w:rPr>
        <w:t xml:space="preserve"> </w:t>
      </w:r>
      <w:r>
        <w:rPr>
          <w:rFonts w:hint="eastAsia" w:ascii="宋体" w:hAnsi="宋体"/>
          <w:bCs/>
          <w:color w:val="auto"/>
          <w:sz w:val="24"/>
          <w:highlight w:val="none"/>
        </w:rPr>
        <w:t>委托人与监理人双方同意用人民币支付本合同涉及的相关款项。</w:t>
      </w:r>
    </w:p>
    <w:p w14:paraId="2154EC9D">
      <w:pPr>
        <w:adjustRightInd w:val="0"/>
        <w:snapToGrid w:val="0"/>
        <w:spacing w:line="360" w:lineRule="auto"/>
        <w:ind w:right="11" w:firstLine="482" w:firstLineChars="200"/>
        <w:rPr>
          <w:rFonts w:ascii="宋体"/>
          <w:bCs/>
          <w:color w:val="auto"/>
          <w:sz w:val="24"/>
          <w:highlight w:val="none"/>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二</w:t>
      </w:r>
      <w:r>
        <w:rPr>
          <w:rFonts w:ascii="宋体" w:hAnsi="宋体"/>
          <w:b/>
          <w:bCs/>
          <w:color w:val="auto"/>
          <w:sz w:val="24"/>
          <w:highlight w:val="none"/>
        </w:rPr>
        <w:t>十</w:t>
      </w:r>
      <w:r>
        <w:rPr>
          <w:rFonts w:hint="eastAsia" w:ascii="宋体" w:hAnsi="宋体"/>
          <w:b/>
          <w:bCs/>
          <w:color w:val="auto"/>
          <w:sz w:val="24"/>
          <w:highlight w:val="none"/>
          <w:lang w:val="en-US" w:eastAsia="zh-CN"/>
        </w:rPr>
        <w:t>一</w:t>
      </w:r>
      <w:r>
        <w:rPr>
          <w:rFonts w:hint="eastAsia" w:ascii="宋体" w:hAnsi="宋体"/>
          <w:b/>
          <w:bCs/>
          <w:color w:val="auto"/>
          <w:sz w:val="24"/>
          <w:highlight w:val="none"/>
        </w:rPr>
        <w:t>条</w:t>
      </w:r>
      <w:r>
        <w:rPr>
          <w:rFonts w:ascii="宋体" w:hAnsi="宋体"/>
          <w:bCs/>
          <w:color w:val="auto"/>
          <w:sz w:val="24"/>
          <w:highlight w:val="none"/>
        </w:rPr>
        <w:t xml:space="preserve"> </w:t>
      </w:r>
      <w:r>
        <w:rPr>
          <w:rFonts w:hint="eastAsia" w:ascii="宋体" w:hAnsi="宋体"/>
          <w:bCs/>
          <w:color w:val="auto"/>
          <w:sz w:val="24"/>
          <w:highlight w:val="none"/>
        </w:rPr>
        <w:t>双方一致同意不适用本合同标准条款第</w:t>
      </w:r>
      <w:r>
        <w:rPr>
          <w:rFonts w:ascii="宋体" w:hAnsi="宋体"/>
          <w:bCs/>
          <w:color w:val="auto"/>
          <w:sz w:val="24"/>
          <w:highlight w:val="none"/>
        </w:rPr>
        <w:t>42</w:t>
      </w:r>
      <w:r>
        <w:rPr>
          <w:rFonts w:hint="eastAsia" w:ascii="宋体" w:hAnsi="宋体"/>
          <w:bCs/>
          <w:color w:val="auto"/>
          <w:sz w:val="24"/>
          <w:highlight w:val="none"/>
        </w:rPr>
        <w:t>条的约定，监理人申请委托人付款的，应按委托人及广州</w:t>
      </w:r>
      <w:r>
        <w:rPr>
          <w:rFonts w:hint="eastAsia" w:ascii="宋体" w:hAnsi="宋体"/>
          <w:bCs/>
          <w:color w:val="auto"/>
          <w:sz w:val="24"/>
          <w:highlight w:val="none"/>
          <w:lang w:val="en-US" w:eastAsia="zh-CN"/>
        </w:rPr>
        <w:t>市</w:t>
      </w:r>
      <w:r>
        <w:rPr>
          <w:rFonts w:hint="eastAsia" w:ascii="宋体" w:hAnsi="宋体"/>
          <w:bCs/>
          <w:color w:val="auto"/>
          <w:sz w:val="24"/>
          <w:highlight w:val="none"/>
        </w:rPr>
        <w:t>增城区有关规定办理请款手续。</w:t>
      </w:r>
    </w:p>
    <w:p w14:paraId="568F7CD4">
      <w:pPr>
        <w:adjustRightInd w:val="0"/>
        <w:snapToGrid w:val="0"/>
        <w:spacing w:line="360" w:lineRule="auto"/>
        <w:ind w:right="11" w:firstLine="482" w:firstLineChars="200"/>
        <w:rPr>
          <w:rFonts w:ascii="宋体"/>
          <w:bCs/>
          <w:color w:val="auto"/>
          <w:sz w:val="24"/>
          <w:highlight w:val="none"/>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二</w:t>
      </w:r>
      <w:r>
        <w:rPr>
          <w:rFonts w:ascii="宋体" w:hAnsi="宋体"/>
          <w:b/>
          <w:bCs/>
          <w:color w:val="auto"/>
          <w:sz w:val="24"/>
          <w:highlight w:val="none"/>
        </w:rPr>
        <w:t>十</w:t>
      </w:r>
      <w:r>
        <w:rPr>
          <w:rFonts w:hint="eastAsia" w:ascii="宋体" w:hAnsi="宋体"/>
          <w:b/>
          <w:bCs/>
          <w:color w:val="auto"/>
          <w:sz w:val="24"/>
          <w:highlight w:val="none"/>
          <w:lang w:val="en-US" w:eastAsia="zh-CN"/>
        </w:rPr>
        <w:t>二</w:t>
      </w:r>
      <w:r>
        <w:rPr>
          <w:rFonts w:hint="eastAsia" w:ascii="宋体" w:hAnsi="宋体"/>
          <w:b/>
          <w:bCs/>
          <w:color w:val="auto"/>
          <w:sz w:val="24"/>
          <w:highlight w:val="none"/>
        </w:rPr>
        <w:t>条</w:t>
      </w:r>
      <w:r>
        <w:rPr>
          <w:rFonts w:ascii="宋体" w:hAnsi="宋体"/>
          <w:bCs/>
          <w:color w:val="auto"/>
          <w:sz w:val="24"/>
          <w:highlight w:val="none"/>
        </w:rPr>
        <w:t xml:space="preserve"> </w:t>
      </w:r>
      <w:r>
        <w:rPr>
          <w:rFonts w:hint="eastAsia" w:ascii="宋体" w:hAnsi="宋体"/>
          <w:bCs/>
          <w:color w:val="auto"/>
          <w:sz w:val="24"/>
          <w:highlight w:val="none"/>
        </w:rPr>
        <w:t>双方一致同意不适用本合同标准条款第</w:t>
      </w:r>
      <w:r>
        <w:rPr>
          <w:rFonts w:ascii="宋体" w:hAnsi="宋体"/>
          <w:bCs/>
          <w:color w:val="auto"/>
          <w:sz w:val="24"/>
          <w:highlight w:val="none"/>
        </w:rPr>
        <w:t>43</w:t>
      </w:r>
      <w:r>
        <w:rPr>
          <w:rFonts w:hint="eastAsia" w:ascii="宋体" w:hAnsi="宋体"/>
          <w:bCs/>
          <w:color w:val="auto"/>
          <w:sz w:val="24"/>
          <w:highlight w:val="none"/>
        </w:rPr>
        <w:t>条的约定，委托的建设工程监理所必要的监理人员出外考察、材料设备复试、监造，其费用支出由监理人负责解决。</w:t>
      </w:r>
    </w:p>
    <w:p w14:paraId="12AD0259">
      <w:pPr>
        <w:adjustRightInd w:val="0"/>
        <w:snapToGrid w:val="0"/>
        <w:spacing w:line="360" w:lineRule="auto"/>
        <w:ind w:right="11" w:firstLine="482" w:firstLineChars="200"/>
        <w:rPr>
          <w:rFonts w:ascii="宋体"/>
          <w:bCs/>
          <w:color w:val="auto"/>
          <w:sz w:val="24"/>
          <w:highlight w:val="none"/>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二</w:t>
      </w:r>
      <w:r>
        <w:rPr>
          <w:rFonts w:ascii="宋体" w:hAnsi="宋体"/>
          <w:b/>
          <w:bCs/>
          <w:color w:val="auto"/>
          <w:sz w:val="24"/>
          <w:highlight w:val="none"/>
        </w:rPr>
        <w:t>十</w:t>
      </w:r>
      <w:r>
        <w:rPr>
          <w:rFonts w:hint="eastAsia" w:ascii="宋体" w:hAnsi="宋体"/>
          <w:b/>
          <w:bCs/>
          <w:color w:val="auto"/>
          <w:sz w:val="24"/>
          <w:highlight w:val="none"/>
          <w:lang w:val="en-US" w:eastAsia="zh-CN"/>
        </w:rPr>
        <w:t>三</w:t>
      </w:r>
      <w:r>
        <w:rPr>
          <w:rFonts w:hint="eastAsia" w:ascii="宋体" w:hAnsi="宋体"/>
          <w:b/>
          <w:bCs/>
          <w:color w:val="auto"/>
          <w:sz w:val="24"/>
          <w:highlight w:val="none"/>
        </w:rPr>
        <w:t>条</w:t>
      </w:r>
      <w:r>
        <w:rPr>
          <w:rFonts w:ascii="宋体" w:hAnsi="宋体"/>
          <w:bCs/>
          <w:color w:val="auto"/>
          <w:sz w:val="24"/>
          <w:highlight w:val="none"/>
        </w:rPr>
        <w:t xml:space="preserve"> </w:t>
      </w:r>
      <w:r>
        <w:rPr>
          <w:rFonts w:hint="eastAsia" w:ascii="宋体" w:hAnsi="宋体"/>
          <w:bCs/>
          <w:color w:val="auto"/>
          <w:sz w:val="24"/>
          <w:highlight w:val="none"/>
        </w:rPr>
        <w:t>因履行本合同发生或与本合同有关的争议</w:t>
      </w:r>
      <w:r>
        <w:rPr>
          <w:rFonts w:hint="eastAsia" w:ascii="宋体" w:hAnsi="宋体"/>
          <w:color w:val="auto"/>
          <w:sz w:val="24"/>
          <w:highlight w:val="none"/>
        </w:rPr>
        <w:t>，双方当事人应友好协商解决。协商不成的，向工程所在地人民法院起诉，但诉讼不影响委托人同其他监理人另行签订监理合同。</w:t>
      </w:r>
    </w:p>
    <w:p w14:paraId="5C9F3253">
      <w:pPr>
        <w:adjustRightInd w:val="0"/>
        <w:snapToGrid w:val="0"/>
        <w:spacing w:line="360" w:lineRule="auto"/>
        <w:ind w:right="11" w:firstLine="482" w:firstLineChars="200"/>
        <w:rPr>
          <w:rFonts w:eastAsia="仿宋_GB2312"/>
          <w:color w:val="auto"/>
          <w:spacing w:val="6"/>
          <w:sz w:val="23"/>
          <w:highlight w:val="none"/>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二十四</w:t>
      </w:r>
      <w:r>
        <w:rPr>
          <w:rFonts w:hint="eastAsia" w:ascii="宋体" w:hAnsi="宋体"/>
          <w:b/>
          <w:bCs/>
          <w:color w:val="auto"/>
          <w:sz w:val="24"/>
          <w:highlight w:val="none"/>
        </w:rPr>
        <w:t>条</w:t>
      </w:r>
      <w:r>
        <w:rPr>
          <w:rFonts w:ascii="宋体" w:hAnsi="宋体"/>
          <w:b/>
          <w:bCs/>
          <w:color w:val="auto"/>
          <w:sz w:val="24"/>
          <w:highlight w:val="none"/>
        </w:rPr>
        <w:t xml:space="preserve"> </w:t>
      </w:r>
      <w:r>
        <w:rPr>
          <w:rFonts w:hint="eastAsia" w:ascii="宋体" w:hAnsi="宋体"/>
          <w:b/>
          <w:bCs/>
          <w:color w:val="auto"/>
          <w:sz w:val="24"/>
          <w:highlight w:val="none"/>
        </w:rPr>
        <w:t>补充条款</w:t>
      </w:r>
    </w:p>
    <w:p w14:paraId="189FD432">
      <w:pPr>
        <w:adjustRightInd w:val="0"/>
        <w:snapToGrid w:val="0"/>
        <w:spacing w:line="360" w:lineRule="auto"/>
        <w:ind w:right="11" w:firstLine="480" w:firstLineChars="200"/>
        <w:rPr>
          <w:rFonts w:ascii="宋体"/>
          <w:color w:val="auto"/>
          <w:sz w:val="24"/>
          <w:highlight w:val="none"/>
        </w:rPr>
      </w:pPr>
      <w:r>
        <w:rPr>
          <w:rFonts w:hint="eastAsia" w:ascii="宋体" w:hAnsi="宋体"/>
          <w:color w:val="auto"/>
          <w:sz w:val="24"/>
          <w:highlight w:val="none"/>
        </w:rPr>
        <w:t>（一）施工阶段的造价投资控制：监理人必须建立施工阶段工程支付台账，具体要求和模式另定。</w:t>
      </w:r>
    </w:p>
    <w:p w14:paraId="094A5A17">
      <w:pPr>
        <w:adjustRightInd w:val="0"/>
        <w:snapToGrid w:val="0"/>
        <w:spacing w:line="360" w:lineRule="auto"/>
        <w:ind w:right="11" w:firstLine="480" w:firstLineChars="200"/>
        <w:rPr>
          <w:rFonts w:ascii="宋体"/>
          <w:color w:val="auto"/>
          <w:sz w:val="24"/>
          <w:highlight w:val="none"/>
        </w:rPr>
      </w:pPr>
      <w:r>
        <w:rPr>
          <w:rFonts w:hint="eastAsia" w:ascii="宋体" w:hAnsi="宋体"/>
          <w:color w:val="auto"/>
          <w:sz w:val="24"/>
          <w:highlight w:val="none"/>
        </w:rPr>
        <w:t>（二）在施工招标阶段或工程开工前，总监理工程师应组织测量专业的监理人员对委托人提供的勘察单位的地形测量资料进行审查，使用自备仪器按一定比例随机抽点复核地形图的准确性，并就地形图的可靠性、真实性和存在的问题等向委托人提交书面意见和建议。</w:t>
      </w:r>
    </w:p>
    <w:p w14:paraId="77FBD74D">
      <w:pPr>
        <w:adjustRightInd w:val="0"/>
        <w:snapToGrid w:val="0"/>
        <w:spacing w:line="360" w:lineRule="auto"/>
        <w:ind w:right="11" w:firstLine="480" w:firstLineChars="200"/>
        <w:rPr>
          <w:rFonts w:ascii="宋体"/>
          <w:color w:val="auto"/>
          <w:sz w:val="24"/>
          <w:highlight w:val="none"/>
        </w:rPr>
      </w:pPr>
      <w:r>
        <w:rPr>
          <w:rFonts w:hint="eastAsia" w:ascii="宋体" w:hAnsi="宋体"/>
          <w:color w:val="auto"/>
          <w:sz w:val="24"/>
          <w:highlight w:val="none"/>
        </w:rPr>
        <w:t>（三）在保修期内，监理人应每三个月对工程进行一次巡视、检查（要到委托人处签到），并向委托人提交书面检查报告，发现有质量缺陷的，要及时通知委托人，会同委托人组织承包人维修，按施工保修书的条款界定责任归属。在保修期内，委托人要求监理人到达现场的，监理人必须在接到委托人通知后</w:t>
      </w:r>
      <w:r>
        <w:rPr>
          <w:rFonts w:ascii="宋体" w:hAnsi="宋体"/>
          <w:color w:val="auto"/>
          <w:sz w:val="24"/>
          <w:highlight w:val="none"/>
        </w:rPr>
        <w:t>2</w:t>
      </w:r>
      <w:r>
        <w:rPr>
          <w:rFonts w:hint="eastAsia" w:ascii="宋体" w:hAnsi="宋体"/>
          <w:color w:val="auto"/>
          <w:sz w:val="24"/>
          <w:highlight w:val="none"/>
        </w:rPr>
        <w:t>天内到达现场，履行监理职责，包括但不限于检查工程质量、核实维修情况、监督维修过程、确认维修结果符合合同约定的质量标准，并向委托人提交书面监理报告。如监理人在保修期内不履行监理职责的，委托人有权不支付余款。</w:t>
      </w:r>
    </w:p>
    <w:p w14:paraId="67539E95">
      <w:pPr>
        <w:adjustRightInd w:val="0"/>
        <w:snapToGrid w:val="0"/>
        <w:spacing w:line="360" w:lineRule="auto"/>
        <w:ind w:right="11" w:firstLine="480" w:firstLineChars="200"/>
        <w:rPr>
          <w:rFonts w:hint="eastAsia" w:ascii="宋体" w:hAnsi="宋体"/>
          <w:bCs/>
          <w:color w:val="auto"/>
          <w:sz w:val="24"/>
          <w:highlight w:val="none"/>
        </w:rPr>
      </w:pPr>
      <w:r>
        <w:rPr>
          <w:rFonts w:hint="eastAsia" w:ascii="宋体" w:hAnsi="宋体"/>
          <w:bCs/>
          <w:color w:val="auto"/>
          <w:sz w:val="24"/>
          <w:highlight w:val="none"/>
        </w:rPr>
        <w:t>（四）由于监理人提出合理化建议，优化技术方案，被委托人采纳并实施，节约投资</w:t>
      </w:r>
      <w:r>
        <w:rPr>
          <w:rFonts w:ascii="宋体" w:hAnsi="宋体"/>
          <w:bCs/>
          <w:color w:val="auto"/>
          <w:sz w:val="24"/>
          <w:highlight w:val="none"/>
        </w:rPr>
        <w:t>10</w:t>
      </w:r>
      <w:r>
        <w:rPr>
          <w:rFonts w:hint="eastAsia" w:ascii="宋体" w:hAnsi="宋体"/>
          <w:bCs/>
          <w:color w:val="auto"/>
          <w:sz w:val="24"/>
          <w:highlight w:val="none"/>
        </w:rPr>
        <w:t>万元以上（含）的，可抵扣监理人一般违约责任</w:t>
      </w:r>
      <w:r>
        <w:rPr>
          <w:rFonts w:ascii="宋体" w:hAnsi="宋体"/>
          <w:bCs/>
          <w:color w:val="auto"/>
          <w:sz w:val="24"/>
          <w:highlight w:val="none"/>
        </w:rPr>
        <w:t>1</w:t>
      </w:r>
      <w:r>
        <w:rPr>
          <w:rFonts w:hint="eastAsia" w:ascii="宋体" w:hAnsi="宋体"/>
          <w:bCs/>
          <w:color w:val="auto"/>
          <w:sz w:val="24"/>
          <w:highlight w:val="none"/>
        </w:rPr>
        <w:t>次。</w:t>
      </w:r>
    </w:p>
    <w:p w14:paraId="6D69C46E">
      <w:pPr>
        <w:adjustRightInd w:val="0"/>
        <w:snapToGrid w:val="0"/>
        <w:spacing w:line="360" w:lineRule="auto"/>
        <w:ind w:right="11" w:firstLine="480" w:firstLineChars="200"/>
        <w:rPr>
          <w:rFonts w:ascii="宋体"/>
          <w:bCs/>
          <w:color w:val="auto"/>
          <w:sz w:val="24"/>
          <w:highlight w:val="none"/>
        </w:rPr>
      </w:pPr>
      <w:r>
        <w:rPr>
          <w:rFonts w:hint="eastAsia" w:ascii="宋体" w:hAnsi="宋体"/>
          <w:bCs/>
          <w:color w:val="auto"/>
          <w:sz w:val="24"/>
          <w:highlight w:val="none"/>
        </w:rPr>
        <w:t>（五）监理人认真履行安全文明施工管理责任，得到委托人及建设主管部门书面表彰的，可酌情抵扣监理人违约责任</w:t>
      </w:r>
      <w:r>
        <w:rPr>
          <w:rFonts w:ascii="宋体" w:hAnsi="宋体"/>
          <w:bCs/>
          <w:color w:val="auto"/>
          <w:sz w:val="24"/>
          <w:highlight w:val="none"/>
        </w:rPr>
        <w:t>1</w:t>
      </w:r>
      <w:r>
        <w:rPr>
          <w:rFonts w:hint="eastAsia" w:ascii="宋体" w:hAnsi="宋体"/>
          <w:bCs/>
          <w:color w:val="auto"/>
          <w:sz w:val="24"/>
          <w:highlight w:val="none"/>
        </w:rPr>
        <w:t>次。</w:t>
      </w:r>
    </w:p>
    <w:p w14:paraId="2D6451ED">
      <w:pPr>
        <w:adjustRightInd w:val="0"/>
        <w:snapToGrid w:val="0"/>
        <w:spacing w:line="360" w:lineRule="auto"/>
        <w:ind w:right="11" w:firstLine="480" w:firstLineChars="200"/>
        <w:rPr>
          <w:rFonts w:ascii="宋体"/>
          <w:bCs/>
          <w:color w:val="auto"/>
          <w:sz w:val="24"/>
          <w:highlight w:val="none"/>
        </w:rPr>
      </w:pPr>
      <w:r>
        <w:rPr>
          <w:rFonts w:hint="eastAsia" w:ascii="宋体" w:hAnsi="宋体"/>
          <w:bCs/>
          <w:color w:val="auto"/>
          <w:sz w:val="24"/>
          <w:highlight w:val="none"/>
        </w:rPr>
        <w:t>（六）项目监理人员就本项目受到委托人及建设主管部门表彰的，可酌情抵扣监理人违约责任</w:t>
      </w:r>
      <w:r>
        <w:rPr>
          <w:rFonts w:ascii="宋体" w:hAnsi="宋体"/>
          <w:bCs/>
          <w:color w:val="auto"/>
          <w:sz w:val="24"/>
          <w:highlight w:val="none"/>
        </w:rPr>
        <w:t>1</w:t>
      </w:r>
      <w:r>
        <w:rPr>
          <w:rFonts w:hint="eastAsia" w:ascii="宋体" w:hAnsi="宋体"/>
          <w:bCs/>
          <w:color w:val="auto"/>
          <w:sz w:val="24"/>
          <w:highlight w:val="none"/>
        </w:rPr>
        <w:t>次。</w:t>
      </w:r>
    </w:p>
    <w:p w14:paraId="255B92BF">
      <w:pPr>
        <w:adjustRightInd w:val="0"/>
        <w:snapToGrid w:val="0"/>
        <w:spacing w:line="360" w:lineRule="auto"/>
        <w:ind w:right="11" w:firstLine="480" w:firstLineChars="200"/>
        <w:rPr>
          <w:rFonts w:ascii="宋体"/>
          <w:bCs/>
          <w:color w:val="auto"/>
          <w:sz w:val="24"/>
          <w:highlight w:val="none"/>
        </w:rPr>
      </w:pPr>
      <w:r>
        <w:rPr>
          <w:rFonts w:hint="eastAsia" w:ascii="宋体" w:hAnsi="宋体"/>
          <w:bCs/>
          <w:color w:val="auto"/>
          <w:sz w:val="24"/>
          <w:highlight w:val="none"/>
        </w:rPr>
        <w:t>（七）监理人抵扣的违约处罚，可按照合同相应条款，在实际已发生的违约处罚金内返还。如项目完工后，实际可抵扣的监理人违约责任多于实际处罚的违约责任，原则上不予经济奖励，委托方视情况给予通报表扬。</w:t>
      </w:r>
    </w:p>
    <w:p w14:paraId="137C525D">
      <w:pPr>
        <w:adjustRightInd w:val="0"/>
        <w:snapToGrid w:val="0"/>
        <w:spacing w:line="360" w:lineRule="auto"/>
        <w:ind w:right="11" w:firstLine="424" w:firstLineChars="177"/>
        <w:rPr>
          <w:rFonts w:hint="eastAsia" w:ascii="宋体" w:hAnsi="宋体"/>
          <w:color w:val="auto"/>
          <w:sz w:val="24"/>
          <w:highlight w:val="none"/>
        </w:rPr>
      </w:pPr>
      <w:r>
        <w:rPr>
          <w:rFonts w:ascii="宋体" w:hAnsi="宋体"/>
          <w:bCs/>
          <w:color w:val="auto"/>
          <w:sz w:val="24"/>
          <w:highlight w:val="none"/>
        </w:rPr>
        <w:t xml:space="preserve"> </w:t>
      </w:r>
      <w:r>
        <w:rPr>
          <w:rFonts w:hint="eastAsia" w:ascii="宋体" w:hAnsi="宋体"/>
          <w:color w:val="auto"/>
          <w:sz w:val="24"/>
          <w:highlight w:val="none"/>
        </w:rPr>
        <w:t>（八）如本合同需缴纳合同印花税，监理人需在有关税务部门规定期限及结清本合同费用前，代缴按规定属委托人缴纳的部分，代缴后委托人按代缴金额实报实销。</w:t>
      </w:r>
    </w:p>
    <w:p w14:paraId="76E11B04">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（九）施工阶段的合同管理: 监理人必须参与工程建设过程及工程变更的合同管理。</w:t>
      </w:r>
    </w:p>
    <w:p w14:paraId="373FDD79">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（十）</w:t>
      </w:r>
      <w:r>
        <w:rPr>
          <w:rFonts w:hint="eastAsia" w:ascii="宋体" w:hAnsi="宋体"/>
          <w:color w:val="auto"/>
          <w:spacing w:val="6"/>
          <w:sz w:val="24"/>
          <w:highlight w:val="none"/>
        </w:rPr>
        <w:t>施工过程中监理人应对施工图纸的错误及时提出意见，并根据现场的实际施工情况，每月向委托人上报施工图纸的存在问题修改的情况。如因监理人未及时提出意见导致委托人遭受损失的，监理人应赔偿委托人的全部损失。未尽监理职责，对施工图纸出现重大错误未发现或未提出意见的（指可能导致工程结构安全、使用功能或消防规范等方面存在严重缺陷的错误），监理人承担一次严重违约责任。</w:t>
      </w:r>
    </w:p>
    <w:p w14:paraId="3A57DD8F">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（十一）</w:t>
      </w:r>
      <w:r>
        <w:rPr>
          <w:rFonts w:hint="eastAsia" w:ascii="宋体" w:hAnsi="宋体"/>
          <w:color w:val="auto"/>
          <w:spacing w:val="6"/>
          <w:sz w:val="24"/>
          <w:highlight w:val="none"/>
        </w:rPr>
        <w:t>现场监理工程师应使用自备仪器独立测量、复核承包单位报送的控制桩的校核成果、控制桩的保护措施以及平面控制网、高程控制网和临时水准点的测量成果，保证测量精度。如果测量精度存在错误，监理人在复核过程中未能发现的，监理人应承担由此引起的相应的经济损失。</w:t>
      </w:r>
    </w:p>
    <w:p w14:paraId="29BE5D31">
      <w:pPr>
        <w:spacing w:line="360" w:lineRule="auto"/>
        <w:ind w:firstLine="504"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（十二）对隐蔽工程的隐蔽过程、下道工序施工完成后难以检查的重点部位，按规定需进行旁站不进行旁站监理的，每次扣减2000元监理费。</w:t>
      </w:r>
    </w:p>
    <w:p w14:paraId="31CAC6C1">
      <w:pPr>
        <w:spacing w:line="360" w:lineRule="auto"/>
        <w:ind w:firstLine="504"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（十三）利用监理职权谋取任何不正当利益，每发现一次扣减5000元监理费。</w:t>
      </w:r>
    </w:p>
    <w:p w14:paraId="1AB4AADC">
      <w:pPr>
        <w:spacing w:line="360" w:lineRule="auto"/>
        <w:ind w:firstLine="504"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（十四）制订安全生产、文明施工管理办法，监督检查工程的文明施工及安全防护措施，若发生安全事故时，督促承包人迅速采取措施，减少事故对工程的影响，事后配合有关部门查明事故原因，恢复施工生产。</w:t>
      </w:r>
    </w:p>
    <w:p w14:paraId="5E7C03BB">
      <w:pPr>
        <w:adjustRightInd w:val="0"/>
        <w:snapToGrid w:val="0"/>
        <w:spacing w:line="360" w:lineRule="auto"/>
        <w:ind w:right="11" w:firstLine="446" w:firstLineChars="177"/>
        <w:rPr>
          <w:rFonts w:hint="eastAsia" w:ascii="宋体" w:hAnsi="宋体"/>
          <w:color w:val="auto"/>
          <w:spacing w:val="6"/>
          <w:sz w:val="24"/>
          <w:highlight w:val="none"/>
        </w:rPr>
      </w:pPr>
      <w:r>
        <w:rPr>
          <w:rFonts w:hint="eastAsia" w:ascii="宋体" w:hAnsi="宋体"/>
          <w:color w:val="auto"/>
          <w:spacing w:val="6"/>
          <w:sz w:val="24"/>
          <w:highlight w:val="none"/>
        </w:rPr>
        <w:t>（十五）总监理工程师不得兼任其他项目的总监，如需兼任，必须经委托人书面同意，否则，监理人须向委托人支付违约金10万元，并应立即取消新兼任工作。</w:t>
      </w:r>
    </w:p>
    <w:p w14:paraId="28B4F902">
      <w:pPr>
        <w:adjustRightInd w:val="0"/>
        <w:snapToGrid w:val="0"/>
        <w:spacing w:line="360" w:lineRule="auto"/>
        <w:ind w:right="11" w:firstLine="446" w:firstLineChars="177"/>
        <w:rPr>
          <w:rFonts w:hint="eastAsia" w:ascii="宋体" w:hAnsi="宋体"/>
          <w:color w:val="auto"/>
          <w:spacing w:val="6"/>
          <w:sz w:val="24"/>
          <w:highlight w:val="none"/>
        </w:rPr>
      </w:pPr>
      <w:r>
        <w:rPr>
          <w:rFonts w:hint="eastAsia" w:ascii="宋体" w:hAnsi="宋体"/>
          <w:color w:val="auto"/>
          <w:spacing w:val="6"/>
          <w:sz w:val="24"/>
          <w:highlight w:val="none"/>
        </w:rPr>
        <w:t>如因总监理工程师兼任其他项目导致本项目监理工作延误或质量不符合要求的，监理人还应赔偿委托人因此遭受的全部损失。</w:t>
      </w:r>
    </w:p>
    <w:p w14:paraId="23259BCA">
      <w:pPr>
        <w:adjustRightInd w:val="0"/>
        <w:snapToGrid w:val="0"/>
        <w:spacing w:line="360" w:lineRule="auto"/>
        <w:ind w:right="11" w:firstLine="446" w:firstLineChars="177"/>
        <w:rPr>
          <w:rFonts w:hint="eastAsia" w:ascii="宋体" w:hAnsi="宋体"/>
          <w:color w:val="auto"/>
          <w:spacing w:val="6"/>
          <w:sz w:val="24"/>
          <w:highlight w:val="none"/>
        </w:rPr>
      </w:pPr>
      <w:r>
        <w:rPr>
          <w:rFonts w:hint="eastAsia" w:ascii="宋体" w:hAnsi="宋体"/>
          <w:color w:val="auto"/>
          <w:spacing w:val="6"/>
          <w:sz w:val="24"/>
          <w:highlight w:val="none"/>
        </w:rPr>
        <w:t>（十六）补充条款中涉及的扣减监理费用及违约金，委托人均有权在当月支付的监理费用中扣除。</w:t>
      </w:r>
    </w:p>
    <w:p w14:paraId="7C009696">
      <w:pPr>
        <w:adjustRightInd w:val="0"/>
        <w:snapToGrid w:val="0"/>
        <w:spacing w:line="360" w:lineRule="auto"/>
        <w:ind w:right="11" w:firstLine="446" w:firstLineChars="177"/>
        <w:rPr>
          <w:rFonts w:hint="eastAsia" w:ascii="宋体" w:hAnsi="宋体"/>
          <w:color w:val="auto"/>
          <w:spacing w:val="6"/>
          <w:sz w:val="24"/>
          <w:highlight w:val="none"/>
        </w:rPr>
      </w:pPr>
      <w:r>
        <w:rPr>
          <w:rFonts w:hint="eastAsia" w:ascii="宋体" w:hAnsi="宋体"/>
          <w:color w:val="auto"/>
          <w:spacing w:val="6"/>
          <w:sz w:val="24"/>
          <w:highlight w:val="none"/>
        </w:rPr>
        <w:t>（十七）本合同监理服务内容严禁转包、分包，否则委托人有权单方通知监理人解除本合同，不予支付监理费用，并要求赔偿委托人的全部损失（包括但不限于直接损失、间接损失及预期利益损失）。</w:t>
      </w:r>
    </w:p>
    <w:p w14:paraId="366CE903">
      <w:pPr>
        <w:adjustRightInd w:val="0"/>
        <w:snapToGrid w:val="0"/>
        <w:spacing w:line="360" w:lineRule="auto"/>
        <w:ind w:right="11" w:firstLine="446" w:firstLineChars="177"/>
        <w:rPr>
          <w:rFonts w:hint="eastAsia" w:ascii="宋体" w:hAnsi="宋体"/>
          <w:color w:val="auto"/>
          <w:spacing w:val="6"/>
          <w:sz w:val="24"/>
          <w:highlight w:val="none"/>
        </w:rPr>
      </w:pPr>
      <w:r>
        <w:rPr>
          <w:rFonts w:hint="eastAsia" w:ascii="宋体" w:hAnsi="宋体"/>
          <w:color w:val="auto"/>
          <w:spacing w:val="6"/>
          <w:sz w:val="24"/>
          <w:highlight w:val="none"/>
        </w:rPr>
        <w:t>（十八）监理人未按本合同约定配置满足本项目管理需要的监理人员，经委托人通知整改后仍不满足的，委托人有权根据本合同总价按人员比例调减监理费，并有权要求监理人支付相当于调减金额30%的违约金。</w:t>
      </w:r>
    </w:p>
    <w:p w14:paraId="0DCC3C51">
      <w:pPr>
        <w:adjustRightInd w:val="0"/>
        <w:snapToGrid w:val="0"/>
        <w:spacing w:line="360" w:lineRule="auto"/>
        <w:ind w:right="11" w:firstLine="0" w:firstLineChars="0"/>
        <w:rPr>
          <w:rFonts w:hint="eastAsia" w:ascii="宋体" w:hAnsi="宋体"/>
          <w:color w:val="auto"/>
          <w:spacing w:val="6"/>
          <w:sz w:val="24"/>
          <w:highlight w:val="none"/>
        </w:rPr>
      </w:pPr>
      <w:r>
        <w:rPr>
          <w:rFonts w:hint="eastAsia" w:ascii="宋体" w:hAnsi="宋体"/>
          <w:color w:val="auto"/>
          <w:spacing w:val="6"/>
          <w:sz w:val="24"/>
          <w:highlight w:val="none"/>
        </w:rPr>
        <w:t xml:space="preserve">    （以下无正文）</w:t>
      </w:r>
    </w:p>
    <w:p w14:paraId="0F29A75D">
      <w:pPr>
        <w:adjustRightInd w:val="0"/>
        <w:snapToGrid w:val="0"/>
        <w:spacing w:line="440" w:lineRule="exact"/>
        <w:ind w:right="11" w:firstLine="424" w:firstLineChars="177"/>
        <w:rPr>
          <w:rFonts w:hint="eastAsia" w:ascii="宋体" w:hAnsi="宋体"/>
          <w:color w:val="auto"/>
          <w:sz w:val="24"/>
          <w:highlight w:val="none"/>
        </w:rPr>
      </w:pPr>
    </w:p>
    <w:p w14:paraId="317A577D">
      <w:pPr>
        <w:adjustRightInd w:val="0"/>
        <w:snapToGrid w:val="0"/>
        <w:spacing w:line="440" w:lineRule="exact"/>
        <w:ind w:right="11" w:firstLine="424" w:firstLineChars="177"/>
        <w:rPr>
          <w:rFonts w:hint="eastAsia" w:ascii="宋体" w:hAnsi="宋体"/>
          <w:color w:val="auto"/>
          <w:sz w:val="24"/>
          <w:highlight w:val="none"/>
        </w:rPr>
      </w:pPr>
      <w:r>
        <w:rPr>
          <w:rFonts w:ascii="宋体" w:hAnsi="宋体"/>
          <w:color w:val="auto"/>
          <w:sz w:val="24"/>
          <w:highlight w:val="none"/>
        </w:rPr>
        <w:t>附件</w:t>
      </w:r>
      <w:r>
        <w:rPr>
          <w:rFonts w:hint="eastAsia" w:ascii="宋体" w:hAnsi="宋体"/>
          <w:color w:val="auto"/>
          <w:sz w:val="24"/>
          <w:highlight w:val="none"/>
        </w:rPr>
        <w:t>1：廉洁合作协议</w:t>
      </w:r>
    </w:p>
    <w:p w14:paraId="44BCE003">
      <w:pPr>
        <w:adjustRightInd w:val="0"/>
        <w:snapToGrid w:val="0"/>
        <w:spacing w:line="440" w:lineRule="exact"/>
        <w:ind w:right="11" w:firstLine="424" w:firstLineChars="177"/>
        <w:rPr>
          <w:rFonts w:hint="eastAsia" w:ascii="宋体" w:hAnsi="宋体"/>
          <w:color w:val="auto"/>
          <w:sz w:val="24"/>
          <w:highlight w:val="none"/>
        </w:rPr>
      </w:pPr>
      <w:r>
        <w:rPr>
          <w:rFonts w:hint="eastAsia" w:ascii="宋体" w:hAnsi="宋体"/>
          <w:color w:val="auto"/>
          <w:sz w:val="24"/>
          <w:highlight w:val="none"/>
        </w:rPr>
        <w:t>附件2：项目监理机构及驻场监理人员</w:t>
      </w:r>
    </w:p>
    <w:p w14:paraId="3C7F4E01">
      <w:pPr>
        <w:adjustRightInd w:val="0"/>
        <w:snapToGrid w:val="0"/>
        <w:spacing w:line="440" w:lineRule="exact"/>
        <w:ind w:right="11" w:firstLine="424" w:firstLineChars="177"/>
        <w:rPr>
          <w:rFonts w:hint="eastAsia" w:ascii="宋体" w:hAnsi="宋体"/>
          <w:color w:val="auto"/>
          <w:sz w:val="24"/>
          <w:highlight w:val="none"/>
        </w:rPr>
      </w:pPr>
      <w:r>
        <w:rPr>
          <w:rFonts w:hint="eastAsia" w:ascii="宋体" w:hAnsi="宋体"/>
          <w:color w:val="auto"/>
          <w:sz w:val="24"/>
          <w:highlight w:val="none"/>
        </w:rPr>
        <w:t>附件3：投标报价表</w:t>
      </w:r>
    </w:p>
    <w:p w14:paraId="406EB2FF">
      <w:pPr>
        <w:snapToGrid w:val="0"/>
        <w:spacing w:line="440" w:lineRule="exact"/>
        <w:ind w:right="11" w:firstLine="424" w:firstLineChars="177"/>
        <w:rPr>
          <w:rFonts w:hint="eastAsia" w:ascii="宋体" w:hAnsi="宋体"/>
          <w:color w:val="auto"/>
          <w:sz w:val="24"/>
          <w:highlight w:val="none"/>
        </w:rPr>
      </w:pPr>
      <w:r>
        <w:rPr>
          <w:rFonts w:hint="eastAsia" w:ascii="宋体" w:hAnsi="宋体"/>
          <w:color w:val="auto"/>
          <w:sz w:val="24"/>
          <w:highlight w:val="none"/>
        </w:rPr>
        <w:t>附件4：履约保函格式</w:t>
      </w:r>
    </w:p>
    <w:p w14:paraId="2B783044">
      <w:pPr>
        <w:adjustRightInd w:val="0"/>
        <w:snapToGrid w:val="0"/>
        <w:spacing w:line="440" w:lineRule="exact"/>
        <w:ind w:right="11" w:firstLine="424" w:firstLineChars="177"/>
        <w:rPr>
          <w:rFonts w:hint="eastAsia" w:ascii="宋体" w:hAnsi="宋体"/>
          <w:color w:val="auto"/>
          <w:sz w:val="24"/>
          <w:highlight w:val="none"/>
        </w:rPr>
      </w:pPr>
    </w:p>
    <w:p w14:paraId="343E31A5">
      <w:pPr>
        <w:adjustRightInd w:val="0"/>
        <w:snapToGrid w:val="0"/>
        <w:spacing w:line="440" w:lineRule="exact"/>
        <w:ind w:right="11" w:firstLine="424" w:firstLineChars="177"/>
        <w:rPr>
          <w:rFonts w:hint="eastAsia" w:ascii="宋体" w:hAnsi="宋体"/>
          <w:color w:val="auto"/>
          <w:sz w:val="24"/>
          <w:highlight w:val="none"/>
        </w:rPr>
      </w:pPr>
    </w:p>
    <w:p w14:paraId="1878FA2A">
      <w:pPr>
        <w:widowControl/>
        <w:jc w:val="left"/>
        <w:rPr>
          <w:rFonts w:hint="eastAsia" w:ascii="宋体" w:hAnsi="宋体"/>
          <w:color w:val="auto"/>
          <w:sz w:val="24"/>
          <w:highlight w:val="none"/>
        </w:rPr>
      </w:pPr>
      <w:r>
        <w:rPr>
          <w:rFonts w:ascii="宋体" w:hAnsi="宋体"/>
          <w:color w:val="auto"/>
          <w:sz w:val="24"/>
          <w:highlight w:val="none"/>
        </w:rPr>
        <w:br w:type="page"/>
      </w:r>
    </w:p>
    <w:p w14:paraId="6F994142">
      <w:pPr>
        <w:adjustRightInd w:val="0"/>
        <w:snapToGrid w:val="0"/>
        <w:spacing w:line="360" w:lineRule="auto"/>
        <w:rPr>
          <w:rFonts w:ascii="宋体"/>
          <w:color w:val="auto"/>
          <w:sz w:val="24"/>
          <w:highlight w:val="none"/>
        </w:rPr>
      </w:pPr>
      <w:r>
        <w:rPr>
          <w:rFonts w:hint="eastAsia" w:ascii="宋体" w:hAnsi="宋体"/>
          <w:color w:val="auto"/>
          <w:sz w:val="24"/>
          <w:highlight w:val="none"/>
        </w:rPr>
        <w:t>附件</w:t>
      </w:r>
      <w:r>
        <w:rPr>
          <w:rFonts w:ascii="宋体" w:hAnsi="宋体"/>
          <w:color w:val="auto"/>
          <w:sz w:val="24"/>
          <w:highlight w:val="none"/>
        </w:rPr>
        <w:t>1</w:t>
      </w:r>
      <w:r>
        <w:rPr>
          <w:rFonts w:hint="eastAsia" w:ascii="宋体" w:hAnsi="宋体"/>
          <w:color w:val="auto"/>
          <w:sz w:val="24"/>
          <w:highlight w:val="none"/>
        </w:rPr>
        <w:t>：</w:t>
      </w:r>
    </w:p>
    <w:p w14:paraId="04301968">
      <w:pPr>
        <w:autoSpaceDE w:val="0"/>
        <w:autoSpaceDN w:val="0"/>
        <w:adjustRightInd w:val="0"/>
        <w:spacing w:line="360" w:lineRule="auto"/>
        <w:ind w:right="105" w:rightChars="50" w:firstLine="480" w:firstLineChars="200"/>
        <w:jc w:val="center"/>
        <w:rPr>
          <w:rFonts w:hint="eastAsia" w:ascii="宋体" w:hAnsi="宋体"/>
          <w:color w:val="auto"/>
          <w:kern w:val="0"/>
          <w:sz w:val="22"/>
          <w:szCs w:val="22"/>
          <w:highlight w:val="none"/>
        </w:rPr>
      </w:pPr>
      <w:r>
        <w:rPr>
          <w:rFonts w:hint="eastAsia" w:ascii="宋体" w:hAnsi="宋体" w:cs="仿宋_GB2312"/>
          <w:color w:val="auto"/>
          <w:sz w:val="24"/>
          <w:highlight w:val="none"/>
        </w:rPr>
        <w:t>廉洁合作协议</w:t>
      </w:r>
    </w:p>
    <w:p w14:paraId="3FFA6984">
      <w:pPr>
        <w:adjustRightInd w:val="0"/>
        <w:snapToGrid w:val="0"/>
        <w:spacing w:line="360" w:lineRule="auto"/>
        <w:ind w:firstLine="440" w:firstLineChars="200"/>
        <w:jc w:val="left"/>
        <w:rPr>
          <w:rFonts w:hint="eastAsia" w:ascii="宋体" w:hAnsi="宋体" w:cs="仿宋_GB2312"/>
          <w:color w:val="auto"/>
          <w:sz w:val="22"/>
          <w:szCs w:val="22"/>
          <w:highlight w:val="none"/>
        </w:rPr>
      </w:pPr>
    </w:p>
    <w:p w14:paraId="09845F46">
      <w:pPr>
        <w:adjustRightInd w:val="0"/>
        <w:snapToGrid w:val="0"/>
        <w:spacing w:line="360" w:lineRule="auto"/>
        <w:ind w:firstLine="440" w:firstLineChars="200"/>
        <w:jc w:val="left"/>
        <w:rPr>
          <w:rFonts w:hint="eastAsia" w:ascii="宋体" w:hAnsi="宋体" w:cs="仿宋_GB2312"/>
          <w:color w:val="auto"/>
          <w:sz w:val="22"/>
          <w:szCs w:val="22"/>
          <w:highlight w:val="none"/>
          <w:u w:val="single"/>
        </w:rPr>
      </w:pPr>
      <w:r>
        <w:rPr>
          <w:rFonts w:hint="eastAsia" w:ascii="宋体" w:hAnsi="宋体" w:cs="仿宋_GB2312"/>
          <w:color w:val="auto"/>
          <w:sz w:val="22"/>
          <w:szCs w:val="22"/>
          <w:highlight w:val="none"/>
        </w:rPr>
        <w:t>甲方：</w:t>
      </w:r>
      <w:r>
        <w:rPr>
          <w:rFonts w:ascii="宋体" w:hAnsi="宋体" w:eastAsia="宋体" w:cs="宋体"/>
          <w:color w:val="auto"/>
          <w:highlight w:val="none"/>
          <w:u w:val="single"/>
        </w:rPr>
        <w:t>广州增城智</w:t>
      </w:r>
      <w:r>
        <w:rPr>
          <w:rFonts w:hint="eastAsia" w:ascii="宋体" w:hAnsi="宋体" w:eastAsia="宋体" w:cs="宋体"/>
          <w:color w:val="auto"/>
          <w:highlight w:val="none"/>
          <w:u w:val="single"/>
          <w:lang w:val="en-US" w:eastAsia="zh-CN"/>
        </w:rPr>
        <w:t>通</w:t>
      </w:r>
      <w:r>
        <w:rPr>
          <w:rFonts w:ascii="宋体" w:hAnsi="宋体" w:eastAsia="宋体" w:cs="宋体"/>
          <w:color w:val="auto"/>
          <w:highlight w:val="none"/>
          <w:u w:val="single"/>
        </w:rPr>
        <w:t>投资发展有限公司</w:t>
      </w:r>
    </w:p>
    <w:p w14:paraId="5C52A6AE">
      <w:pPr>
        <w:adjustRightInd w:val="0"/>
        <w:snapToGrid w:val="0"/>
        <w:spacing w:line="360" w:lineRule="auto"/>
        <w:ind w:firstLine="440" w:firstLineChars="200"/>
        <w:jc w:val="left"/>
        <w:rPr>
          <w:rFonts w:hint="eastAsia" w:ascii="宋体" w:hAnsi="宋体" w:cs="仿宋_GB2312"/>
          <w:color w:val="auto"/>
          <w:sz w:val="22"/>
          <w:szCs w:val="22"/>
          <w:highlight w:val="none"/>
          <w:u w:val="single"/>
        </w:rPr>
      </w:pPr>
      <w:r>
        <w:rPr>
          <w:rFonts w:hint="eastAsia" w:ascii="宋体" w:hAnsi="宋体" w:cs="仿宋_GB2312"/>
          <w:color w:val="auto"/>
          <w:sz w:val="22"/>
          <w:szCs w:val="22"/>
          <w:highlight w:val="none"/>
        </w:rPr>
        <w:t>乙方：</w:t>
      </w:r>
      <w:r>
        <w:rPr>
          <w:rFonts w:hint="eastAsia" w:ascii="宋体" w:hAnsi="宋体" w:cs="仿宋_GB2312"/>
          <w:color w:val="auto"/>
          <w:sz w:val="22"/>
          <w:szCs w:val="22"/>
          <w:highlight w:val="none"/>
          <w:u w:val="single"/>
        </w:rPr>
        <w:t xml:space="preserve">                                        </w:t>
      </w:r>
    </w:p>
    <w:p w14:paraId="0A57C8EE">
      <w:pPr>
        <w:spacing w:line="360" w:lineRule="auto"/>
        <w:ind w:firstLine="440" w:firstLineChars="200"/>
        <w:jc w:val="left"/>
        <w:rPr>
          <w:rFonts w:hint="eastAsia" w:ascii="宋体" w:hAnsi="宋体"/>
          <w:color w:val="auto"/>
          <w:sz w:val="22"/>
          <w:szCs w:val="22"/>
          <w:highlight w:val="none"/>
        </w:rPr>
      </w:pPr>
      <w:r>
        <w:rPr>
          <w:rFonts w:hint="eastAsia" w:ascii="宋体" w:hAnsi="宋体"/>
          <w:color w:val="auto"/>
          <w:sz w:val="22"/>
          <w:szCs w:val="22"/>
          <w:highlight w:val="none"/>
        </w:rPr>
        <w:t>甲、乙双方签署了</w:t>
      </w:r>
      <w:r>
        <w:rPr>
          <w:rFonts w:hint="eastAsia" w:ascii="宋体" w:hAnsi="宋体" w:cs="仿宋_GB2312"/>
          <w:color w:val="auto"/>
          <w:sz w:val="22"/>
          <w:szCs w:val="22"/>
          <w:highlight w:val="none"/>
          <w:u w:val="single"/>
        </w:rPr>
        <w:t xml:space="preserve">《建设工程监理合同》（合同编号：穗东进产业园               </w:t>
      </w:r>
      <w:r>
        <w:rPr>
          <w:rFonts w:ascii="宋体" w:hAnsi="宋体" w:cs="仿宋_GB2312"/>
          <w:color w:val="auto"/>
          <w:sz w:val="22"/>
          <w:szCs w:val="22"/>
          <w:highlight w:val="none"/>
          <w:u w:val="single"/>
        </w:rPr>
        <w:t xml:space="preserve">号 </w:t>
      </w:r>
      <w:r>
        <w:rPr>
          <w:rFonts w:hint="eastAsia" w:ascii="宋体" w:hAnsi="宋体" w:cs="仿宋_GB2312"/>
          <w:color w:val="auto"/>
          <w:sz w:val="22"/>
          <w:szCs w:val="22"/>
          <w:highlight w:val="none"/>
        </w:rPr>
        <w:t>，</w:t>
      </w:r>
      <w:r>
        <w:rPr>
          <w:rFonts w:hint="eastAsia" w:ascii="宋体" w:hAnsi="宋体"/>
          <w:color w:val="auto"/>
          <w:sz w:val="22"/>
          <w:szCs w:val="22"/>
          <w:highlight w:val="none"/>
        </w:rPr>
        <w:t>以下简称</w:t>
      </w:r>
      <w:r>
        <w:rPr>
          <w:rFonts w:hint="eastAsia" w:ascii="宋体" w:hAnsi="宋体" w:cs="仿宋_GB2312"/>
          <w:bCs/>
          <w:color w:val="auto"/>
          <w:sz w:val="22"/>
          <w:szCs w:val="22"/>
          <w:highlight w:val="none"/>
        </w:rPr>
        <w:t>“主合同”</w:t>
      </w:r>
      <w:r>
        <w:rPr>
          <w:rFonts w:hint="eastAsia" w:ascii="宋体" w:hAnsi="宋体"/>
          <w:color w:val="auto"/>
          <w:sz w:val="22"/>
          <w:szCs w:val="22"/>
          <w:highlight w:val="none"/>
        </w:rPr>
        <w:t>），为</w:t>
      </w:r>
      <w:r>
        <w:rPr>
          <w:rFonts w:hint="eastAsia" w:ascii="宋体" w:hAnsi="宋体" w:cs="仿宋_GB2312"/>
          <w:color w:val="auto"/>
          <w:sz w:val="22"/>
          <w:szCs w:val="22"/>
          <w:highlight w:val="none"/>
        </w:rPr>
        <w:t>规范双方合作行为，创建风清气正</w:t>
      </w:r>
      <w:r>
        <w:rPr>
          <w:rFonts w:hint="eastAsia" w:ascii="宋体" w:hAnsi="宋体"/>
          <w:color w:val="auto"/>
          <w:sz w:val="22"/>
          <w:szCs w:val="22"/>
          <w:highlight w:val="none"/>
        </w:rPr>
        <w:t>的</w:t>
      </w:r>
      <w:r>
        <w:rPr>
          <w:rFonts w:hint="eastAsia" w:ascii="宋体" w:hAnsi="宋体" w:cs="仿宋_GB2312"/>
          <w:color w:val="auto"/>
          <w:sz w:val="22"/>
          <w:szCs w:val="22"/>
          <w:highlight w:val="none"/>
        </w:rPr>
        <w:t>良好环境，防止发生各种违法违纪行为，保护双方合法权益，根据有关法律法规和廉政要求</w:t>
      </w:r>
      <w:r>
        <w:rPr>
          <w:rFonts w:hint="eastAsia" w:ascii="宋体" w:hAnsi="宋体"/>
          <w:color w:val="auto"/>
          <w:sz w:val="22"/>
          <w:szCs w:val="22"/>
          <w:highlight w:val="none"/>
        </w:rPr>
        <w:t>，双方经协商签订本协议。</w:t>
      </w:r>
    </w:p>
    <w:p w14:paraId="4C2C6761">
      <w:pPr>
        <w:adjustRightInd w:val="0"/>
        <w:snapToGrid w:val="0"/>
        <w:spacing w:line="276"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本协议作为主合同的附件，与主合同同时生效，有效期限与主合同一致，并具有同等法律效力。本协议中所述及的甲方人员、乙方人员包括但不限于该方工作人员、代理人及该方人员的家属等利益相关人。</w:t>
      </w:r>
    </w:p>
    <w:p w14:paraId="4642595D">
      <w:pPr>
        <w:adjustRightInd w:val="0"/>
        <w:snapToGrid w:val="0"/>
        <w:spacing w:line="276" w:lineRule="auto"/>
        <w:ind w:firstLine="442" w:firstLineChars="200"/>
        <w:rPr>
          <w:rFonts w:hint="eastAsia" w:ascii="宋体" w:hAnsi="宋体"/>
          <w:b/>
          <w:color w:val="auto"/>
          <w:sz w:val="22"/>
          <w:szCs w:val="22"/>
          <w:highlight w:val="none"/>
        </w:rPr>
      </w:pPr>
      <w:r>
        <w:rPr>
          <w:rFonts w:ascii="宋体" w:hAnsi="宋体"/>
          <w:b/>
          <w:color w:val="auto"/>
          <w:sz w:val="22"/>
          <w:szCs w:val="22"/>
          <w:highlight w:val="none"/>
        </w:rPr>
        <w:t>1.</w:t>
      </w:r>
      <w:r>
        <w:rPr>
          <w:rFonts w:ascii="宋体" w:hAnsi="宋体" w:cs="仿宋_GB2312"/>
          <w:b/>
          <w:bCs/>
          <w:color w:val="auto"/>
          <w:sz w:val="22"/>
          <w:szCs w:val="22"/>
          <w:highlight w:val="none"/>
        </w:rPr>
        <w:t xml:space="preserve"> </w:t>
      </w:r>
      <w:r>
        <w:rPr>
          <w:rFonts w:hint="eastAsia" w:ascii="宋体" w:hAnsi="宋体" w:cs="仿宋_GB2312"/>
          <w:b/>
          <w:bCs/>
          <w:color w:val="auto"/>
          <w:sz w:val="22"/>
          <w:szCs w:val="22"/>
          <w:highlight w:val="none"/>
        </w:rPr>
        <w:t>甲乙双方义务</w:t>
      </w:r>
    </w:p>
    <w:p w14:paraId="7D3C49E5">
      <w:pPr>
        <w:adjustRightInd w:val="0"/>
        <w:snapToGrid w:val="0"/>
        <w:spacing w:line="276"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甲乙双方及其人员均应严格遵守以下规定：</w:t>
      </w:r>
    </w:p>
    <w:p w14:paraId="3BB3F203">
      <w:pPr>
        <w:adjustRightInd w:val="0"/>
        <w:snapToGrid w:val="0"/>
        <w:spacing w:line="276" w:lineRule="auto"/>
        <w:ind w:firstLine="440" w:firstLineChars="200"/>
        <w:rPr>
          <w:rFonts w:hint="eastAsia" w:ascii="宋体" w:hAnsi="宋体" w:cs="仿宋_GB2312"/>
          <w:color w:val="auto"/>
          <w:sz w:val="22"/>
          <w:szCs w:val="22"/>
          <w:highlight w:val="none"/>
        </w:rPr>
      </w:pPr>
      <w:r>
        <w:rPr>
          <w:rFonts w:ascii="宋体" w:hAnsi="宋体" w:cs="仿宋_GB2312"/>
          <w:color w:val="auto"/>
          <w:sz w:val="22"/>
          <w:szCs w:val="22"/>
          <w:highlight w:val="none"/>
        </w:rPr>
        <w:t xml:space="preserve">1.1 </w:t>
      </w:r>
      <w:r>
        <w:rPr>
          <w:rFonts w:hint="eastAsia" w:ascii="宋体" w:hAnsi="宋体" w:cs="仿宋_GB2312"/>
          <w:color w:val="auto"/>
          <w:sz w:val="22"/>
          <w:szCs w:val="22"/>
          <w:highlight w:val="none"/>
        </w:rPr>
        <w:t>严格遵守国家有关法律法规，严格执行国家、行业关于市场准入、招标投标等方面有关法规、政策及规范，</w:t>
      </w:r>
      <w:r>
        <w:rPr>
          <w:rFonts w:hint="eastAsia" w:ascii="宋体" w:hAnsi="宋体" w:cs="仿宋_GB2312"/>
          <w:bCs/>
          <w:color w:val="auto"/>
          <w:sz w:val="22"/>
          <w:szCs w:val="22"/>
          <w:highlight w:val="none"/>
        </w:rPr>
        <w:t>严格执行双方签署的合同文件，自觉按合同办事</w:t>
      </w:r>
      <w:r>
        <w:rPr>
          <w:rFonts w:hint="eastAsia" w:ascii="宋体" w:hAnsi="宋体" w:cs="仿宋_GB2312"/>
          <w:color w:val="auto"/>
          <w:sz w:val="22"/>
          <w:szCs w:val="22"/>
          <w:highlight w:val="none"/>
        </w:rPr>
        <w:t>。</w:t>
      </w:r>
    </w:p>
    <w:p w14:paraId="7A429DB6">
      <w:pPr>
        <w:adjustRightInd w:val="0"/>
        <w:snapToGrid w:val="0"/>
        <w:spacing w:line="276" w:lineRule="auto"/>
        <w:ind w:firstLine="440" w:firstLineChars="200"/>
        <w:rPr>
          <w:rFonts w:hint="eastAsia" w:ascii="宋体" w:hAnsi="宋体" w:cs="仿宋_GB2312"/>
          <w:color w:val="auto"/>
          <w:sz w:val="22"/>
          <w:szCs w:val="22"/>
          <w:highlight w:val="none"/>
        </w:rPr>
      </w:pPr>
      <w:r>
        <w:rPr>
          <w:rFonts w:ascii="宋体" w:hAnsi="宋体" w:cs="仿宋_GB2312"/>
          <w:color w:val="auto"/>
          <w:sz w:val="22"/>
          <w:szCs w:val="22"/>
          <w:highlight w:val="none"/>
        </w:rPr>
        <w:t xml:space="preserve">1.2 </w:t>
      </w:r>
      <w:r>
        <w:rPr>
          <w:rFonts w:hint="eastAsia" w:ascii="宋体" w:hAnsi="宋体" w:cs="仿宋_GB2312"/>
          <w:color w:val="auto"/>
          <w:sz w:val="22"/>
          <w:szCs w:val="22"/>
          <w:highlight w:val="none"/>
        </w:rPr>
        <w:t>加强党风廉政建设教育，建立健全廉政制度，增强遵纪守法和廉洁从业自律意识，提高拒腐防变能力。</w:t>
      </w:r>
    </w:p>
    <w:p w14:paraId="490036A2">
      <w:pPr>
        <w:adjustRightInd w:val="0"/>
        <w:snapToGrid w:val="0"/>
        <w:spacing w:line="276" w:lineRule="auto"/>
        <w:ind w:firstLine="440" w:firstLineChars="200"/>
        <w:rPr>
          <w:rFonts w:hint="eastAsia" w:ascii="宋体" w:hAnsi="宋体" w:cs="仿宋_GB2312"/>
          <w:color w:val="auto"/>
          <w:sz w:val="22"/>
          <w:szCs w:val="22"/>
          <w:highlight w:val="none"/>
        </w:rPr>
      </w:pPr>
      <w:r>
        <w:rPr>
          <w:rFonts w:ascii="宋体" w:hAnsi="宋体" w:cs="仿宋_GB2312"/>
          <w:color w:val="auto"/>
          <w:sz w:val="22"/>
          <w:szCs w:val="22"/>
          <w:highlight w:val="none"/>
        </w:rPr>
        <w:t>1.3</w:t>
      </w:r>
      <w:r>
        <w:rPr>
          <w:rFonts w:hint="eastAsia" w:ascii="宋体" w:hAnsi="宋体" w:cs="仿宋_GB2312"/>
          <w:color w:val="auto"/>
          <w:sz w:val="22"/>
          <w:szCs w:val="22"/>
          <w:highlight w:val="none"/>
        </w:rPr>
        <w:t>坚持诚实信用原则，严禁为获取不正当的利益而违法违纪，损害国家、集体和对方利益。</w:t>
      </w:r>
    </w:p>
    <w:p w14:paraId="2492EEF4">
      <w:pPr>
        <w:adjustRightInd w:val="0"/>
        <w:snapToGrid w:val="0"/>
        <w:spacing w:line="276" w:lineRule="auto"/>
        <w:ind w:firstLine="440" w:firstLineChars="200"/>
        <w:rPr>
          <w:rFonts w:hint="eastAsia" w:ascii="宋体" w:hAnsi="宋体" w:cs="仿宋_GB2312"/>
          <w:color w:val="auto"/>
          <w:sz w:val="22"/>
          <w:szCs w:val="22"/>
          <w:highlight w:val="none"/>
        </w:rPr>
      </w:pPr>
      <w:r>
        <w:rPr>
          <w:rFonts w:ascii="宋体" w:hAnsi="宋体" w:cs="仿宋_GB2312"/>
          <w:color w:val="auto"/>
          <w:sz w:val="22"/>
          <w:szCs w:val="22"/>
          <w:highlight w:val="none"/>
        </w:rPr>
        <w:t xml:space="preserve">1.4 </w:t>
      </w:r>
      <w:r>
        <w:rPr>
          <w:rFonts w:hint="eastAsia" w:ascii="宋体" w:hAnsi="宋体" w:cs="仿宋_GB2312"/>
          <w:color w:val="auto"/>
          <w:sz w:val="22"/>
          <w:szCs w:val="22"/>
          <w:highlight w:val="none"/>
        </w:rPr>
        <w:t>高度重视各类举报并认真查实，对实名举报应及时反馈。</w:t>
      </w:r>
    </w:p>
    <w:p w14:paraId="615C597E">
      <w:pPr>
        <w:adjustRightInd w:val="0"/>
        <w:snapToGrid w:val="0"/>
        <w:spacing w:line="276" w:lineRule="auto"/>
        <w:ind w:firstLine="440" w:firstLineChars="200"/>
        <w:rPr>
          <w:rFonts w:hint="eastAsia" w:ascii="宋体" w:hAnsi="宋体"/>
          <w:color w:val="auto"/>
          <w:sz w:val="22"/>
          <w:szCs w:val="22"/>
          <w:highlight w:val="none"/>
        </w:rPr>
      </w:pPr>
      <w:r>
        <w:rPr>
          <w:rFonts w:ascii="宋体" w:hAnsi="宋体"/>
          <w:color w:val="auto"/>
          <w:sz w:val="22"/>
          <w:szCs w:val="22"/>
          <w:highlight w:val="none"/>
        </w:rPr>
        <w:t>1.5</w:t>
      </w:r>
      <w:r>
        <w:rPr>
          <w:rFonts w:ascii="宋体" w:hAnsi="宋体" w:cs="仿宋_GB2312"/>
          <w:color w:val="auto"/>
          <w:sz w:val="22"/>
          <w:szCs w:val="22"/>
          <w:highlight w:val="none"/>
        </w:rPr>
        <w:t xml:space="preserve"> </w:t>
      </w:r>
      <w:r>
        <w:rPr>
          <w:rFonts w:hint="eastAsia" w:ascii="宋体" w:hAnsi="宋体" w:cs="仿宋_GB2312"/>
          <w:color w:val="auto"/>
          <w:sz w:val="22"/>
          <w:szCs w:val="22"/>
          <w:highlight w:val="none"/>
        </w:rPr>
        <w:t>发现相关</w:t>
      </w:r>
      <w:r>
        <w:rPr>
          <w:rFonts w:hint="eastAsia" w:ascii="宋体" w:hAnsi="宋体"/>
          <w:color w:val="auto"/>
          <w:sz w:val="22"/>
          <w:szCs w:val="22"/>
          <w:highlight w:val="none"/>
        </w:rPr>
        <w:t>人员</w:t>
      </w:r>
      <w:r>
        <w:rPr>
          <w:rFonts w:hint="eastAsia" w:ascii="宋体" w:hAnsi="宋体" w:cs="仿宋_GB2312"/>
          <w:color w:val="auto"/>
          <w:sz w:val="22"/>
          <w:szCs w:val="22"/>
          <w:highlight w:val="none"/>
        </w:rPr>
        <w:t>有</w:t>
      </w:r>
      <w:r>
        <w:rPr>
          <w:rFonts w:hint="eastAsia" w:ascii="宋体" w:hAnsi="宋体"/>
          <w:color w:val="auto"/>
          <w:sz w:val="22"/>
          <w:szCs w:val="22"/>
          <w:highlight w:val="none"/>
        </w:rPr>
        <w:t>违反</w:t>
      </w:r>
      <w:r>
        <w:rPr>
          <w:rFonts w:hint="eastAsia" w:ascii="宋体" w:hAnsi="宋体" w:cs="仿宋_GB2312"/>
          <w:color w:val="auto"/>
          <w:sz w:val="22"/>
          <w:szCs w:val="22"/>
          <w:highlight w:val="none"/>
        </w:rPr>
        <w:t>廉政规定、违反</w:t>
      </w:r>
      <w:r>
        <w:rPr>
          <w:rFonts w:hint="eastAsia" w:ascii="宋体" w:hAnsi="宋体"/>
          <w:color w:val="auto"/>
          <w:sz w:val="22"/>
          <w:szCs w:val="22"/>
          <w:highlight w:val="none"/>
        </w:rPr>
        <w:t>本协议约定</w:t>
      </w:r>
      <w:r>
        <w:rPr>
          <w:rFonts w:hint="eastAsia" w:ascii="宋体" w:hAnsi="宋体" w:cs="仿宋_GB2312"/>
          <w:color w:val="auto"/>
          <w:sz w:val="22"/>
          <w:szCs w:val="22"/>
          <w:highlight w:val="none"/>
        </w:rPr>
        <w:t>行为的，应予提醒、制止，应立即向对方通报，不得隐瞒和包庇；当纪检部门、司法机关等</w:t>
      </w:r>
      <w:r>
        <w:rPr>
          <w:rFonts w:hint="eastAsia" w:ascii="宋体" w:hAnsi="宋体"/>
          <w:color w:val="auto"/>
          <w:sz w:val="22"/>
          <w:szCs w:val="22"/>
          <w:highlight w:val="none"/>
        </w:rPr>
        <w:t>调查</w:t>
      </w:r>
      <w:r>
        <w:rPr>
          <w:rFonts w:hint="eastAsia" w:ascii="宋体" w:hAnsi="宋体" w:cs="仿宋_GB2312"/>
          <w:color w:val="auto"/>
          <w:sz w:val="22"/>
          <w:szCs w:val="22"/>
          <w:highlight w:val="none"/>
        </w:rPr>
        <w:t>时，应予积极配合、协调</w:t>
      </w:r>
      <w:r>
        <w:rPr>
          <w:rFonts w:hint="eastAsia" w:ascii="宋体" w:hAnsi="宋体"/>
          <w:color w:val="auto"/>
          <w:sz w:val="22"/>
          <w:szCs w:val="22"/>
          <w:highlight w:val="none"/>
        </w:rPr>
        <w:t>。</w:t>
      </w:r>
    </w:p>
    <w:p w14:paraId="6CD66CB6">
      <w:pPr>
        <w:adjustRightInd w:val="0"/>
        <w:snapToGrid w:val="0"/>
        <w:spacing w:line="276" w:lineRule="auto"/>
        <w:ind w:firstLine="442" w:firstLineChars="200"/>
        <w:rPr>
          <w:rFonts w:hint="eastAsia" w:ascii="宋体" w:hAnsi="宋体"/>
          <w:b/>
          <w:color w:val="auto"/>
          <w:sz w:val="22"/>
          <w:szCs w:val="22"/>
          <w:highlight w:val="none"/>
        </w:rPr>
      </w:pPr>
      <w:r>
        <w:rPr>
          <w:rFonts w:ascii="宋体" w:hAnsi="宋体"/>
          <w:b/>
          <w:color w:val="auto"/>
          <w:sz w:val="22"/>
          <w:szCs w:val="22"/>
          <w:highlight w:val="none"/>
        </w:rPr>
        <w:t>2.</w:t>
      </w:r>
      <w:r>
        <w:rPr>
          <w:rFonts w:ascii="宋体" w:hAnsi="宋体" w:cs="仿宋_GB2312"/>
          <w:b/>
          <w:bCs/>
          <w:color w:val="auto"/>
          <w:sz w:val="22"/>
          <w:szCs w:val="22"/>
          <w:highlight w:val="none"/>
        </w:rPr>
        <w:t>甲方</w:t>
      </w:r>
      <w:r>
        <w:rPr>
          <w:rFonts w:hint="eastAsia" w:ascii="宋体" w:hAnsi="宋体" w:cs="仿宋_GB2312"/>
          <w:b/>
          <w:bCs/>
          <w:color w:val="auto"/>
          <w:sz w:val="22"/>
          <w:szCs w:val="22"/>
          <w:highlight w:val="none"/>
        </w:rPr>
        <w:t>义务</w:t>
      </w:r>
    </w:p>
    <w:p w14:paraId="162039D0">
      <w:pPr>
        <w:adjustRightInd w:val="0"/>
        <w:snapToGrid w:val="0"/>
        <w:spacing w:line="276"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甲方及甲方人员须严格遵守以下规定：</w:t>
      </w:r>
    </w:p>
    <w:p w14:paraId="649AC50F">
      <w:pPr>
        <w:adjustRightInd w:val="0"/>
        <w:snapToGrid w:val="0"/>
        <w:spacing w:line="276" w:lineRule="auto"/>
        <w:ind w:firstLine="440" w:firstLineChars="200"/>
        <w:rPr>
          <w:rFonts w:hint="eastAsia" w:ascii="宋体" w:hAnsi="宋体"/>
          <w:color w:val="auto"/>
          <w:sz w:val="22"/>
          <w:szCs w:val="22"/>
          <w:highlight w:val="none"/>
        </w:rPr>
      </w:pPr>
      <w:r>
        <w:rPr>
          <w:rFonts w:ascii="宋体" w:hAnsi="宋体"/>
          <w:color w:val="auto"/>
          <w:sz w:val="22"/>
          <w:szCs w:val="22"/>
          <w:highlight w:val="none"/>
        </w:rPr>
        <w:t>2.1.</w:t>
      </w:r>
      <w:r>
        <w:rPr>
          <w:rFonts w:ascii="宋体" w:hAnsi="宋体" w:cs="仿宋_GB2312"/>
          <w:color w:val="auto"/>
          <w:sz w:val="22"/>
          <w:szCs w:val="22"/>
          <w:highlight w:val="none"/>
        </w:rPr>
        <w:t xml:space="preserve"> </w:t>
      </w:r>
      <w:r>
        <w:rPr>
          <w:rFonts w:hint="eastAsia" w:ascii="宋体" w:hAnsi="宋体" w:cs="仿宋_GB2312"/>
          <w:color w:val="auto"/>
          <w:sz w:val="22"/>
          <w:szCs w:val="22"/>
          <w:highlight w:val="none"/>
        </w:rPr>
        <w:t>不得接受</w:t>
      </w:r>
      <w:r>
        <w:rPr>
          <w:rFonts w:hint="eastAsia" w:ascii="宋体" w:hAnsi="宋体"/>
          <w:color w:val="auto"/>
          <w:sz w:val="22"/>
          <w:szCs w:val="22"/>
          <w:highlight w:val="none"/>
        </w:rPr>
        <w:t>乙方</w:t>
      </w:r>
      <w:r>
        <w:rPr>
          <w:rFonts w:hint="eastAsia" w:ascii="宋体" w:hAnsi="宋体" w:cs="仿宋_GB2312"/>
          <w:color w:val="auto"/>
          <w:sz w:val="22"/>
          <w:szCs w:val="22"/>
          <w:highlight w:val="none"/>
        </w:rPr>
        <w:t>及其人员赠送的实物、现金或礼品，不得以任何理由向</w:t>
      </w:r>
      <w:r>
        <w:rPr>
          <w:rFonts w:hint="eastAsia" w:ascii="宋体" w:hAnsi="宋体"/>
          <w:color w:val="auto"/>
          <w:sz w:val="22"/>
          <w:szCs w:val="22"/>
          <w:highlight w:val="none"/>
        </w:rPr>
        <w:t>乙方</w:t>
      </w:r>
      <w:r>
        <w:rPr>
          <w:rFonts w:hint="eastAsia" w:ascii="宋体" w:hAnsi="宋体" w:cs="仿宋_GB2312"/>
          <w:color w:val="auto"/>
          <w:sz w:val="22"/>
          <w:szCs w:val="22"/>
          <w:highlight w:val="none"/>
        </w:rPr>
        <w:t>及其人员索要任何财物或收受回扣</w:t>
      </w:r>
      <w:r>
        <w:rPr>
          <w:rFonts w:hint="eastAsia" w:ascii="宋体" w:hAnsi="宋体"/>
          <w:color w:val="auto"/>
          <w:sz w:val="22"/>
          <w:szCs w:val="22"/>
          <w:highlight w:val="none"/>
        </w:rPr>
        <w:t>。</w:t>
      </w:r>
    </w:p>
    <w:p w14:paraId="041C4125">
      <w:pPr>
        <w:adjustRightInd w:val="0"/>
        <w:snapToGrid w:val="0"/>
        <w:spacing w:line="276" w:lineRule="auto"/>
        <w:ind w:firstLine="440" w:firstLineChars="200"/>
        <w:rPr>
          <w:rFonts w:hint="eastAsia" w:ascii="宋体" w:hAnsi="宋体"/>
          <w:color w:val="auto"/>
          <w:sz w:val="22"/>
          <w:szCs w:val="22"/>
          <w:highlight w:val="none"/>
        </w:rPr>
      </w:pPr>
      <w:r>
        <w:rPr>
          <w:rFonts w:ascii="宋体" w:hAnsi="宋体"/>
          <w:color w:val="auto"/>
          <w:sz w:val="22"/>
          <w:szCs w:val="22"/>
          <w:highlight w:val="none"/>
        </w:rPr>
        <w:t>2.2.</w:t>
      </w:r>
      <w:r>
        <w:rPr>
          <w:rFonts w:ascii="宋体" w:hAnsi="宋体" w:cs="仿宋_GB2312"/>
          <w:color w:val="auto"/>
          <w:sz w:val="22"/>
          <w:szCs w:val="22"/>
          <w:highlight w:val="none"/>
        </w:rPr>
        <w:t xml:space="preserve"> </w:t>
      </w:r>
      <w:r>
        <w:rPr>
          <w:rFonts w:hint="eastAsia" w:ascii="宋体" w:hAnsi="宋体" w:cs="仿宋_GB2312"/>
          <w:color w:val="auto"/>
          <w:sz w:val="22"/>
          <w:szCs w:val="22"/>
          <w:highlight w:val="none"/>
        </w:rPr>
        <w:t>不得以任何理由要求</w:t>
      </w:r>
      <w:r>
        <w:rPr>
          <w:rFonts w:hint="eastAsia" w:ascii="宋体" w:hAnsi="宋体"/>
          <w:color w:val="auto"/>
          <w:sz w:val="22"/>
          <w:szCs w:val="22"/>
          <w:highlight w:val="none"/>
        </w:rPr>
        <w:t>乙方</w:t>
      </w:r>
      <w:r>
        <w:rPr>
          <w:rFonts w:hint="eastAsia" w:ascii="宋体" w:hAnsi="宋体" w:cs="仿宋_GB2312"/>
          <w:color w:val="auto"/>
          <w:sz w:val="22"/>
          <w:szCs w:val="22"/>
          <w:highlight w:val="none"/>
        </w:rPr>
        <w:t>及其</w:t>
      </w:r>
      <w:r>
        <w:rPr>
          <w:rFonts w:hint="eastAsia" w:ascii="宋体" w:hAnsi="宋体"/>
          <w:color w:val="auto"/>
          <w:sz w:val="22"/>
          <w:szCs w:val="22"/>
          <w:highlight w:val="none"/>
        </w:rPr>
        <w:t>人员</w:t>
      </w:r>
      <w:r>
        <w:rPr>
          <w:rFonts w:hint="eastAsia" w:ascii="宋体" w:hAnsi="宋体" w:cs="仿宋_GB2312"/>
          <w:color w:val="auto"/>
          <w:sz w:val="22"/>
          <w:szCs w:val="22"/>
          <w:highlight w:val="none"/>
        </w:rPr>
        <w:t>报销、支付应由其人员个人支付的</w:t>
      </w:r>
      <w:r>
        <w:rPr>
          <w:rFonts w:hint="eastAsia" w:ascii="宋体" w:hAnsi="宋体"/>
          <w:color w:val="auto"/>
          <w:sz w:val="22"/>
          <w:szCs w:val="22"/>
          <w:highlight w:val="none"/>
        </w:rPr>
        <w:t>任何</w:t>
      </w:r>
      <w:r>
        <w:rPr>
          <w:rFonts w:hint="eastAsia" w:ascii="宋体" w:hAnsi="宋体" w:cs="仿宋_GB2312"/>
          <w:color w:val="auto"/>
          <w:sz w:val="22"/>
          <w:szCs w:val="22"/>
          <w:highlight w:val="none"/>
        </w:rPr>
        <w:t>费用</w:t>
      </w:r>
      <w:r>
        <w:rPr>
          <w:rFonts w:hint="eastAsia" w:ascii="宋体" w:hAnsi="宋体"/>
          <w:color w:val="auto"/>
          <w:sz w:val="22"/>
          <w:szCs w:val="22"/>
          <w:highlight w:val="none"/>
        </w:rPr>
        <w:t>。</w:t>
      </w:r>
    </w:p>
    <w:p w14:paraId="6DE1432F">
      <w:pPr>
        <w:adjustRightInd w:val="0"/>
        <w:snapToGrid w:val="0"/>
        <w:spacing w:line="276" w:lineRule="auto"/>
        <w:ind w:firstLine="440" w:firstLineChars="200"/>
        <w:rPr>
          <w:rFonts w:hint="eastAsia" w:ascii="宋体" w:hAnsi="宋体"/>
          <w:color w:val="auto"/>
          <w:sz w:val="22"/>
          <w:szCs w:val="22"/>
          <w:highlight w:val="none"/>
        </w:rPr>
      </w:pPr>
      <w:r>
        <w:rPr>
          <w:rFonts w:ascii="宋体" w:hAnsi="宋体"/>
          <w:color w:val="auto"/>
          <w:sz w:val="22"/>
          <w:szCs w:val="22"/>
          <w:highlight w:val="none"/>
        </w:rPr>
        <w:t>2.3.</w:t>
      </w:r>
      <w:r>
        <w:rPr>
          <w:rFonts w:ascii="宋体" w:hAnsi="宋体" w:cs="仿宋_GB2312"/>
          <w:color w:val="auto"/>
          <w:sz w:val="22"/>
          <w:szCs w:val="22"/>
          <w:highlight w:val="none"/>
        </w:rPr>
        <w:t xml:space="preserve"> </w:t>
      </w:r>
      <w:r>
        <w:rPr>
          <w:rFonts w:hint="eastAsia" w:ascii="宋体" w:hAnsi="宋体" w:cs="仿宋_GB2312"/>
          <w:color w:val="auto"/>
          <w:sz w:val="22"/>
          <w:szCs w:val="22"/>
          <w:highlight w:val="none"/>
        </w:rPr>
        <w:t>除双方主</w:t>
      </w:r>
      <w:r>
        <w:rPr>
          <w:rFonts w:hint="eastAsia" w:ascii="宋体" w:hAnsi="宋体"/>
          <w:color w:val="auto"/>
          <w:sz w:val="22"/>
          <w:szCs w:val="22"/>
          <w:highlight w:val="none"/>
        </w:rPr>
        <w:t>合同</w:t>
      </w:r>
      <w:r>
        <w:rPr>
          <w:rFonts w:hint="eastAsia" w:ascii="宋体" w:hAnsi="宋体" w:cs="仿宋_GB2312"/>
          <w:color w:val="auto"/>
          <w:sz w:val="22"/>
          <w:szCs w:val="22"/>
          <w:highlight w:val="none"/>
        </w:rPr>
        <w:t>（含补充协议）约定支付的价款外，不得以任何理由接受或向乙方及其人员索要劳务费、介绍费、顾问费、咨询费、专家费等额外费用</w:t>
      </w:r>
      <w:r>
        <w:rPr>
          <w:rFonts w:hint="eastAsia" w:ascii="宋体" w:hAnsi="宋体"/>
          <w:color w:val="auto"/>
          <w:sz w:val="22"/>
          <w:szCs w:val="22"/>
          <w:highlight w:val="none"/>
        </w:rPr>
        <w:t>。</w:t>
      </w:r>
    </w:p>
    <w:p w14:paraId="13E7D210">
      <w:pPr>
        <w:adjustRightInd w:val="0"/>
        <w:snapToGrid w:val="0"/>
        <w:spacing w:line="276" w:lineRule="auto"/>
        <w:ind w:firstLine="440" w:firstLineChars="200"/>
        <w:rPr>
          <w:rFonts w:hint="eastAsia" w:ascii="宋体" w:hAnsi="宋体"/>
          <w:color w:val="auto"/>
          <w:sz w:val="22"/>
          <w:szCs w:val="22"/>
          <w:highlight w:val="none"/>
        </w:rPr>
      </w:pPr>
      <w:r>
        <w:rPr>
          <w:rFonts w:ascii="宋体" w:hAnsi="宋体"/>
          <w:color w:val="auto"/>
          <w:sz w:val="22"/>
          <w:szCs w:val="22"/>
          <w:highlight w:val="none"/>
        </w:rPr>
        <w:t>2.4.</w:t>
      </w:r>
      <w:r>
        <w:rPr>
          <w:rFonts w:ascii="宋体" w:hAnsi="宋体" w:cs="仿宋_GB2312"/>
          <w:color w:val="auto"/>
          <w:sz w:val="22"/>
          <w:szCs w:val="22"/>
          <w:highlight w:val="none"/>
        </w:rPr>
        <w:t xml:space="preserve"> </w:t>
      </w:r>
      <w:r>
        <w:rPr>
          <w:rFonts w:hint="eastAsia" w:ascii="宋体" w:hAnsi="宋体" w:cs="仿宋_GB2312"/>
          <w:color w:val="auto"/>
          <w:sz w:val="22"/>
          <w:szCs w:val="22"/>
          <w:highlight w:val="none"/>
        </w:rPr>
        <w:t>不得违规向乙方及其人员要求安排配偶、子女、亲属或好友等进入</w:t>
      </w:r>
      <w:r>
        <w:rPr>
          <w:rFonts w:hint="eastAsia" w:ascii="宋体" w:hAnsi="宋体"/>
          <w:color w:val="auto"/>
          <w:sz w:val="22"/>
          <w:szCs w:val="22"/>
          <w:highlight w:val="none"/>
        </w:rPr>
        <w:t>乙方</w:t>
      </w:r>
      <w:r>
        <w:rPr>
          <w:rFonts w:hint="eastAsia" w:ascii="宋体" w:hAnsi="宋体" w:cs="仿宋_GB2312"/>
          <w:color w:val="auto"/>
          <w:sz w:val="22"/>
          <w:szCs w:val="22"/>
          <w:highlight w:val="none"/>
        </w:rPr>
        <w:t>单位工作或成为</w:t>
      </w:r>
      <w:r>
        <w:rPr>
          <w:rFonts w:hint="eastAsia" w:ascii="宋体" w:hAnsi="宋体"/>
          <w:color w:val="auto"/>
          <w:sz w:val="22"/>
          <w:szCs w:val="22"/>
          <w:highlight w:val="none"/>
        </w:rPr>
        <w:t>乙方的</w:t>
      </w:r>
      <w:r>
        <w:rPr>
          <w:rFonts w:hint="eastAsia" w:ascii="宋体" w:hAnsi="宋体" w:cs="仿宋_GB2312"/>
          <w:color w:val="auto"/>
          <w:sz w:val="22"/>
          <w:szCs w:val="22"/>
          <w:highlight w:val="none"/>
        </w:rPr>
        <w:t>物资或服务供应商</w:t>
      </w:r>
      <w:r>
        <w:rPr>
          <w:rFonts w:hint="eastAsia" w:ascii="宋体" w:hAnsi="宋体"/>
          <w:color w:val="auto"/>
          <w:sz w:val="22"/>
          <w:szCs w:val="22"/>
          <w:highlight w:val="none"/>
        </w:rPr>
        <w:t>。</w:t>
      </w:r>
    </w:p>
    <w:p w14:paraId="4B8F3B30">
      <w:pPr>
        <w:adjustRightInd w:val="0"/>
        <w:snapToGrid w:val="0"/>
        <w:spacing w:line="276" w:lineRule="auto"/>
        <w:ind w:firstLine="440" w:firstLineChars="200"/>
        <w:rPr>
          <w:rFonts w:hint="eastAsia" w:ascii="宋体" w:hAnsi="宋体" w:cs="仿宋_GB2312"/>
          <w:color w:val="auto"/>
          <w:sz w:val="22"/>
          <w:szCs w:val="22"/>
          <w:highlight w:val="none"/>
        </w:rPr>
      </w:pPr>
      <w:r>
        <w:rPr>
          <w:rFonts w:ascii="宋体" w:hAnsi="宋体" w:cs="仿宋_GB2312"/>
          <w:color w:val="auto"/>
          <w:sz w:val="22"/>
          <w:szCs w:val="22"/>
          <w:highlight w:val="none"/>
        </w:rPr>
        <w:t xml:space="preserve">2.5. </w:t>
      </w:r>
      <w:r>
        <w:rPr>
          <w:rFonts w:hint="eastAsia" w:ascii="宋体" w:hAnsi="宋体" w:cs="仿宋_GB2312"/>
          <w:color w:val="auto"/>
          <w:sz w:val="22"/>
          <w:szCs w:val="22"/>
          <w:highlight w:val="none"/>
        </w:rPr>
        <w:t>不得因私向乙方及其人员借用车辆、房屋、设备、资金等。</w:t>
      </w:r>
    </w:p>
    <w:p w14:paraId="36206FD7">
      <w:pPr>
        <w:adjustRightInd w:val="0"/>
        <w:snapToGrid w:val="0"/>
        <w:spacing w:line="276" w:lineRule="auto"/>
        <w:ind w:firstLine="440" w:firstLineChars="200"/>
        <w:rPr>
          <w:rFonts w:hint="eastAsia" w:ascii="宋体" w:hAnsi="宋体" w:cs="仿宋_GB2312"/>
          <w:color w:val="auto"/>
          <w:sz w:val="22"/>
          <w:szCs w:val="22"/>
          <w:highlight w:val="none"/>
        </w:rPr>
      </w:pPr>
      <w:r>
        <w:rPr>
          <w:rFonts w:ascii="宋体" w:hAnsi="宋体" w:cs="仿宋_GB2312"/>
          <w:color w:val="auto"/>
          <w:sz w:val="22"/>
          <w:szCs w:val="22"/>
          <w:highlight w:val="none"/>
        </w:rPr>
        <w:t xml:space="preserve">2.6. </w:t>
      </w:r>
      <w:r>
        <w:rPr>
          <w:rFonts w:hint="eastAsia" w:ascii="宋体" w:hAnsi="宋体" w:cs="仿宋_GB2312"/>
          <w:color w:val="auto"/>
          <w:sz w:val="22"/>
          <w:szCs w:val="22"/>
          <w:highlight w:val="none"/>
        </w:rPr>
        <w:t>不得要求或者接受乙方及其人员为其住房装修、婚丧嫁娶、家属子女的工作安排或出国等提供方便。</w:t>
      </w:r>
    </w:p>
    <w:p w14:paraId="1EEB53E9">
      <w:pPr>
        <w:adjustRightInd w:val="0"/>
        <w:snapToGrid w:val="0"/>
        <w:spacing w:line="276" w:lineRule="auto"/>
        <w:ind w:firstLine="440" w:firstLineChars="200"/>
        <w:rPr>
          <w:rFonts w:hint="eastAsia" w:ascii="宋体" w:hAnsi="宋体" w:cs="仿宋_GB2312"/>
          <w:color w:val="auto"/>
          <w:sz w:val="22"/>
          <w:szCs w:val="22"/>
          <w:highlight w:val="none"/>
        </w:rPr>
      </w:pPr>
      <w:r>
        <w:rPr>
          <w:rFonts w:ascii="宋体" w:hAnsi="宋体"/>
          <w:color w:val="auto"/>
          <w:sz w:val="22"/>
          <w:szCs w:val="22"/>
          <w:highlight w:val="none"/>
        </w:rPr>
        <w:t>2.7</w:t>
      </w:r>
      <w:r>
        <w:rPr>
          <w:rFonts w:ascii="宋体" w:hAnsi="宋体" w:cs="仿宋_GB2312"/>
          <w:color w:val="auto"/>
          <w:sz w:val="22"/>
          <w:szCs w:val="22"/>
          <w:highlight w:val="none"/>
        </w:rPr>
        <w:t xml:space="preserve">. </w:t>
      </w:r>
      <w:r>
        <w:rPr>
          <w:rFonts w:hint="eastAsia" w:ascii="宋体" w:hAnsi="宋体" w:cs="仿宋_GB2312"/>
          <w:color w:val="auto"/>
          <w:sz w:val="22"/>
          <w:szCs w:val="22"/>
          <w:highlight w:val="none"/>
        </w:rPr>
        <w:t>不得参加乙方及其人员组织的可能影响公正履约的宴请、娱乐或旅游等一切活动。</w:t>
      </w:r>
    </w:p>
    <w:p w14:paraId="2FA3D5A4">
      <w:pPr>
        <w:adjustRightInd w:val="0"/>
        <w:snapToGrid w:val="0"/>
        <w:spacing w:line="276" w:lineRule="auto"/>
        <w:ind w:firstLine="440" w:firstLineChars="200"/>
        <w:rPr>
          <w:rFonts w:hint="eastAsia" w:ascii="宋体" w:hAnsi="宋体" w:cs="仿宋_GB2312"/>
          <w:color w:val="auto"/>
          <w:sz w:val="22"/>
          <w:szCs w:val="22"/>
          <w:highlight w:val="none"/>
        </w:rPr>
      </w:pPr>
      <w:r>
        <w:rPr>
          <w:rFonts w:ascii="宋体" w:hAnsi="宋体" w:cs="仿宋_GB2312"/>
          <w:color w:val="auto"/>
          <w:sz w:val="22"/>
          <w:szCs w:val="22"/>
          <w:highlight w:val="none"/>
        </w:rPr>
        <w:t xml:space="preserve">2.8. </w:t>
      </w:r>
      <w:r>
        <w:rPr>
          <w:rFonts w:hint="eastAsia" w:ascii="宋体" w:hAnsi="宋体" w:cs="仿宋_GB2312"/>
          <w:color w:val="auto"/>
          <w:sz w:val="22"/>
          <w:szCs w:val="22"/>
          <w:highlight w:val="none"/>
        </w:rPr>
        <w:t>不得以明显低于正常的市场价格向乙方及其人员购买商品。不得以明显高于正常市场的价格为亲属、朋友等向乙方及其人员介绍、推销商品。</w:t>
      </w:r>
    </w:p>
    <w:p w14:paraId="6A1E0D81">
      <w:pPr>
        <w:adjustRightInd w:val="0"/>
        <w:snapToGrid w:val="0"/>
        <w:spacing w:line="276" w:lineRule="auto"/>
        <w:ind w:firstLine="440" w:firstLineChars="200"/>
        <w:rPr>
          <w:rFonts w:hint="eastAsia" w:ascii="宋体" w:hAnsi="宋体" w:cs="仿宋_GB2312"/>
          <w:color w:val="auto"/>
          <w:sz w:val="22"/>
          <w:szCs w:val="22"/>
          <w:highlight w:val="none"/>
        </w:rPr>
      </w:pPr>
      <w:r>
        <w:rPr>
          <w:rFonts w:ascii="宋体" w:hAnsi="宋体" w:cs="仿宋_GB2312"/>
          <w:color w:val="auto"/>
          <w:sz w:val="22"/>
          <w:szCs w:val="22"/>
          <w:highlight w:val="none"/>
        </w:rPr>
        <w:t xml:space="preserve">2.9. </w:t>
      </w:r>
      <w:r>
        <w:rPr>
          <w:rFonts w:hint="eastAsia" w:ascii="宋体" w:hAnsi="宋体" w:cs="仿宋_GB2312"/>
          <w:color w:val="auto"/>
          <w:sz w:val="22"/>
          <w:szCs w:val="22"/>
          <w:highlight w:val="none"/>
        </w:rPr>
        <w:t>不得要求乙方购买、使用，或者租赁双方主合同（含补充协议）约定外的物品、设备等，不得指定乙方选定合作方，主营业务合作除外。</w:t>
      </w:r>
    </w:p>
    <w:p w14:paraId="597BB428">
      <w:pPr>
        <w:adjustRightInd w:val="0"/>
        <w:snapToGrid w:val="0"/>
        <w:spacing w:line="276" w:lineRule="auto"/>
        <w:ind w:firstLine="440" w:firstLineChars="200"/>
        <w:rPr>
          <w:rFonts w:hint="eastAsia" w:ascii="宋体" w:hAnsi="宋体" w:cs="仿宋_GB2312"/>
          <w:color w:val="auto"/>
          <w:sz w:val="22"/>
          <w:szCs w:val="22"/>
          <w:highlight w:val="none"/>
        </w:rPr>
      </w:pPr>
      <w:r>
        <w:rPr>
          <w:rFonts w:ascii="宋体" w:hAnsi="宋体" w:cs="仿宋_GB2312"/>
          <w:color w:val="auto"/>
          <w:sz w:val="22"/>
          <w:szCs w:val="22"/>
          <w:highlight w:val="none"/>
        </w:rPr>
        <w:t xml:space="preserve">2.10. </w:t>
      </w:r>
      <w:r>
        <w:rPr>
          <w:rFonts w:hint="eastAsia" w:ascii="宋体" w:hAnsi="宋体" w:cs="仿宋_GB2312"/>
          <w:color w:val="auto"/>
          <w:sz w:val="22"/>
          <w:szCs w:val="22"/>
          <w:highlight w:val="none"/>
        </w:rPr>
        <w:t>不得违规私下接触乙方及其人员。</w:t>
      </w:r>
    </w:p>
    <w:p w14:paraId="41203B22">
      <w:pPr>
        <w:adjustRightInd w:val="0"/>
        <w:snapToGrid w:val="0"/>
        <w:spacing w:line="276" w:lineRule="auto"/>
        <w:ind w:firstLine="442" w:firstLineChars="200"/>
        <w:rPr>
          <w:rFonts w:hint="eastAsia" w:ascii="宋体" w:hAnsi="宋体" w:cs="仿宋_GB2312"/>
          <w:b/>
          <w:bCs/>
          <w:color w:val="auto"/>
          <w:sz w:val="22"/>
          <w:szCs w:val="22"/>
          <w:highlight w:val="none"/>
        </w:rPr>
      </w:pPr>
      <w:r>
        <w:rPr>
          <w:rFonts w:ascii="宋体" w:hAnsi="宋体" w:cs="仿宋_GB2312"/>
          <w:b/>
          <w:bCs/>
          <w:color w:val="auto"/>
          <w:sz w:val="22"/>
          <w:szCs w:val="22"/>
          <w:highlight w:val="none"/>
        </w:rPr>
        <w:t>3.乙方</w:t>
      </w:r>
      <w:r>
        <w:rPr>
          <w:rFonts w:hint="eastAsia" w:ascii="宋体" w:hAnsi="宋体" w:cs="仿宋_GB2312"/>
          <w:b/>
          <w:bCs/>
          <w:color w:val="auto"/>
          <w:sz w:val="22"/>
          <w:szCs w:val="22"/>
          <w:highlight w:val="none"/>
        </w:rPr>
        <w:t>义务</w:t>
      </w:r>
    </w:p>
    <w:p w14:paraId="268C50C6">
      <w:pPr>
        <w:adjustRightInd w:val="0"/>
        <w:snapToGrid w:val="0"/>
        <w:spacing w:line="276"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乙方及乙方人员须严格遵守以下规定：</w:t>
      </w:r>
    </w:p>
    <w:p w14:paraId="2D1078C0">
      <w:pPr>
        <w:adjustRightInd w:val="0"/>
        <w:snapToGrid w:val="0"/>
        <w:spacing w:line="276" w:lineRule="auto"/>
        <w:ind w:firstLine="440" w:firstLineChars="200"/>
        <w:rPr>
          <w:rFonts w:hint="eastAsia" w:ascii="宋体" w:hAnsi="宋体" w:cs="仿宋_GB2312"/>
          <w:color w:val="auto"/>
          <w:sz w:val="22"/>
          <w:szCs w:val="22"/>
          <w:highlight w:val="none"/>
        </w:rPr>
      </w:pPr>
      <w:r>
        <w:rPr>
          <w:rFonts w:ascii="宋体" w:hAnsi="宋体" w:cs="仿宋_GB2312"/>
          <w:color w:val="auto"/>
          <w:sz w:val="22"/>
          <w:szCs w:val="22"/>
          <w:highlight w:val="none"/>
        </w:rPr>
        <w:t xml:space="preserve">3.1. </w:t>
      </w:r>
      <w:r>
        <w:rPr>
          <w:rFonts w:hint="eastAsia" w:ascii="宋体" w:hAnsi="宋体" w:cs="仿宋_GB2312"/>
          <w:color w:val="auto"/>
          <w:sz w:val="22"/>
          <w:szCs w:val="22"/>
          <w:highlight w:val="none"/>
        </w:rPr>
        <w:t>应保证其人员了解甲方有关廉洁合作管理制度及本协议约定，并遵照执行。</w:t>
      </w:r>
    </w:p>
    <w:p w14:paraId="2EBBFB76">
      <w:pPr>
        <w:adjustRightInd w:val="0"/>
        <w:snapToGrid w:val="0"/>
        <w:spacing w:line="276" w:lineRule="auto"/>
        <w:ind w:firstLine="440" w:firstLineChars="200"/>
        <w:rPr>
          <w:rFonts w:hint="eastAsia" w:ascii="宋体" w:hAnsi="宋体" w:cs="仿宋_GB2312"/>
          <w:color w:val="auto"/>
          <w:sz w:val="22"/>
          <w:szCs w:val="22"/>
          <w:highlight w:val="none"/>
        </w:rPr>
      </w:pPr>
      <w:r>
        <w:rPr>
          <w:rFonts w:ascii="宋体" w:hAnsi="宋体" w:cs="仿宋_GB2312"/>
          <w:color w:val="auto"/>
          <w:sz w:val="22"/>
          <w:szCs w:val="22"/>
          <w:highlight w:val="none"/>
        </w:rPr>
        <w:t xml:space="preserve">3.2. </w:t>
      </w:r>
      <w:r>
        <w:rPr>
          <w:rFonts w:hint="eastAsia" w:ascii="宋体" w:hAnsi="宋体" w:cs="仿宋_GB2312"/>
          <w:color w:val="auto"/>
          <w:sz w:val="22"/>
          <w:szCs w:val="22"/>
          <w:highlight w:val="none"/>
        </w:rPr>
        <w:t>不得以任何理由向甲方及其人员、施工单位及其人员、勘察单位及其人员、设计单位及其人员、其他相关施工单位及其人员（以下合称为“甲方及相关单位及其相关人员”）赠送实物、现金或礼品，不得以任何理由给予甲方及相关单位及其相关人员任何财物或回扣。不得为甲方及相关单位及其相关人员报销、支付应由其人员个人支付的任何费用。</w:t>
      </w:r>
    </w:p>
    <w:p w14:paraId="20D6DF97">
      <w:pPr>
        <w:adjustRightInd w:val="0"/>
        <w:snapToGrid w:val="0"/>
        <w:spacing w:line="276" w:lineRule="auto"/>
        <w:ind w:firstLine="440" w:firstLineChars="200"/>
        <w:rPr>
          <w:rFonts w:hint="eastAsia" w:ascii="宋体" w:hAnsi="宋体" w:cs="仿宋_GB2312"/>
          <w:color w:val="auto"/>
          <w:sz w:val="22"/>
          <w:szCs w:val="22"/>
          <w:highlight w:val="none"/>
        </w:rPr>
      </w:pPr>
      <w:r>
        <w:rPr>
          <w:rFonts w:ascii="宋体" w:hAnsi="宋体" w:cs="仿宋_GB2312"/>
          <w:color w:val="auto"/>
          <w:sz w:val="22"/>
          <w:szCs w:val="22"/>
          <w:highlight w:val="none"/>
        </w:rPr>
        <w:t xml:space="preserve">3.3. </w:t>
      </w:r>
      <w:r>
        <w:rPr>
          <w:rFonts w:hint="eastAsia" w:ascii="宋体" w:hAnsi="宋体" w:cs="仿宋_GB2312"/>
          <w:color w:val="auto"/>
          <w:sz w:val="22"/>
          <w:szCs w:val="22"/>
          <w:highlight w:val="none"/>
        </w:rPr>
        <w:t>除双方主合同（含补充协议）约定支付的价款外，不得以任何理由向甲方及相关单位及其相关人员支付劳务费、介绍费、顾问费、咨询费、专家费等额外费用。</w:t>
      </w:r>
    </w:p>
    <w:p w14:paraId="2E2BCDBD">
      <w:pPr>
        <w:adjustRightInd w:val="0"/>
        <w:snapToGrid w:val="0"/>
        <w:spacing w:line="276" w:lineRule="auto"/>
        <w:ind w:firstLine="440" w:firstLineChars="200"/>
        <w:rPr>
          <w:rFonts w:hint="eastAsia" w:ascii="宋体" w:hAnsi="宋体" w:cs="仿宋_GB2312"/>
          <w:color w:val="auto"/>
          <w:sz w:val="22"/>
          <w:szCs w:val="22"/>
          <w:highlight w:val="none"/>
        </w:rPr>
      </w:pPr>
      <w:r>
        <w:rPr>
          <w:rFonts w:ascii="宋体" w:hAnsi="宋体" w:cs="仿宋_GB2312"/>
          <w:color w:val="auto"/>
          <w:sz w:val="22"/>
          <w:szCs w:val="22"/>
          <w:highlight w:val="none"/>
        </w:rPr>
        <w:t xml:space="preserve">3.4. </w:t>
      </w:r>
      <w:r>
        <w:rPr>
          <w:rFonts w:hint="eastAsia" w:ascii="宋体" w:hAnsi="宋体" w:cs="仿宋_GB2312"/>
          <w:color w:val="auto"/>
          <w:sz w:val="22"/>
          <w:szCs w:val="22"/>
          <w:highlight w:val="none"/>
        </w:rPr>
        <w:t>不得通过非正常途径、非合规方式向甲方及相关单位及其相关人员询问、洽商合同、协议等有关事项。</w:t>
      </w:r>
    </w:p>
    <w:p w14:paraId="567727E5">
      <w:pPr>
        <w:adjustRightInd w:val="0"/>
        <w:snapToGrid w:val="0"/>
        <w:spacing w:line="276" w:lineRule="auto"/>
        <w:ind w:firstLine="440" w:firstLineChars="200"/>
        <w:rPr>
          <w:rFonts w:hint="eastAsia" w:ascii="宋体" w:hAnsi="宋体" w:cs="仿宋_GB2312"/>
          <w:color w:val="auto"/>
          <w:sz w:val="22"/>
          <w:szCs w:val="22"/>
          <w:highlight w:val="none"/>
        </w:rPr>
      </w:pPr>
      <w:r>
        <w:rPr>
          <w:rFonts w:ascii="宋体" w:hAnsi="宋体" w:cs="仿宋_GB2312"/>
          <w:color w:val="auto"/>
          <w:sz w:val="22"/>
          <w:szCs w:val="22"/>
          <w:highlight w:val="none"/>
        </w:rPr>
        <w:t xml:space="preserve">3.5. </w:t>
      </w:r>
      <w:r>
        <w:rPr>
          <w:rFonts w:hint="eastAsia" w:ascii="宋体" w:hAnsi="宋体" w:cs="仿宋_GB2312"/>
          <w:color w:val="auto"/>
          <w:sz w:val="22"/>
          <w:szCs w:val="22"/>
          <w:highlight w:val="none"/>
        </w:rPr>
        <w:t>不得组织、安排甲方及相关单位及其相关人员参加可能影响公正履约的宴请、娱乐或旅游等一切活动。在考察、交流等各项公务活动中，不得为甲方及相关单位及其相关人员提供超出工作必需的食宿，或其他违规安排。</w:t>
      </w:r>
    </w:p>
    <w:p w14:paraId="7ACCAAEF">
      <w:pPr>
        <w:adjustRightInd w:val="0"/>
        <w:snapToGrid w:val="0"/>
        <w:spacing w:line="276" w:lineRule="auto"/>
        <w:ind w:firstLine="440" w:firstLineChars="200"/>
        <w:rPr>
          <w:rFonts w:hint="eastAsia" w:ascii="宋体" w:hAnsi="宋体" w:cs="仿宋_GB2312"/>
          <w:color w:val="auto"/>
          <w:sz w:val="22"/>
          <w:szCs w:val="22"/>
          <w:highlight w:val="none"/>
        </w:rPr>
      </w:pPr>
      <w:r>
        <w:rPr>
          <w:rFonts w:ascii="宋体" w:hAnsi="宋体" w:cs="仿宋_GB2312"/>
          <w:color w:val="auto"/>
          <w:sz w:val="22"/>
          <w:szCs w:val="22"/>
          <w:highlight w:val="none"/>
        </w:rPr>
        <w:t xml:space="preserve">3.6. </w:t>
      </w:r>
      <w:r>
        <w:rPr>
          <w:rFonts w:hint="eastAsia" w:ascii="宋体" w:hAnsi="宋体" w:cs="仿宋_GB2312"/>
          <w:color w:val="auto"/>
          <w:sz w:val="22"/>
          <w:szCs w:val="22"/>
          <w:highlight w:val="none"/>
        </w:rPr>
        <w:t>不得向甲方及相关单位及其相关人员提供股票、股权和期权；不得与甲方及相关单位及其相关人员以投资、合作的方式开办公司或进行其他经营活动。</w:t>
      </w:r>
    </w:p>
    <w:p w14:paraId="55F9C3C6">
      <w:pPr>
        <w:adjustRightInd w:val="0"/>
        <w:snapToGrid w:val="0"/>
        <w:spacing w:line="276" w:lineRule="auto"/>
        <w:ind w:firstLine="440" w:firstLineChars="200"/>
        <w:rPr>
          <w:rFonts w:hint="eastAsia" w:ascii="宋体" w:hAnsi="宋体" w:cs="仿宋_GB2312"/>
          <w:color w:val="auto"/>
          <w:sz w:val="22"/>
          <w:szCs w:val="22"/>
          <w:highlight w:val="none"/>
        </w:rPr>
      </w:pPr>
      <w:r>
        <w:rPr>
          <w:rFonts w:ascii="宋体" w:hAnsi="宋体" w:cs="仿宋_GB2312"/>
          <w:color w:val="auto"/>
          <w:sz w:val="22"/>
          <w:szCs w:val="22"/>
          <w:highlight w:val="none"/>
        </w:rPr>
        <w:t xml:space="preserve">3.7. </w:t>
      </w:r>
      <w:r>
        <w:rPr>
          <w:rFonts w:hint="eastAsia" w:ascii="宋体" w:hAnsi="宋体" w:cs="仿宋_GB2312"/>
          <w:color w:val="auto"/>
          <w:sz w:val="22"/>
          <w:szCs w:val="22"/>
          <w:highlight w:val="none"/>
        </w:rPr>
        <w:t>不得邀请甲方及相关单位及其相关人员出入涉黄、涉毒和涉赌场所，不得安排甲方及相关单位及其相关人员参加违法违纪，或者有违社会公德和家庭美德的活动。</w:t>
      </w:r>
    </w:p>
    <w:p w14:paraId="7091EFA7">
      <w:pPr>
        <w:adjustRightInd w:val="0"/>
        <w:snapToGrid w:val="0"/>
        <w:spacing w:line="276" w:lineRule="auto"/>
        <w:ind w:firstLine="440" w:firstLineChars="200"/>
        <w:rPr>
          <w:rFonts w:hint="eastAsia" w:ascii="宋体" w:hAnsi="宋体" w:cs="仿宋_GB2312"/>
          <w:color w:val="auto"/>
          <w:sz w:val="22"/>
          <w:szCs w:val="22"/>
          <w:highlight w:val="none"/>
        </w:rPr>
      </w:pPr>
      <w:r>
        <w:rPr>
          <w:rFonts w:ascii="宋体" w:hAnsi="宋体" w:cs="仿宋_GB2312"/>
          <w:color w:val="auto"/>
          <w:sz w:val="22"/>
          <w:szCs w:val="22"/>
          <w:highlight w:val="none"/>
        </w:rPr>
        <w:t xml:space="preserve">3.8. </w:t>
      </w:r>
      <w:r>
        <w:rPr>
          <w:rFonts w:hint="eastAsia" w:ascii="宋体" w:hAnsi="宋体" w:cs="仿宋_GB2312"/>
          <w:color w:val="auto"/>
          <w:sz w:val="22"/>
          <w:szCs w:val="22"/>
          <w:highlight w:val="none"/>
        </w:rPr>
        <w:t>及时拒绝甲方及相关单位及其相关人员提出的超出工作范围的利益要求，并视情及时举报。</w:t>
      </w:r>
    </w:p>
    <w:p w14:paraId="3A67D993">
      <w:pPr>
        <w:adjustRightInd w:val="0"/>
        <w:snapToGrid w:val="0"/>
        <w:spacing w:line="276" w:lineRule="auto"/>
        <w:ind w:firstLine="440" w:firstLineChars="200"/>
        <w:rPr>
          <w:rFonts w:hint="eastAsia" w:ascii="宋体" w:hAnsi="宋体" w:cs="仿宋_GB2312"/>
          <w:color w:val="auto"/>
          <w:sz w:val="22"/>
          <w:szCs w:val="22"/>
          <w:highlight w:val="none"/>
        </w:rPr>
      </w:pPr>
      <w:r>
        <w:rPr>
          <w:rFonts w:ascii="宋体" w:hAnsi="宋体" w:cs="仿宋_GB2312"/>
          <w:color w:val="auto"/>
          <w:sz w:val="22"/>
          <w:szCs w:val="22"/>
          <w:highlight w:val="none"/>
        </w:rPr>
        <w:t xml:space="preserve">3.9. </w:t>
      </w:r>
      <w:r>
        <w:rPr>
          <w:rFonts w:hint="eastAsia" w:ascii="宋体" w:hAnsi="宋体" w:cs="仿宋_GB2312"/>
          <w:color w:val="auto"/>
          <w:sz w:val="22"/>
          <w:szCs w:val="22"/>
          <w:highlight w:val="none"/>
        </w:rPr>
        <w:t>不得违规私下接触甲方及相关单位及其相关人员，不得通过甲方及相关单位及其相关人员家属询问、洽谈工作有关事项。</w:t>
      </w:r>
    </w:p>
    <w:p w14:paraId="31F4E1F4">
      <w:pPr>
        <w:adjustRightInd w:val="0"/>
        <w:snapToGrid w:val="0"/>
        <w:spacing w:line="276" w:lineRule="auto"/>
        <w:ind w:firstLine="440" w:firstLineChars="200"/>
        <w:rPr>
          <w:rFonts w:hint="eastAsia" w:ascii="宋体" w:hAnsi="宋体" w:cs="仿宋_GB2312"/>
          <w:color w:val="auto"/>
          <w:sz w:val="22"/>
          <w:szCs w:val="22"/>
          <w:highlight w:val="none"/>
        </w:rPr>
      </w:pPr>
      <w:r>
        <w:rPr>
          <w:rFonts w:ascii="宋体" w:hAnsi="宋体" w:cs="仿宋_GB2312"/>
          <w:color w:val="auto"/>
          <w:sz w:val="22"/>
          <w:szCs w:val="22"/>
          <w:highlight w:val="none"/>
        </w:rPr>
        <w:t>3.10.</w:t>
      </w:r>
      <w:r>
        <w:rPr>
          <w:rFonts w:hint="eastAsia" w:ascii="宋体" w:hAnsi="宋体" w:cs="仿宋_GB2312"/>
          <w:color w:val="auto"/>
          <w:sz w:val="22"/>
          <w:szCs w:val="22"/>
          <w:highlight w:val="none"/>
        </w:rPr>
        <w:t xml:space="preserve"> 有义务接受甲方对主合同履行期间廉洁合作管理执行情况的监督。</w:t>
      </w:r>
    </w:p>
    <w:p w14:paraId="63627FA3">
      <w:pPr>
        <w:adjustRightInd w:val="0"/>
        <w:snapToGrid w:val="0"/>
        <w:spacing w:line="276" w:lineRule="auto"/>
        <w:ind w:firstLine="440" w:firstLineChars="200"/>
        <w:rPr>
          <w:rFonts w:hint="eastAsia" w:ascii="宋体" w:hAnsi="宋体"/>
          <w:color w:val="auto"/>
          <w:sz w:val="22"/>
          <w:szCs w:val="22"/>
          <w:highlight w:val="none"/>
        </w:rPr>
      </w:pPr>
      <w:r>
        <w:rPr>
          <w:rFonts w:ascii="宋体" w:hAnsi="宋体" w:cs="仿宋_GB2312"/>
          <w:color w:val="auto"/>
          <w:sz w:val="22"/>
          <w:szCs w:val="22"/>
          <w:highlight w:val="none"/>
        </w:rPr>
        <w:t xml:space="preserve">3.11. </w:t>
      </w:r>
      <w:r>
        <w:rPr>
          <w:rFonts w:hint="eastAsia" w:ascii="宋体" w:hAnsi="宋体"/>
          <w:color w:val="auto"/>
          <w:sz w:val="22"/>
          <w:szCs w:val="22"/>
          <w:highlight w:val="none"/>
        </w:rPr>
        <w:t>甲方相关部门对甲方人员违反廉洁合作管理制度和本协议的行为进行调查的，应积极协助，同意且完全配合甲方相关部门提出的文件、信息、数据等资料的查阅、核实、复制等。</w:t>
      </w:r>
    </w:p>
    <w:p w14:paraId="3554E31B">
      <w:pPr>
        <w:adjustRightInd w:val="0"/>
        <w:snapToGrid w:val="0"/>
        <w:spacing w:line="276" w:lineRule="auto"/>
        <w:ind w:firstLine="442" w:firstLineChars="200"/>
        <w:rPr>
          <w:rFonts w:hint="eastAsia" w:ascii="宋体" w:hAnsi="宋体" w:cs="仿宋_GB2312"/>
          <w:b/>
          <w:bCs/>
          <w:color w:val="auto"/>
          <w:sz w:val="22"/>
          <w:szCs w:val="22"/>
          <w:highlight w:val="none"/>
        </w:rPr>
      </w:pPr>
      <w:r>
        <w:rPr>
          <w:rFonts w:ascii="宋体" w:hAnsi="宋体" w:cs="仿宋_GB2312"/>
          <w:b/>
          <w:bCs/>
          <w:color w:val="auto"/>
          <w:sz w:val="22"/>
          <w:szCs w:val="22"/>
          <w:highlight w:val="none"/>
        </w:rPr>
        <w:t xml:space="preserve">4. </w:t>
      </w:r>
      <w:r>
        <w:rPr>
          <w:rFonts w:hint="eastAsia" w:ascii="宋体" w:hAnsi="宋体" w:cs="仿宋_GB2312"/>
          <w:b/>
          <w:bCs/>
          <w:color w:val="auto"/>
          <w:sz w:val="22"/>
          <w:szCs w:val="22"/>
          <w:highlight w:val="none"/>
        </w:rPr>
        <w:t>违约责任</w:t>
      </w:r>
    </w:p>
    <w:p w14:paraId="7C14F630">
      <w:pPr>
        <w:adjustRightInd w:val="0"/>
        <w:snapToGrid w:val="0"/>
        <w:spacing w:line="276" w:lineRule="auto"/>
        <w:ind w:firstLine="440" w:firstLineChars="200"/>
        <w:rPr>
          <w:rFonts w:hint="eastAsia" w:ascii="宋体" w:hAnsi="宋体" w:cs="仿宋_GB2312"/>
          <w:color w:val="auto"/>
          <w:sz w:val="22"/>
          <w:szCs w:val="22"/>
          <w:highlight w:val="none"/>
        </w:rPr>
      </w:pPr>
      <w:r>
        <w:rPr>
          <w:rFonts w:ascii="宋体" w:hAnsi="宋体" w:cs="仿宋_GB2312"/>
          <w:color w:val="auto"/>
          <w:sz w:val="22"/>
          <w:szCs w:val="22"/>
          <w:highlight w:val="none"/>
        </w:rPr>
        <w:t xml:space="preserve">4.1. </w:t>
      </w:r>
      <w:r>
        <w:rPr>
          <w:rFonts w:hint="eastAsia" w:ascii="宋体" w:hAnsi="宋体" w:cs="仿宋_GB2312"/>
          <w:color w:val="auto"/>
          <w:sz w:val="22"/>
          <w:szCs w:val="22"/>
          <w:highlight w:val="none"/>
        </w:rPr>
        <w:t>乙方或其人员有违反本协议要求的，甲方有权将其列入黑名单，取消其参与相关业务的机会，甲方视情节有权单方主张终止主合同。</w:t>
      </w:r>
    </w:p>
    <w:p w14:paraId="703A6D69">
      <w:pPr>
        <w:adjustRightInd w:val="0"/>
        <w:snapToGrid w:val="0"/>
        <w:spacing w:line="276" w:lineRule="auto"/>
        <w:ind w:firstLine="440" w:firstLineChars="200"/>
        <w:rPr>
          <w:rFonts w:hint="eastAsia" w:ascii="宋体" w:hAnsi="宋体" w:cs="仿宋_GB2312"/>
          <w:color w:val="auto"/>
          <w:sz w:val="22"/>
          <w:szCs w:val="22"/>
          <w:highlight w:val="none"/>
        </w:rPr>
      </w:pPr>
      <w:r>
        <w:rPr>
          <w:rFonts w:ascii="宋体" w:hAnsi="宋体" w:cs="仿宋_GB2312"/>
          <w:color w:val="auto"/>
          <w:sz w:val="22"/>
          <w:szCs w:val="22"/>
          <w:highlight w:val="none"/>
        </w:rPr>
        <w:t xml:space="preserve">4.2. </w:t>
      </w:r>
      <w:r>
        <w:rPr>
          <w:rFonts w:hint="eastAsia" w:ascii="宋体" w:hAnsi="宋体" w:cs="仿宋_GB2312"/>
          <w:color w:val="auto"/>
          <w:sz w:val="22"/>
          <w:szCs w:val="22"/>
          <w:highlight w:val="none"/>
        </w:rPr>
        <w:t>如因乙方或其人员违反本协议要求的相关行为给甲方造成损失的，由乙方负责赔偿，</w:t>
      </w:r>
      <w:bookmarkStart w:id="1" w:name="_Hlk122033673"/>
      <w:r>
        <w:rPr>
          <w:rFonts w:hint="eastAsia" w:ascii="宋体" w:hAnsi="宋体" w:cs="仿宋_GB2312"/>
          <w:color w:val="auto"/>
          <w:sz w:val="22"/>
          <w:szCs w:val="22"/>
          <w:highlight w:val="none"/>
        </w:rPr>
        <w:t>乙方同意甲方可在主合同价款中扣除相应的赔偿款项</w:t>
      </w:r>
      <w:bookmarkEnd w:id="1"/>
      <w:r>
        <w:rPr>
          <w:rFonts w:hint="eastAsia" w:ascii="宋体" w:hAnsi="宋体" w:cs="仿宋_GB2312"/>
          <w:color w:val="auto"/>
          <w:sz w:val="22"/>
          <w:szCs w:val="22"/>
          <w:highlight w:val="none"/>
        </w:rPr>
        <w:t>。</w:t>
      </w:r>
    </w:p>
    <w:p w14:paraId="45B48A5F">
      <w:pPr>
        <w:adjustRightInd w:val="0"/>
        <w:snapToGrid w:val="0"/>
        <w:spacing w:line="276"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（以下无正文）</w:t>
      </w:r>
    </w:p>
    <w:p w14:paraId="5526D58D">
      <w:pPr>
        <w:ind w:left="425"/>
        <w:rPr>
          <w:rFonts w:hint="eastAsia" w:ascii="仿宋" w:hAnsi="仿宋" w:eastAsia="仿宋"/>
          <w:color w:val="auto"/>
          <w:sz w:val="24"/>
          <w:highlight w:val="none"/>
        </w:rPr>
      </w:pPr>
    </w:p>
    <w:p w14:paraId="2BEAA3EC">
      <w:pPr>
        <w:ind w:left="425"/>
        <w:rPr>
          <w:rFonts w:hint="eastAsia" w:ascii="仿宋" w:hAnsi="仿宋" w:eastAsia="仿宋"/>
          <w:color w:val="auto"/>
          <w:sz w:val="24"/>
          <w:highlight w:val="none"/>
        </w:rPr>
      </w:pPr>
    </w:p>
    <w:p w14:paraId="78E6E753">
      <w:pPr>
        <w:autoSpaceDE w:val="0"/>
        <w:autoSpaceDN w:val="0"/>
        <w:adjustRightInd w:val="0"/>
        <w:ind w:right="105" w:rightChars="50"/>
        <w:jc w:val="left"/>
        <w:rPr>
          <w:rFonts w:hint="eastAsia" w:ascii="宋体" w:hAnsi="宋体"/>
          <w:color w:val="auto"/>
          <w:kern w:val="0"/>
          <w:sz w:val="24"/>
          <w:highlight w:val="none"/>
        </w:rPr>
      </w:pPr>
    </w:p>
    <w:tbl>
      <w:tblPr>
        <w:tblStyle w:val="8"/>
        <w:tblW w:w="7964" w:type="dxa"/>
        <w:jc w:val="center"/>
        <w:tblLayout w:type="autofit"/>
        <w:tblCellMar>
          <w:top w:w="0" w:type="dxa"/>
          <w:left w:w="108" w:type="dxa"/>
          <w:bottom w:w="0" w:type="dxa"/>
          <w:right w:w="108" w:type="dxa"/>
        </w:tblCellMar>
      </w:tblPr>
      <w:tblGrid>
        <w:gridCol w:w="3589"/>
        <w:gridCol w:w="942"/>
        <w:gridCol w:w="3433"/>
      </w:tblGrid>
      <w:tr w14:paraId="062075C9">
        <w:tblPrEx>
          <w:tblCellMar>
            <w:top w:w="0" w:type="dxa"/>
            <w:left w:w="108" w:type="dxa"/>
            <w:bottom w:w="0" w:type="dxa"/>
            <w:right w:w="108" w:type="dxa"/>
          </w:tblCellMar>
        </w:tblPrEx>
        <w:trPr>
          <w:trHeight w:val="681" w:hRule="atLeast"/>
          <w:jc w:val="center"/>
        </w:trPr>
        <w:tc>
          <w:tcPr>
            <w:tcW w:w="3589" w:type="dxa"/>
          </w:tcPr>
          <w:p w14:paraId="5D55EB3C">
            <w:pPr>
              <w:rPr>
                <w:rFonts w:hint="eastAsia" w:ascii="宋体" w:hAnsi="宋体"/>
                <w:color w:val="auto"/>
                <w:sz w:val="22"/>
                <w:szCs w:val="22"/>
                <w:highlight w:val="none"/>
              </w:rPr>
            </w:pPr>
            <w:r>
              <w:rPr>
                <w:rFonts w:hint="eastAsia" w:ascii="宋体" w:hAnsi="宋体"/>
                <w:color w:val="auto"/>
                <w:sz w:val="22"/>
                <w:szCs w:val="22"/>
                <w:highlight w:val="none"/>
              </w:rPr>
              <w:t>甲方：</w:t>
            </w:r>
            <w:r>
              <w:rPr>
                <w:rFonts w:hint="eastAsia" w:ascii="宋体" w:hAnsi="宋体"/>
                <w:color w:val="auto"/>
                <w:sz w:val="22"/>
                <w:szCs w:val="22"/>
                <w:highlight w:val="none"/>
                <w:u w:val="single"/>
              </w:rPr>
              <w:t xml:space="preserve">                        </w:t>
            </w:r>
          </w:p>
        </w:tc>
        <w:tc>
          <w:tcPr>
            <w:tcW w:w="942" w:type="dxa"/>
          </w:tcPr>
          <w:p w14:paraId="36D5D84C">
            <w:pPr>
              <w:rPr>
                <w:rFonts w:hint="eastAsia" w:ascii="宋体" w:hAnsi="宋体"/>
                <w:color w:val="auto"/>
                <w:sz w:val="22"/>
                <w:szCs w:val="22"/>
                <w:highlight w:val="none"/>
              </w:rPr>
            </w:pPr>
          </w:p>
        </w:tc>
        <w:tc>
          <w:tcPr>
            <w:tcW w:w="3433" w:type="dxa"/>
          </w:tcPr>
          <w:p w14:paraId="187EA083">
            <w:pPr>
              <w:rPr>
                <w:rFonts w:hint="eastAsia" w:ascii="宋体" w:hAnsi="宋体"/>
                <w:color w:val="auto"/>
                <w:sz w:val="22"/>
                <w:szCs w:val="22"/>
                <w:highlight w:val="none"/>
                <w:u w:val="single"/>
              </w:rPr>
            </w:pPr>
            <w:r>
              <w:rPr>
                <w:rFonts w:hint="eastAsia" w:ascii="宋体" w:hAnsi="宋体"/>
                <w:color w:val="auto"/>
                <w:sz w:val="22"/>
                <w:szCs w:val="22"/>
                <w:highlight w:val="none"/>
              </w:rPr>
              <w:t>乙方：</w:t>
            </w:r>
            <w:r>
              <w:rPr>
                <w:rFonts w:hint="eastAsia" w:ascii="宋体" w:hAnsi="宋体"/>
                <w:color w:val="auto"/>
                <w:sz w:val="22"/>
                <w:szCs w:val="22"/>
                <w:highlight w:val="none"/>
                <w:u w:val="single"/>
              </w:rPr>
              <w:t xml:space="preserve">                     </w:t>
            </w:r>
          </w:p>
        </w:tc>
      </w:tr>
      <w:tr w14:paraId="19B90B80">
        <w:tblPrEx>
          <w:tblCellMar>
            <w:top w:w="0" w:type="dxa"/>
            <w:left w:w="108" w:type="dxa"/>
            <w:bottom w:w="0" w:type="dxa"/>
            <w:right w:w="108" w:type="dxa"/>
          </w:tblCellMar>
        </w:tblPrEx>
        <w:trPr>
          <w:jc w:val="center"/>
        </w:trPr>
        <w:tc>
          <w:tcPr>
            <w:tcW w:w="3589" w:type="dxa"/>
          </w:tcPr>
          <w:p w14:paraId="365EA583">
            <w:pPr>
              <w:rPr>
                <w:rFonts w:hint="eastAsia" w:ascii="宋体" w:hAnsi="宋体"/>
                <w:color w:val="auto"/>
                <w:sz w:val="22"/>
                <w:szCs w:val="22"/>
                <w:highlight w:val="none"/>
                <w:u w:val="single"/>
              </w:rPr>
            </w:pPr>
            <w:r>
              <w:rPr>
                <w:rFonts w:hint="eastAsia" w:ascii="宋体" w:hAnsi="宋体"/>
                <w:color w:val="auto"/>
                <w:sz w:val="22"/>
                <w:szCs w:val="22"/>
                <w:highlight w:val="none"/>
              </w:rPr>
              <w:t>法定代表人：</w:t>
            </w:r>
            <w:r>
              <w:rPr>
                <w:rFonts w:hint="eastAsia" w:ascii="宋体" w:hAnsi="宋体"/>
                <w:color w:val="auto"/>
                <w:sz w:val="22"/>
                <w:szCs w:val="22"/>
                <w:highlight w:val="none"/>
                <w:u w:val="single"/>
              </w:rPr>
              <w:t xml:space="preserve">                  </w:t>
            </w:r>
          </w:p>
          <w:p w14:paraId="4DF42485">
            <w:pPr>
              <w:rPr>
                <w:rFonts w:hint="eastAsia" w:ascii="宋体" w:hAnsi="宋体"/>
                <w:color w:val="auto"/>
                <w:sz w:val="22"/>
                <w:szCs w:val="22"/>
                <w:highlight w:val="none"/>
              </w:rPr>
            </w:pPr>
          </w:p>
        </w:tc>
        <w:tc>
          <w:tcPr>
            <w:tcW w:w="942" w:type="dxa"/>
          </w:tcPr>
          <w:p w14:paraId="789F06F1">
            <w:pPr>
              <w:rPr>
                <w:rFonts w:hint="eastAsia" w:ascii="宋体" w:hAnsi="宋体"/>
                <w:color w:val="auto"/>
                <w:sz w:val="22"/>
                <w:szCs w:val="22"/>
                <w:highlight w:val="none"/>
              </w:rPr>
            </w:pPr>
          </w:p>
        </w:tc>
        <w:tc>
          <w:tcPr>
            <w:tcW w:w="3433" w:type="dxa"/>
          </w:tcPr>
          <w:p w14:paraId="718E32E5">
            <w:pPr>
              <w:rPr>
                <w:rFonts w:hint="eastAsia" w:ascii="宋体" w:hAnsi="宋体"/>
                <w:color w:val="auto"/>
                <w:sz w:val="22"/>
                <w:szCs w:val="22"/>
                <w:highlight w:val="none"/>
                <w:u w:val="single"/>
              </w:rPr>
            </w:pPr>
            <w:r>
              <w:rPr>
                <w:rFonts w:hint="eastAsia" w:ascii="宋体" w:hAnsi="宋体"/>
                <w:color w:val="auto"/>
                <w:sz w:val="22"/>
                <w:szCs w:val="22"/>
                <w:highlight w:val="none"/>
              </w:rPr>
              <w:t>法定代表人：</w:t>
            </w:r>
            <w:r>
              <w:rPr>
                <w:rFonts w:hint="eastAsia" w:ascii="宋体" w:hAnsi="宋体"/>
                <w:color w:val="auto"/>
                <w:sz w:val="22"/>
                <w:szCs w:val="22"/>
                <w:highlight w:val="none"/>
                <w:u w:val="single"/>
              </w:rPr>
              <w:t xml:space="preserve">               </w:t>
            </w:r>
          </w:p>
        </w:tc>
      </w:tr>
      <w:tr w14:paraId="1280CA24">
        <w:tblPrEx>
          <w:tblCellMar>
            <w:top w:w="0" w:type="dxa"/>
            <w:left w:w="108" w:type="dxa"/>
            <w:bottom w:w="0" w:type="dxa"/>
            <w:right w:w="108" w:type="dxa"/>
          </w:tblCellMar>
        </w:tblPrEx>
        <w:trPr>
          <w:jc w:val="center"/>
        </w:trPr>
        <w:tc>
          <w:tcPr>
            <w:tcW w:w="3589" w:type="dxa"/>
          </w:tcPr>
          <w:p w14:paraId="6626C712">
            <w:pPr>
              <w:rPr>
                <w:rFonts w:hint="eastAsia" w:ascii="宋体" w:hAnsi="宋体"/>
                <w:color w:val="auto"/>
                <w:sz w:val="22"/>
                <w:szCs w:val="22"/>
                <w:highlight w:val="none"/>
                <w:u w:val="single"/>
              </w:rPr>
            </w:pPr>
            <w:r>
              <w:rPr>
                <w:rFonts w:hint="eastAsia" w:ascii="宋体" w:hAnsi="宋体"/>
                <w:color w:val="auto"/>
                <w:sz w:val="22"/>
                <w:szCs w:val="22"/>
                <w:highlight w:val="none"/>
              </w:rPr>
              <w:t>或委托代理人（签字）：</w:t>
            </w:r>
            <w:r>
              <w:rPr>
                <w:rFonts w:hint="eastAsia" w:ascii="宋体" w:hAnsi="宋体"/>
                <w:color w:val="auto"/>
                <w:sz w:val="22"/>
                <w:szCs w:val="22"/>
                <w:highlight w:val="none"/>
                <w:u w:val="single"/>
              </w:rPr>
              <w:t xml:space="preserve">        </w:t>
            </w:r>
          </w:p>
          <w:p w14:paraId="128BFA64">
            <w:pPr>
              <w:rPr>
                <w:rFonts w:hint="eastAsia" w:ascii="宋体" w:hAnsi="宋体"/>
                <w:color w:val="auto"/>
                <w:sz w:val="22"/>
                <w:szCs w:val="22"/>
                <w:highlight w:val="none"/>
              </w:rPr>
            </w:pPr>
          </w:p>
        </w:tc>
        <w:tc>
          <w:tcPr>
            <w:tcW w:w="942" w:type="dxa"/>
          </w:tcPr>
          <w:p w14:paraId="5F9BB739">
            <w:pPr>
              <w:rPr>
                <w:rFonts w:hint="eastAsia" w:ascii="宋体" w:hAnsi="宋体"/>
                <w:color w:val="auto"/>
                <w:sz w:val="22"/>
                <w:szCs w:val="22"/>
                <w:highlight w:val="none"/>
              </w:rPr>
            </w:pPr>
          </w:p>
        </w:tc>
        <w:tc>
          <w:tcPr>
            <w:tcW w:w="3433" w:type="dxa"/>
          </w:tcPr>
          <w:p w14:paraId="02AC20C9">
            <w:pPr>
              <w:rPr>
                <w:rFonts w:hint="eastAsia" w:ascii="宋体" w:hAnsi="宋体"/>
                <w:color w:val="auto"/>
                <w:sz w:val="22"/>
                <w:szCs w:val="22"/>
                <w:highlight w:val="none"/>
                <w:u w:val="single"/>
              </w:rPr>
            </w:pPr>
            <w:r>
              <w:rPr>
                <w:rFonts w:hint="eastAsia" w:ascii="宋体" w:hAnsi="宋体"/>
                <w:color w:val="auto"/>
                <w:sz w:val="22"/>
                <w:szCs w:val="22"/>
                <w:highlight w:val="none"/>
              </w:rPr>
              <w:t>或委托代理人（签字）：</w:t>
            </w:r>
            <w:r>
              <w:rPr>
                <w:rFonts w:hint="eastAsia" w:ascii="宋体" w:hAnsi="宋体"/>
                <w:color w:val="auto"/>
                <w:sz w:val="22"/>
                <w:szCs w:val="22"/>
                <w:highlight w:val="none"/>
                <w:u w:val="single"/>
              </w:rPr>
              <w:t xml:space="preserve">      </w:t>
            </w:r>
          </w:p>
        </w:tc>
      </w:tr>
      <w:tr w14:paraId="2CD0D157">
        <w:tblPrEx>
          <w:tblCellMar>
            <w:top w:w="0" w:type="dxa"/>
            <w:left w:w="108" w:type="dxa"/>
            <w:bottom w:w="0" w:type="dxa"/>
            <w:right w:w="108" w:type="dxa"/>
          </w:tblCellMar>
        </w:tblPrEx>
        <w:trPr>
          <w:jc w:val="center"/>
        </w:trPr>
        <w:tc>
          <w:tcPr>
            <w:tcW w:w="3589" w:type="dxa"/>
          </w:tcPr>
          <w:p w14:paraId="0039A20C">
            <w:pPr>
              <w:rPr>
                <w:rFonts w:hint="eastAsia" w:ascii="宋体" w:hAnsi="宋体"/>
                <w:color w:val="auto"/>
                <w:sz w:val="22"/>
                <w:szCs w:val="22"/>
                <w:highlight w:val="none"/>
              </w:rPr>
            </w:pPr>
            <w:r>
              <w:rPr>
                <w:rFonts w:hint="eastAsia" w:ascii="宋体" w:hAnsi="宋体"/>
                <w:color w:val="auto"/>
                <w:sz w:val="22"/>
                <w:szCs w:val="22"/>
                <w:highlight w:val="none"/>
              </w:rPr>
              <w:t xml:space="preserve">日 </w:t>
            </w:r>
            <w:r>
              <w:rPr>
                <w:rFonts w:ascii="宋体" w:hAnsi="宋体"/>
                <w:color w:val="auto"/>
                <w:sz w:val="22"/>
                <w:szCs w:val="22"/>
                <w:highlight w:val="none"/>
              </w:rPr>
              <w:t xml:space="preserve"> </w:t>
            </w:r>
            <w:r>
              <w:rPr>
                <w:rFonts w:hint="eastAsia" w:ascii="宋体" w:hAnsi="宋体"/>
                <w:color w:val="auto"/>
                <w:sz w:val="22"/>
                <w:szCs w:val="22"/>
                <w:highlight w:val="none"/>
              </w:rPr>
              <w:t>期：</w:t>
            </w:r>
            <w:r>
              <w:rPr>
                <w:rFonts w:hint="eastAsia" w:ascii="宋体" w:hAnsi="宋体"/>
                <w:color w:val="auto"/>
                <w:sz w:val="22"/>
                <w:szCs w:val="22"/>
                <w:highlight w:val="none"/>
                <w:u w:val="single"/>
              </w:rPr>
              <w:t xml:space="preserve">   </w:t>
            </w:r>
            <w:r>
              <w:rPr>
                <w:rFonts w:ascii="宋体" w:hAnsi="宋体"/>
                <w:color w:val="auto"/>
                <w:sz w:val="22"/>
                <w:szCs w:val="22"/>
                <w:highlight w:val="none"/>
              </w:rPr>
              <w:t>年</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rPr>
              <w:t>月</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日</w:t>
            </w:r>
          </w:p>
        </w:tc>
        <w:tc>
          <w:tcPr>
            <w:tcW w:w="942" w:type="dxa"/>
          </w:tcPr>
          <w:p w14:paraId="41578668">
            <w:pPr>
              <w:rPr>
                <w:rFonts w:hint="eastAsia" w:ascii="宋体" w:hAnsi="宋体"/>
                <w:color w:val="auto"/>
                <w:sz w:val="22"/>
                <w:szCs w:val="22"/>
                <w:highlight w:val="none"/>
              </w:rPr>
            </w:pPr>
          </w:p>
        </w:tc>
        <w:tc>
          <w:tcPr>
            <w:tcW w:w="3433" w:type="dxa"/>
          </w:tcPr>
          <w:p w14:paraId="3264F1FE">
            <w:pPr>
              <w:rPr>
                <w:rFonts w:hint="eastAsia" w:ascii="宋体" w:hAnsi="宋体"/>
                <w:color w:val="auto"/>
                <w:sz w:val="22"/>
                <w:szCs w:val="22"/>
                <w:highlight w:val="none"/>
              </w:rPr>
            </w:pPr>
            <w:r>
              <w:rPr>
                <w:rFonts w:hint="eastAsia" w:ascii="宋体" w:hAnsi="宋体"/>
                <w:color w:val="auto"/>
                <w:sz w:val="22"/>
                <w:szCs w:val="22"/>
                <w:highlight w:val="none"/>
              </w:rPr>
              <w:t xml:space="preserve">日 </w:t>
            </w:r>
            <w:r>
              <w:rPr>
                <w:rFonts w:ascii="宋体" w:hAnsi="宋体"/>
                <w:color w:val="auto"/>
                <w:sz w:val="22"/>
                <w:szCs w:val="22"/>
                <w:highlight w:val="none"/>
              </w:rPr>
              <w:t xml:space="preserve"> </w:t>
            </w:r>
            <w:r>
              <w:rPr>
                <w:rFonts w:hint="eastAsia" w:ascii="宋体" w:hAnsi="宋体"/>
                <w:color w:val="auto"/>
                <w:sz w:val="22"/>
                <w:szCs w:val="22"/>
                <w:highlight w:val="none"/>
              </w:rPr>
              <w:t>期：</w:t>
            </w:r>
            <w:r>
              <w:rPr>
                <w:rFonts w:hint="eastAsia" w:ascii="宋体" w:hAnsi="宋体"/>
                <w:color w:val="auto"/>
                <w:sz w:val="22"/>
                <w:szCs w:val="22"/>
                <w:highlight w:val="none"/>
                <w:u w:val="single"/>
              </w:rPr>
              <w:t xml:space="preserve">    </w:t>
            </w:r>
            <w:r>
              <w:rPr>
                <w:rFonts w:ascii="宋体" w:hAnsi="宋体"/>
                <w:color w:val="auto"/>
                <w:sz w:val="22"/>
                <w:szCs w:val="22"/>
                <w:highlight w:val="none"/>
              </w:rPr>
              <w:t>年</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月</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rPr>
              <w:t>日</w:t>
            </w:r>
          </w:p>
          <w:p w14:paraId="1426416B">
            <w:pPr>
              <w:rPr>
                <w:rFonts w:hint="eastAsia" w:ascii="宋体" w:hAnsi="宋体"/>
                <w:color w:val="auto"/>
                <w:sz w:val="22"/>
                <w:szCs w:val="22"/>
                <w:highlight w:val="none"/>
              </w:rPr>
            </w:pPr>
          </w:p>
        </w:tc>
      </w:tr>
    </w:tbl>
    <w:p w14:paraId="6EA12766">
      <w:pPr>
        <w:widowControl/>
        <w:jc w:val="left"/>
        <w:rPr>
          <w:rFonts w:hint="eastAsia" w:ascii="宋体" w:hAnsi="宋体"/>
          <w:color w:val="auto"/>
          <w:sz w:val="24"/>
          <w:highlight w:val="none"/>
        </w:rPr>
      </w:pPr>
      <w:r>
        <w:rPr>
          <w:rFonts w:hint="eastAsia" w:ascii="宋体" w:hAnsi="宋体"/>
          <w:color w:val="auto"/>
          <w:sz w:val="24"/>
          <w:highlight w:val="none"/>
        </w:rPr>
        <w:br w:type="page"/>
      </w:r>
    </w:p>
    <w:p w14:paraId="6D99787B">
      <w:pPr>
        <w:spacing w:line="360" w:lineRule="auto"/>
        <w:rPr>
          <w:rFonts w:hint="eastAsia" w:ascii="宋体" w:hAnsi="宋体"/>
          <w:color w:val="auto"/>
          <w:sz w:val="24"/>
          <w:highlight w:val="none"/>
        </w:rPr>
      </w:pPr>
      <w:r>
        <w:rPr>
          <w:rFonts w:hint="eastAsia" w:ascii="宋体" w:hAnsi="宋体"/>
          <w:color w:val="auto"/>
          <w:sz w:val="24"/>
          <w:highlight w:val="none"/>
        </w:rPr>
        <w:t>附件2</w:t>
      </w:r>
      <w:r>
        <w:rPr>
          <w:rFonts w:ascii="宋体" w:hAnsi="宋体"/>
          <w:color w:val="auto"/>
          <w:sz w:val="24"/>
          <w:highlight w:val="none"/>
        </w:rPr>
        <w:t>：项目监理机构及驻场监理人员</w:t>
      </w:r>
    </w:p>
    <w:tbl>
      <w:tblPr>
        <w:tblStyle w:val="8"/>
        <w:tblW w:w="10776" w:type="dxa"/>
        <w:jc w:val="center"/>
        <w:tblLayout w:type="fixed"/>
        <w:tblCellMar>
          <w:top w:w="0" w:type="dxa"/>
          <w:left w:w="108" w:type="dxa"/>
          <w:bottom w:w="0" w:type="dxa"/>
          <w:right w:w="108" w:type="dxa"/>
        </w:tblCellMar>
      </w:tblPr>
      <w:tblGrid>
        <w:gridCol w:w="729"/>
        <w:gridCol w:w="1716"/>
        <w:gridCol w:w="966"/>
        <w:gridCol w:w="1138"/>
        <w:gridCol w:w="1400"/>
        <w:gridCol w:w="1517"/>
        <w:gridCol w:w="950"/>
        <w:gridCol w:w="1218"/>
        <w:gridCol w:w="1142"/>
      </w:tblGrid>
      <w:tr w14:paraId="7802D599">
        <w:tblPrEx>
          <w:tblCellMar>
            <w:top w:w="0" w:type="dxa"/>
            <w:left w:w="108" w:type="dxa"/>
            <w:bottom w:w="0" w:type="dxa"/>
            <w:right w:w="108" w:type="dxa"/>
          </w:tblCellMar>
        </w:tblPrEx>
        <w:trPr>
          <w:jc w:val="center"/>
        </w:trPr>
        <w:tc>
          <w:tcPr>
            <w:tcW w:w="729" w:type="dxa"/>
            <w:vMerge w:val="restart"/>
            <w:tcBorders>
              <w:top w:val="single" w:color="auto" w:sz="4" w:space="0"/>
              <w:left w:val="single" w:color="auto" w:sz="4" w:space="0"/>
              <w:bottom w:val="single" w:color="auto" w:sz="4" w:space="0"/>
              <w:right w:val="single" w:color="auto" w:sz="4" w:space="0"/>
            </w:tcBorders>
            <w:noWrap/>
            <w:vAlign w:val="center"/>
          </w:tcPr>
          <w:p w14:paraId="7F3F5667">
            <w:pPr>
              <w:spacing w:before="160" w:line="360" w:lineRule="auto"/>
              <w:jc w:val="center"/>
              <w:rPr>
                <w:rFonts w:hint="eastAsia" w:ascii="宋体" w:hAnsi="宋体"/>
                <w:color w:val="auto"/>
                <w:sz w:val="24"/>
                <w:highlight w:val="none"/>
              </w:rPr>
            </w:pPr>
            <w:r>
              <w:rPr>
                <w:rFonts w:hint="eastAsia" w:ascii="宋体" w:hAnsi="宋体"/>
                <w:color w:val="auto"/>
                <w:sz w:val="24"/>
                <w:highlight w:val="none"/>
              </w:rPr>
              <w:t>序号</w:t>
            </w:r>
          </w:p>
        </w:tc>
        <w:tc>
          <w:tcPr>
            <w:tcW w:w="1716" w:type="dxa"/>
            <w:vMerge w:val="restart"/>
            <w:tcBorders>
              <w:top w:val="single" w:color="auto" w:sz="4" w:space="0"/>
              <w:left w:val="nil"/>
              <w:bottom w:val="single" w:color="auto" w:sz="4" w:space="0"/>
              <w:right w:val="single" w:color="auto" w:sz="4" w:space="0"/>
            </w:tcBorders>
            <w:noWrap/>
            <w:vAlign w:val="center"/>
          </w:tcPr>
          <w:p w14:paraId="0585F920">
            <w:pPr>
              <w:spacing w:before="160" w:line="360" w:lineRule="auto"/>
              <w:jc w:val="center"/>
              <w:rPr>
                <w:rFonts w:hint="eastAsia" w:ascii="宋体" w:hAnsi="宋体"/>
                <w:color w:val="auto"/>
                <w:sz w:val="24"/>
                <w:highlight w:val="none"/>
              </w:rPr>
            </w:pPr>
            <w:r>
              <w:rPr>
                <w:rFonts w:hint="eastAsia" w:ascii="宋体" w:hAnsi="宋体"/>
                <w:color w:val="auto"/>
                <w:sz w:val="24"/>
                <w:highlight w:val="none"/>
              </w:rPr>
              <w:t>本项目任职</w:t>
            </w:r>
          </w:p>
        </w:tc>
        <w:tc>
          <w:tcPr>
            <w:tcW w:w="966" w:type="dxa"/>
            <w:vMerge w:val="restart"/>
            <w:tcBorders>
              <w:top w:val="single" w:color="auto" w:sz="4" w:space="0"/>
              <w:left w:val="nil"/>
              <w:bottom w:val="single" w:color="auto" w:sz="4" w:space="0"/>
              <w:right w:val="single" w:color="auto" w:sz="4" w:space="0"/>
            </w:tcBorders>
            <w:noWrap/>
            <w:vAlign w:val="center"/>
          </w:tcPr>
          <w:p w14:paraId="4899C33C">
            <w:pPr>
              <w:spacing w:before="160" w:line="360" w:lineRule="auto"/>
              <w:jc w:val="center"/>
              <w:rPr>
                <w:rFonts w:hint="eastAsia" w:ascii="宋体" w:hAnsi="宋体"/>
                <w:color w:val="auto"/>
                <w:sz w:val="24"/>
                <w:highlight w:val="none"/>
              </w:rPr>
            </w:pPr>
            <w:r>
              <w:rPr>
                <w:rFonts w:hint="eastAsia" w:ascii="宋体" w:hAnsi="宋体"/>
                <w:color w:val="auto"/>
                <w:sz w:val="24"/>
                <w:highlight w:val="none"/>
              </w:rPr>
              <w:t>姓名</w:t>
            </w:r>
          </w:p>
        </w:tc>
        <w:tc>
          <w:tcPr>
            <w:tcW w:w="1138" w:type="dxa"/>
            <w:vMerge w:val="restart"/>
            <w:tcBorders>
              <w:top w:val="single" w:color="auto" w:sz="4" w:space="0"/>
              <w:left w:val="nil"/>
              <w:bottom w:val="single" w:color="auto" w:sz="4" w:space="0"/>
              <w:right w:val="single" w:color="auto" w:sz="4" w:space="0"/>
            </w:tcBorders>
            <w:noWrap/>
            <w:vAlign w:val="center"/>
          </w:tcPr>
          <w:p w14:paraId="01056E19">
            <w:pPr>
              <w:spacing w:before="160" w:line="360" w:lineRule="auto"/>
              <w:jc w:val="center"/>
              <w:rPr>
                <w:rFonts w:hint="eastAsia" w:ascii="宋体" w:hAnsi="宋体"/>
                <w:color w:val="auto"/>
                <w:sz w:val="24"/>
                <w:highlight w:val="none"/>
              </w:rPr>
            </w:pPr>
            <w:r>
              <w:rPr>
                <w:rFonts w:hint="eastAsia" w:ascii="宋体" w:hAnsi="宋体"/>
                <w:color w:val="auto"/>
                <w:sz w:val="24"/>
                <w:highlight w:val="none"/>
              </w:rPr>
              <w:t>职称</w:t>
            </w:r>
          </w:p>
        </w:tc>
        <w:tc>
          <w:tcPr>
            <w:tcW w:w="1400" w:type="dxa"/>
            <w:vMerge w:val="restart"/>
            <w:tcBorders>
              <w:top w:val="single" w:color="auto" w:sz="4" w:space="0"/>
              <w:left w:val="nil"/>
              <w:bottom w:val="single" w:color="auto" w:sz="4" w:space="0"/>
              <w:right w:val="single" w:color="auto" w:sz="4" w:space="0"/>
            </w:tcBorders>
            <w:noWrap/>
            <w:vAlign w:val="center"/>
          </w:tcPr>
          <w:p w14:paraId="3D38F217">
            <w:pPr>
              <w:spacing w:before="160" w:line="360" w:lineRule="auto"/>
              <w:jc w:val="center"/>
              <w:rPr>
                <w:rFonts w:hint="eastAsia" w:ascii="宋体" w:hAnsi="宋体"/>
                <w:color w:val="auto"/>
                <w:sz w:val="24"/>
                <w:highlight w:val="none"/>
              </w:rPr>
            </w:pPr>
            <w:r>
              <w:rPr>
                <w:rFonts w:hint="eastAsia" w:ascii="宋体" w:hAnsi="宋体"/>
                <w:color w:val="auto"/>
                <w:sz w:val="24"/>
                <w:highlight w:val="none"/>
              </w:rPr>
              <w:t>专业</w:t>
            </w:r>
          </w:p>
        </w:tc>
        <w:tc>
          <w:tcPr>
            <w:tcW w:w="3685" w:type="dxa"/>
            <w:gridSpan w:val="3"/>
            <w:tcBorders>
              <w:top w:val="single" w:color="auto" w:sz="4" w:space="0"/>
              <w:left w:val="nil"/>
              <w:bottom w:val="single" w:color="auto" w:sz="4" w:space="0"/>
              <w:right w:val="single" w:color="auto" w:sz="4" w:space="0"/>
            </w:tcBorders>
            <w:noWrap/>
            <w:vAlign w:val="center"/>
          </w:tcPr>
          <w:p w14:paraId="4D02AE5D">
            <w:pPr>
              <w:spacing w:before="160" w:line="360" w:lineRule="auto"/>
              <w:jc w:val="center"/>
              <w:rPr>
                <w:rFonts w:hint="eastAsia" w:ascii="宋体" w:hAnsi="宋体"/>
                <w:color w:val="auto"/>
                <w:sz w:val="24"/>
                <w:highlight w:val="none"/>
              </w:rPr>
            </w:pPr>
            <w:r>
              <w:rPr>
                <w:rFonts w:hint="eastAsia" w:ascii="宋体" w:hAnsi="宋体"/>
                <w:color w:val="auto"/>
                <w:sz w:val="24"/>
                <w:highlight w:val="none"/>
              </w:rPr>
              <w:t>执业或职业资格证明</w:t>
            </w:r>
          </w:p>
        </w:tc>
        <w:tc>
          <w:tcPr>
            <w:tcW w:w="1142" w:type="dxa"/>
            <w:tcBorders>
              <w:top w:val="single" w:color="auto" w:sz="4" w:space="0"/>
              <w:left w:val="nil"/>
              <w:bottom w:val="single" w:color="auto" w:sz="4" w:space="0"/>
              <w:right w:val="single" w:color="auto" w:sz="4" w:space="0"/>
            </w:tcBorders>
            <w:noWrap/>
            <w:vAlign w:val="center"/>
          </w:tcPr>
          <w:p w14:paraId="553DF5D0">
            <w:pPr>
              <w:spacing w:before="160" w:line="360" w:lineRule="auto"/>
              <w:jc w:val="center"/>
              <w:rPr>
                <w:rFonts w:hint="eastAsia" w:ascii="宋体" w:hAnsi="宋体"/>
                <w:color w:val="auto"/>
                <w:sz w:val="24"/>
                <w:highlight w:val="none"/>
              </w:rPr>
            </w:pPr>
            <w:r>
              <w:rPr>
                <w:rFonts w:hint="eastAsia" w:ascii="宋体" w:hAnsi="宋体"/>
                <w:color w:val="auto"/>
                <w:sz w:val="24"/>
                <w:highlight w:val="none"/>
              </w:rPr>
              <w:t>备注</w:t>
            </w:r>
          </w:p>
        </w:tc>
      </w:tr>
      <w:tr w14:paraId="063C8C53">
        <w:tblPrEx>
          <w:tblCellMar>
            <w:top w:w="0" w:type="dxa"/>
            <w:left w:w="108" w:type="dxa"/>
            <w:bottom w:w="0" w:type="dxa"/>
            <w:right w:w="108" w:type="dxa"/>
          </w:tblCellMar>
        </w:tblPrEx>
        <w:trPr>
          <w:jc w:val="center"/>
        </w:trPr>
        <w:tc>
          <w:tcPr>
            <w:tcW w:w="729" w:type="dxa"/>
            <w:vMerge w:val="continue"/>
            <w:tcBorders>
              <w:top w:val="single" w:color="auto" w:sz="4" w:space="0"/>
              <w:left w:val="single" w:color="auto" w:sz="4" w:space="0"/>
              <w:bottom w:val="single" w:color="auto" w:sz="4" w:space="0"/>
              <w:right w:val="single" w:color="auto" w:sz="4" w:space="0"/>
            </w:tcBorders>
            <w:noWrap/>
            <w:vAlign w:val="center"/>
          </w:tcPr>
          <w:p w14:paraId="2DC6FB86">
            <w:pPr>
              <w:widowControl/>
              <w:spacing w:before="160" w:line="360" w:lineRule="auto"/>
              <w:jc w:val="left"/>
              <w:rPr>
                <w:rFonts w:hint="eastAsia" w:ascii="宋体" w:hAnsi="宋体"/>
                <w:color w:val="auto"/>
                <w:sz w:val="24"/>
                <w:highlight w:val="none"/>
              </w:rPr>
            </w:pPr>
          </w:p>
        </w:tc>
        <w:tc>
          <w:tcPr>
            <w:tcW w:w="1716" w:type="dxa"/>
            <w:vMerge w:val="continue"/>
            <w:tcBorders>
              <w:top w:val="single" w:color="auto" w:sz="4" w:space="0"/>
              <w:left w:val="nil"/>
              <w:bottom w:val="single" w:color="auto" w:sz="4" w:space="0"/>
              <w:right w:val="single" w:color="auto" w:sz="4" w:space="0"/>
            </w:tcBorders>
            <w:noWrap/>
            <w:vAlign w:val="center"/>
          </w:tcPr>
          <w:p w14:paraId="20AD61ED">
            <w:pPr>
              <w:widowControl/>
              <w:spacing w:before="160" w:line="360" w:lineRule="auto"/>
              <w:jc w:val="left"/>
              <w:rPr>
                <w:rFonts w:hint="eastAsia" w:ascii="宋体" w:hAnsi="宋体"/>
                <w:color w:val="auto"/>
                <w:sz w:val="24"/>
                <w:highlight w:val="none"/>
              </w:rPr>
            </w:pPr>
          </w:p>
        </w:tc>
        <w:tc>
          <w:tcPr>
            <w:tcW w:w="966" w:type="dxa"/>
            <w:vMerge w:val="continue"/>
            <w:tcBorders>
              <w:top w:val="single" w:color="auto" w:sz="4" w:space="0"/>
              <w:left w:val="nil"/>
              <w:bottom w:val="single" w:color="auto" w:sz="4" w:space="0"/>
              <w:right w:val="single" w:color="auto" w:sz="4" w:space="0"/>
            </w:tcBorders>
            <w:noWrap/>
            <w:vAlign w:val="center"/>
          </w:tcPr>
          <w:p w14:paraId="5575E43E">
            <w:pPr>
              <w:widowControl/>
              <w:spacing w:before="160" w:line="360" w:lineRule="auto"/>
              <w:jc w:val="left"/>
              <w:rPr>
                <w:rFonts w:hint="eastAsia" w:ascii="宋体" w:hAnsi="宋体"/>
                <w:color w:val="auto"/>
                <w:sz w:val="24"/>
                <w:highlight w:val="none"/>
              </w:rPr>
            </w:pPr>
          </w:p>
        </w:tc>
        <w:tc>
          <w:tcPr>
            <w:tcW w:w="1138" w:type="dxa"/>
            <w:vMerge w:val="continue"/>
            <w:tcBorders>
              <w:top w:val="single" w:color="auto" w:sz="4" w:space="0"/>
              <w:left w:val="nil"/>
              <w:bottom w:val="single" w:color="auto" w:sz="4" w:space="0"/>
              <w:right w:val="single" w:color="auto" w:sz="4" w:space="0"/>
            </w:tcBorders>
            <w:noWrap/>
            <w:vAlign w:val="center"/>
          </w:tcPr>
          <w:p w14:paraId="7B71B997">
            <w:pPr>
              <w:widowControl/>
              <w:spacing w:before="160" w:line="360" w:lineRule="auto"/>
              <w:jc w:val="left"/>
              <w:rPr>
                <w:rFonts w:hint="eastAsia" w:ascii="宋体" w:hAnsi="宋体"/>
                <w:color w:val="auto"/>
                <w:sz w:val="24"/>
                <w:highlight w:val="none"/>
              </w:rPr>
            </w:pPr>
          </w:p>
        </w:tc>
        <w:tc>
          <w:tcPr>
            <w:tcW w:w="1400" w:type="dxa"/>
            <w:vMerge w:val="continue"/>
            <w:tcBorders>
              <w:top w:val="single" w:color="auto" w:sz="4" w:space="0"/>
              <w:left w:val="nil"/>
              <w:bottom w:val="single" w:color="auto" w:sz="4" w:space="0"/>
              <w:right w:val="single" w:color="auto" w:sz="4" w:space="0"/>
            </w:tcBorders>
            <w:noWrap/>
            <w:vAlign w:val="center"/>
          </w:tcPr>
          <w:p w14:paraId="54B522B0">
            <w:pPr>
              <w:widowControl/>
              <w:spacing w:before="160" w:line="360" w:lineRule="auto"/>
              <w:jc w:val="left"/>
              <w:rPr>
                <w:rFonts w:hint="eastAsia" w:ascii="宋体" w:hAnsi="宋体"/>
                <w:color w:val="auto"/>
                <w:sz w:val="24"/>
                <w:highlight w:val="none"/>
              </w:rPr>
            </w:pPr>
          </w:p>
        </w:tc>
        <w:tc>
          <w:tcPr>
            <w:tcW w:w="1517" w:type="dxa"/>
            <w:tcBorders>
              <w:top w:val="single" w:color="auto" w:sz="4" w:space="0"/>
              <w:left w:val="nil"/>
              <w:bottom w:val="single" w:color="auto" w:sz="4" w:space="0"/>
              <w:right w:val="single" w:color="auto" w:sz="4" w:space="0"/>
            </w:tcBorders>
            <w:noWrap/>
            <w:vAlign w:val="center"/>
          </w:tcPr>
          <w:p w14:paraId="639B6B5C">
            <w:pPr>
              <w:spacing w:before="100" w:beforeAutospacing="1" w:after="100" w:afterAutospacing="1" w:line="360" w:lineRule="auto"/>
              <w:jc w:val="center"/>
              <w:rPr>
                <w:rFonts w:hint="eastAsia" w:ascii="宋体" w:hAnsi="宋体"/>
                <w:color w:val="auto"/>
                <w:sz w:val="24"/>
                <w:highlight w:val="none"/>
              </w:rPr>
            </w:pPr>
            <w:r>
              <w:rPr>
                <w:rFonts w:hint="eastAsia" w:ascii="宋体" w:hAnsi="宋体"/>
                <w:color w:val="auto"/>
                <w:sz w:val="24"/>
                <w:highlight w:val="none"/>
              </w:rPr>
              <w:t>证书名称</w:t>
            </w:r>
          </w:p>
        </w:tc>
        <w:tc>
          <w:tcPr>
            <w:tcW w:w="950" w:type="dxa"/>
            <w:tcBorders>
              <w:top w:val="single" w:color="auto" w:sz="4" w:space="0"/>
              <w:left w:val="nil"/>
              <w:bottom w:val="single" w:color="auto" w:sz="4" w:space="0"/>
              <w:right w:val="single" w:color="auto" w:sz="4" w:space="0"/>
            </w:tcBorders>
            <w:noWrap/>
            <w:vAlign w:val="center"/>
          </w:tcPr>
          <w:p w14:paraId="60FA9F92">
            <w:pPr>
              <w:spacing w:before="100" w:beforeAutospacing="1" w:after="100" w:afterAutospacing="1" w:line="360" w:lineRule="auto"/>
              <w:jc w:val="center"/>
              <w:rPr>
                <w:rFonts w:hint="eastAsia" w:ascii="宋体" w:hAnsi="宋体"/>
                <w:color w:val="auto"/>
                <w:sz w:val="24"/>
                <w:highlight w:val="none"/>
              </w:rPr>
            </w:pPr>
            <w:r>
              <w:rPr>
                <w:rFonts w:hint="eastAsia" w:ascii="宋体" w:hAnsi="宋体"/>
                <w:color w:val="auto"/>
                <w:sz w:val="24"/>
                <w:highlight w:val="none"/>
              </w:rPr>
              <w:t>级别</w:t>
            </w:r>
          </w:p>
        </w:tc>
        <w:tc>
          <w:tcPr>
            <w:tcW w:w="1218" w:type="dxa"/>
            <w:tcBorders>
              <w:top w:val="single" w:color="auto" w:sz="4" w:space="0"/>
              <w:left w:val="nil"/>
              <w:bottom w:val="single" w:color="auto" w:sz="4" w:space="0"/>
              <w:right w:val="single" w:color="auto" w:sz="4" w:space="0"/>
            </w:tcBorders>
            <w:noWrap/>
            <w:vAlign w:val="center"/>
          </w:tcPr>
          <w:p w14:paraId="3672CF7E">
            <w:pPr>
              <w:spacing w:before="100" w:beforeAutospacing="1" w:after="100" w:afterAutospacing="1" w:line="360" w:lineRule="auto"/>
              <w:jc w:val="center"/>
              <w:rPr>
                <w:rFonts w:hint="eastAsia" w:ascii="宋体" w:hAnsi="宋体"/>
                <w:color w:val="auto"/>
                <w:sz w:val="24"/>
                <w:highlight w:val="none"/>
              </w:rPr>
            </w:pPr>
            <w:r>
              <w:rPr>
                <w:rFonts w:hint="eastAsia" w:ascii="宋体" w:hAnsi="宋体"/>
                <w:color w:val="auto"/>
                <w:sz w:val="24"/>
                <w:highlight w:val="none"/>
              </w:rPr>
              <w:t>证号</w:t>
            </w:r>
          </w:p>
        </w:tc>
        <w:tc>
          <w:tcPr>
            <w:tcW w:w="1142" w:type="dxa"/>
            <w:tcBorders>
              <w:top w:val="single" w:color="auto" w:sz="4" w:space="0"/>
              <w:left w:val="nil"/>
              <w:bottom w:val="single" w:color="auto" w:sz="4" w:space="0"/>
              <w:right w:val="single" w:color="auto" w:sz="4" w:space="0"/>
            </w:tcBorders>
            <w:noWrap/>
            <w:vAlign w:val="center"/>
          </w:tcPr>
          <w:p w14:paraId="66022EB1">
            <w:pPr>
              <w:spacing w:before="160" w:line="360" w:lineRule="auto"/>
              <w:jc w:val="center"/>
              <w:rPr>
                <w:rFonts w:hint="eastAsia" w:ascii="宋体" w:hAnsi="宋体"/>
                <w:color w:val="auto"/>
                <w:sz w:val="24"/>
                <w:highlight w:val="none"/>
              </w:rPr>
            </w:pPr>
          </w:p>
        </w:tc>
      </w:tr>
      <w:tr w14:paraId="52A10FA9">
        <w:tblPrEx>
          <w:tblCellMar>
            <w:top w:w="0" w:type="dxa"/>
            <w:left w:w="108" w:type="dxa"/>
            <w:bottom w:w="0" w:type="dxa"/>
            <w:right w:w="108" w:type="dxa"/>
          </w:tblCellMar>
        </w:tblPrEx>
        <w:trPr>
          <w:trHeight w:val="1964" w:hRule="atLeast"/>
          <w:jc w:val="center"/>
        </w:trPr>
        <w:tc>
          <w:tcPr>
            <w:tcW w:w="729" w:type="dxa"/>
            <w:tcBorders>
              <w:top w:val="single" w:color="auto" w:sz="4" w:space="0"/>
              <w:left w:val="single" w:color="auto" w:sz="4" w:space="0"/>
              <w:bottom w:val="single" w:color="auto" w:sz="4" w:space="0"/>
              <w:right w:val="single" w:color="auto" w:sz="4" w:space="0"/>
            </w:tcBorders>
            <w:noWrap/>
            <w:vAlign w:val="center"/>
          </w:tcPr>
          <w:p w14:paraId="4E471909">
            <w:pPr>
              <w:spacing w:before="160" w:line="360"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1716" w:type="dxa"/>
            <w:tcBorders>
              <w:top w:val="single" w:color="auto" w:sz="4" w:space="0"/>
              <w:left w:val="nil"/>
              <w:bottom w:val="single" w:color="auto" w:sz="4" w:space="0"/>
              <w:right w:val="single" w:color="auto" w:sz="4" w:space="0"/>
            </w:tcBorders>
            <w:noWrap/>
            <w:vAlign w:val="center"/>
          </w:tcPr>
          <w:p w14:paraId="5B28498E">
            <w:pPr>
              <w:spacing w:before="160"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rPr>
              <w:t>总监理工程师</w:t>
            </w:r>
          </w:p>
        </w:tc>
        <w:tc>
          <w:tcPr>
            <w:tcW w:w="966" w:type="dxa"/>
            <w:tcBorders>
              <w:top w:val="single" w:color="auto" w:sz="4" w:space="0"/>
              <w:left w:val="nil"/>
              <w:bottom w:val="single" w:color="auto" w:sz="4" w:space="0"/>
              <w:right w:val="single" w:color="auto" w:sz="4" w:space="0"/>
            </w:tcBorders>
            <w:noWrap/>
            <w:vAlign w:val="center"/>
          </w:tcPr>
          <w:p w14:paraId="39372265">
            <w:pPr>
              <w:spacing w:before="160" w:line="360" w:lineRule="auto"/>
              <w:jc w:val="center"/>
              <w:rPr>
                <w:rFonts w:hint="eastAsia" w:ascii="宋体" w:hAnsi="宋体"/>
                <w:color w:val="auto"/>
                <w:sz w:val="24"/>
                <w:highlight w:val="none"/>
              </w:rPr>
            </w:pPr>
          </w:p>
        </w:tc>
        <w:tc>
          <w:tcPr>
            <w:tcW w:w="1138" w:type="dxa"/>
            <w:tcBorders>
              <w:top w:val="single" w:color="auto" w:sz="4" w:space="0"/>
              <w:left w:val="nil"/>
              <w:bottom w:val="single" w:color="auto" w:sz="4" w:space="0"/>
              <w:right w:val="single" w:color="auto" w:sz="4" w:space="0"/>
            </w:tcBorders>
            <w:noWrap/>
            <w:vAlign w:val="center"/>
          </w:tcPr>
          <w:p w14:paraId="53526371">
            <w:pPr>
              <w:spacing w:before="160" w:line="360" w:lineRule="auto"/>
              <w:jc w:val="center"/>
              <w:rPr>
                <w:rFonts w:hint="eastAsia" w:ascii="宋体" w:hAnsi="宋体"/>
                <w:color w:val="auto"/>
                <w:sz w:val="24"/>
                <w:highlight w:val="none"/>
              </w:rPr>
            </w:pPr>
          </w:p>
        </w:tc>
        <w:tc>
          <w:tcPr>
            <w:tcW w:w="1400" w:type="dxa"/>
            <w:tcBorders>
              <w:top w:val="single" w:color="auto" w:sz="4" w:space="0"/>
              <w:left w:val="nil"/>
              <w:bottom w:val="single" w:color="auto" w:sz="4" w:space="0"/>
              <w:right w:val="single" w:color="auto" w:sz="4" w:space="0"/>
            </w:tcBorders>
            <w:noWrap/>
            <w:vAlign w:val="center"/>
          </w:tcPr>
          <w:p w14:paraId="283876E9">
            <w:pPr>
              <w:spacing w:before="160" w:line="360" w:lineRule="auto"/>
              <w:jc w:val="center"/>
              <w:rPr>
                <w:rFonts w:hint="eastAsia" w:ascii="宋体" w:hAnsi="宋体"/>
                <w:color w:val="auto"/>
                <w:sz w:val="24"/>
                <w:highlight w:val="none"/>
              </w:rPr>
            </w:pPr>
          </w:p>
        </w:tc>
        <w:tc>
          <w:tcPr>
            <w:tcW w:w="1517" w:type="dxa"/>
            <w:tcBorders>
              <w:top w:val="single" w:color="auto" w:sz="4" w:space="0"/>
              <w:left w:val="nil"/>
              <w:bottom w:val="single" w:color="auto" w:sz="4" w:space="0"/>
              <w:right w:val="single" w:color="auto" w:sz="4" w:space="0"/>
            </w:tcBorders>
            <w:noWrap/>
            <w:vAlign w:val="center"/>
          </w:tcPr>
          <w:p w14:paraId="51381C84">
            <w:pPr>
              <w:spacing w:before="160" w:line="360" w:lineRule="auto"/>
              <w:jc w:val="center"/>
              <w:rPr>
                <w:rFonts w:hint="eastAsia" w:ascii="宋体" w:hAnsi="宋体"/>
                <w:color w:val="auto"/>
                <w:sz w:val="24"/>
                <w:highlight w:val="none"/>
              </w:rPr>
            </w:pPr>
          </w:p>
        </w:tc>
        <w:tc>
          <w:tcPr>
            <w:tcW w:w="950" w:type="dxa"/>
            <w:tcBorders>
              <w:top w:val="single" w:color="auto" w:sz="4" w:space="0"/>
              <w:left w:val="nil"/>
              <w:bottom w:val="single" w:color="auto" w:sz="4" w:space="0"/>
              <w:right w:val="single" w:color="auto" w:sz="4" w:space="0"/>
            </w:tcBorders>
            <w:noWrap/>
            <w:vAlign w:val="center"/>
          </w:tcPr>
          <w:p w14:paraId="3E5C2103">
            <w:pPr>
              <w:spacing w:before="160" w:line="360" w:lineRule="auto"/>
              <w:jc w:val="center"/>
              <w:rPr>
                <w:rFonts w:hint="eastAsia" w:ascii="宋体" w:hAnsi="宋体"/>
                <w:color w:val="auto"/>
                <w:sz w:val="24"/>
                <w:highlight w:val="none"/>
              </w:rPr>
            </w:pPr>
          </w:p>
        </w:tc>
        <w:tc>
          <w:tcPr>
            <w:tcW w:w="1218" w:type="dxa"/>
            <w:tcBorders>
              <w:top w:val="single" w:color="auto" w:sz="4" w:space="0"/>
              <w:left w:val="nil"/>
              <w:bottom w:val="single" w:color="auto" w:sz="4" w:space="0"/>
              <w:right w:val="single" w:color="auto" w:sz="4" w:space="0"/>
            </w:tcBorders>
            <w:noWrap/>
            <w:vAlign w:val="center"/>
          </w:tcPr>
          <w:p w14:paraId="1CAD3525">
            <w:pPr>
              <w:spacing w:before="160" w:line="360" w:lineRule="auto"/>
              <w:jc w:val="center"/>
              <w:rPr>
                <w:rFonts w:hint="eastAsia" w:ascii="宋体" w:hAnsi="宋体"/>
                <w:color w:val="auto"/>
                <w:sz w:val="24"/>
                <w:highlight w:val="none"/>
              </w:rPr>
            </w:pPr>
          </w:p>
        </w:tc>
        <w:tc>
          <w:tcPr>
            <w:tcW w:w="1142" w:type="dxa"/>
            <w:tcBorders>
              <w:top w:val="single" w:color="auto" w:sz="4" w:space="0"/>
              <w:left w:val="nil"/>
              <w:bottom w:val="single" w:color="auto" w:sz="4" w:space="0"/>
              <w:right w:val="single" w:color="auto" w:sz="4" w:space="0"/>
            </w:tcBorders>
            <w:noWrap/>
            <w:vAlign w:val="center"/>
          </w:tcPr>
          <w:p w14:paraId="069528F6">
            <w:pPr>
              <w:spacing w:before="160" w:line="240" w:lineRule="auto"/>
              <w:jc w:val="center"/>
              <w:rPr>
                <w:rFonts w:hint="eastAsia" w:ascii="宋体" w:hAnsi="宋体"/>
                <w:color w:val="auto"/>
                <w:sz w:val="24"/>
                <w:highlight w:val="none"/>
              </w:rPr>
            </w:pPr>
            <w:r>
              <w:rPr>
                <w:rFonts w:hint="eastAsia" w:ascii="宋体" w:hAnsi="宋体"/>
                <w:color w:val="auto"/>
                <w:sz w:val="24"/>
                <w:highlight w:val="none"/>
              </w:rPr>
              <w:t>全过程</w:t>
            </w:r>
          </w:p>
        </w:tc>
      </w:tr>
      <w:tr w14:paraId="50A9437C">
        <w:tblPrEx>
          <w:tblCellMar>
            <w:top w:w="0" w:type="dxa"/>
            <w:left w:w="108" w:type="dxa"/>
            <w:bottom w:w="0" w:type="dxa"/>
            <w:right w:w="108" w:type="dxa"/>
          </w:tblCellMar>
        </w:tblPrEx>
        <w:trPr>
          <w:trHeight w:val="1686" w:hRule="atLeast"/>
          <w:jc w:val="center"/>
        </w:trPr>
        <w:tc>
          <w:tcPr>
            <w:tcW w:w="729" w:type="dxa"/>
            <w:tcBorders>
              <w:top w:val="single" w:color="auto" w:sz="4" w:space="0"/>
              <w:left w:val="single" w:color="auto" w:sz="4" w:space="0"/>
              <w:bottom w:val="single" w:color="auto" w:sz="4" w:space="0"/>
              <w:right w:val="single" w:color="auto" w:sz="4" w:space="0"/>
            </w:tcBorders>
            <w:noWrap/>
            <w:vAlign w:val="center"/>
          </w:tcPr>
          <w:p w14:paraId="6C3B317E">
            <w:pPr>
              <w:spacing w:before="160" w:line="360" w:lineRule="auto"/>
              <w:jc w:val="center"/>
              <w:rPr>
                <w:rFonts w:hint="eastAsia" w:ascii="宋体" w:hAnsi="宋体"/>
                <w:color w:val="auto"/>
                <w:sz w:val="24"/>
                <w:highlight w:val="none"/>
              </w:rPr>
            </w:pPr>
            <w:r>
              <w:rPr>
                <w:rFonts w:hint="eastAsia" w:ascii="宋体" w:hAnsi="宋体"/>
                <w:color w:val="auto"/>
                <w:sz w:val="24"/>
                <w:highlight w:val="none"/>
              </w:rPr>
              <w:t>2</w:t>
            </w:r>
          </w:p>
        </w:tc>
        <w:tc>
          <w:tcPr>
            <w:tcW w:w="1716" w:type="dxa"/>
            <w:tcBorders>
              <w:top w:val="single" w:color="auto" w:sz="4" w:space="0"/>
              <w:left w:val="nil"/>
              <w:bottom w:val="single" w:color="auto" w:sz="4" w:space="0"/>
              <w:right w:val="single" w:color="auto" w:sz="4" w:space="0"/>
            </w:tcBorders>
            <w:noWrap/>
            <w:vAlign w:val="center"/>
          </w:tcPr>
          <w:p w14:paraId="10B8A647">
            <w:pPr>
              <w:spacing w:before="160" w:line="360" w:lineRule="auto"/>
              <w:jc w:val="center"/>
              <w:rPr>
                <w:rFonts w:hint="eastAsia" w:ascii="宋体" w:hAnsi="宋体"/>
                <w:color w:val="auto"/>
                <w:sz w:val="24"/>
                <w:highlight w:val="none"/>
              </w:rPr>
            </w:pPr>
            <w:r>
              <w:rPr>
                <w:rFonts w:hint="eastAsia" w:ascii="宋体"/>
                <w:color w:val="auto"/>
                <w:sz w:val="24"/>
                <w:szCs w:val="24"/>
                <w:highlight w:val="none"/>
                <w:lang w:bidi="ar"/>
              </w:rPr>
              <w:t>土建专业监理工程师（兼任测量专业监理工程师）</w:t>
            </w:r>
          </w:p>
        </w:tc>
        <w:tc>
          <w:tcPr>
            <w:tcW w:w="966" w:type="dxa"/>
            <w:tcBorders>
              <w:top w:val="single" w:color="auto" w:sz="4" w:space="0"/>
              <w:left w:val="nil"/>
              <w:bottom w:val="single" w:color="auto" w:sz="4" w:space="0"/>
              <w:right w:val="single" w:color="auto" w:sz="4" w:space="0"/>
            </w:tcBorders>
            <w:noWrap/>
            <w:vAlign w:val="center"/>
          </w:tcPr>
          <w:p w14:paraId="50C668D3">
            <w:pPr>
              <w:spacing w:before="160" w:line="360" w:lineRule="auto"/>
              <w:jc w:val="center"/>
              <w:rPr>
                <w:rFonts w:hint="eastAsia" w:ascii="宋体" w:hAnsi="宋体"/>
                <w:color w:val="auto"/>
                <w:sz w:val="24"/>
                <w:highlight w:val="none"/>
              </w:rPr>
            </w:pPr>
          </w:p>
        </w:tc>
        <w:tc>
          <w:tcPr>
            <w:tcW w:w="1138" w:type="dxa"/>
            <w:tcBorders>
              <w:top w:val="single" w:color="auto" w:sz="4" w:space="0"/>
              <w:left w:val="nil"/>
              <w:bottom w:val="single" w:color="auto" w:sz="4" w:space="0"/>
              <w:right w:val="single" w:color="auto" w:sz="4" w:space="0"/>
            </w:tcBorders>
            <w:noWrap/>
            <w:vAlign w:val="center"/>
          </w:tcPr>
          <w:p w14:paraId="3650E2F6">
            <w:pPr>
              <w:spacing w:before="160" w:line="360" w:lineRule="auto"/>
              <w:jc w:val="center"/>
              <w:rPr>
                <w:rFonts w:hint="eastAsia" w:ascii="宋体" w:hAnsi="宋体"/>
                <w:color w:val="auto"/>
                <w:sz w:val="24"/>
                <w:highlight w:val="none"/>
              </w:rPr>
            </w:pPr>
          </w:p>
        </w:tc>
        <w:tc>
          <w:tcPr>
            <w:tcW w:w="1400" w:type="dxa"/>
            <w:tcBorders>
              <w:top w:val="single" w:color="auto" w:sz="4" w:space="0"/>
              <w:left w:val="nil"/>
              <w:bottom w:val="single" w:color="auto" w:sz="4" w:space="0"/>
              <w:right w:val="single" w:color="auto" w:sz="4" w:space="0"/>
            </w:tcBorders>
            <w:noWrap/>
            <w:vAlign w:val="center"/>
          </w:tcPr>
          <w:p w14:paraId="6F76ECCE">
            <w:pPr>
              <w:spacing w:before="160" w:line="360" w:lineRule="auto"/>
              <w:jc w:val="center"/>
              <w:rPr>
                <w:rFonts w:hint="eastAsia" w:ascii="宋体" w:hAnsi="宋体"/>
                <w:color w:val="auto"/>
                <w:sz w:val="24"/>
                <w:highlight w:val="none"/>
              </w:rPr>
            </w:pPr>
          </w:p>
        </w:tc>
        <w:tc>
          <w:tcPr>
            <w:tcW w:w="1517" w:type="dxa"/>
            <w:tcBorders>
              <w:top w:val="single" w:color="auto" w:sz="4" w:space="0"/>
              <w:left w:val="nil"/>
              <w:bottom w:val="single" w:color="auto" w:sz="4" w:space="0"/>
              <w:right w:val="single" w:color="auto" w:sz="4" w:space="0"/>
            </w:tcBorders>
            <w:noWrap/>
            <w:vAlign w:val="center"/>
          </w:tcPr>
          <w:p w14:paraId="5E822026">
            <w:pPr>
              <w:spacing w:before="160" w:line="360" w:lineRule="auto"/>
              <w:jc w:val="center"/>
              <w:rPr>
                <w:rFonts w:hint="eastAsia" w:ascii="宋体" w:hAnsi="宋体"/>
                <w:color w:val="auto"/>
                <w:sz w:val="24"/>
                <w:highlight w:val="none"/>
              </w:rPr>
            </w:pPr>
          </w:p>
        </w:tc>
        <w:tc>
          <w:tcPr>
            <w:tcW w:w="950" w:type="dxa"/>
            <w:tcBorders>
              <w:top w:val="single" w:color="auto" w:sz="4" w:space="0"/>
              <w:left w:val="nil"/>
              <w:bottom w:val="single" w:color="auto" w:sz="4" w:space="0"/>
              <w:right w:val="single" w:color="auto" w:sz="4" w:space="0"/>
            </w:tcBorders>
            <w:noWrap/>
            <w:vAlign w:val="center"/>
          </w:tcPr>
          <w:p w14:paraId="1DA95124">
            <w:pPr>
              <w:spacing w:before="160" w:line="360" w:lineRule="auto"/>
              <w:jc w:val="center"/>
              <w:rPr>
                <w:rFonts w:hint="eastAsia" w:ascii="宋体" w:hAnsi="宋体"/>
                <w:color w:val="auto"/>
                <w:sz w:val="24"/>
                <w:highlight w:val="none"/>
              </w:rPr>
            </w:pPr>
          </w:p>
        </w:tc>
        <w:tc>
          <w:tcPr>
            <w:tcW w:w="1218" w:type="dxa"/>
            <w:tcBorders>
              <w:top w:val="single" w:color="auto" w:sz="4" w:space="0"/>
              <w:left w:val="nil"/>
              <w:bottom w:val="single" w:color="auto" w:sz="4" w:space="0"/>
              <w:right w:val="single" w:color="auto" w:sz="4" w:space="0"/>
            </w:tcBorders>
            <w:noWrap/>
            <w:vAlign w:val="center"/>
          </w:tcPr>
          <w:p w14:paraId="359D57A7">
            <w:pPr>
              <w:spacing w:before="160" w:line="360" w:lineRule="auto"/>
              <w:jc w:val="center"/>
              <w:rPr>
                <w:rFonts w:hint="eastAsia" w:ascii="宋体" w:hAnsi="宋体"/>
                <w:color w:val="auto"/>
                <w:sz w:val="24"/>
                <w:highlight w:val="none"/>
              </w:rPr>
            </w:pPr>
          </w:p>
        </w:tc>
        <w:tc>
          <w:tcPr>
            <w:tcW w:w="1142" w:type="dxa"/>
            <w:tcBorders>
              <w:top w:val="single" w:color="auto" w:sz="4" w:space="0"/>
              <w:left w:val="nil"/>
              <w:bottom w:val="single" w:color="auto" w:sz="4" w:space="0"/>
              <w:right w:val="single" w:color="auto" w:sz="4" w:space="0"/>
            </w:tcBorders>
            <w:noWrap/>
            <w:vAlign w:val="center"/>
          </w:tcPr>
          <w:p w14:paraId="5943985E">
            <w:pPr>
              <w:spacing w:before="160" w:line="240" w:lineRule="auto"/>
              <w:jc w:val="center"/>
              <w:rPr>
                <w:rFonts w:hint="eastAsia" w:ascii="宋体" w:hAnsi="宋体"/>
                <w:color w:val="auto"/>
                <w:sz w:val="24"/>
                <w:highlight w:val="none"/>
              </w:rPr>
            </w:pPr>
            <w:r>
              <w:rPr>
                <w:rFonts w:hint="eastAsia" w:ascii="宋体" w:hAnsi="宋体"/>
                <w:color w:val="auto"/>
                <w:sz w:val="24"/>
                <w:highlight w:val="none"/>
              </w:rPr>
              <w:t>全过程</w:t>
            </w:r>
          </w:p>
        </w:tc>
      </w:tr>
      <w:tr w14:paraId="34F27EBB">
        <w:tblPrEx>
          <w:tblCellMar>
            <w:top w:w="0" w:type="dxa"/>
            <w:left w:w="108" w:type="dxa"/>
            <w:bottom w:w="0" w:type="dxa"/>
            <w:right w:w="108" w:type="dxa"/>
          </w:tblCellMar>
        </w:tblPrEx>
        <w:trPr>
          <w:trHeight w:val="1726" w:hRule="atLeast"/>
          <w:jc w:val="center"/>
        </w:trPr>
        <w:tc>
          <w:tcPr>
            <w:tcW w:w="729" w:type="dxa"/>
            <w:tcBorders>
              <w:top w:val="single" w:color="auto" w:sz="4" w:space="0"/>
              <w:left w:val="single" w:color="auto" w:sz="4" w:space="0"/>
              <w:bottom w:val="single" w:color="auto" w:sz="4" w:space="0"/>
              <w:right w:val="single" w:color="auto" w:sz="4" w:space="0"/>
            </w:tcBorders>
            <w:noWrap/>
            <w:vAlign w:val="center"/>
          </w:tcPr>
          <w:p w14:paraId="2AC53DCF">
            <w:pPr>
              <w:spacing w:before="160" w:line="360" w:lineRule="auto"/>
              <w:jc w:val="center"/>
              <w:rPr>
                <w:rFonts w:hint="eastAsia" w:ascii="宋体" w:hAnsi="宋体"/>
                <w:color w:val="auto"/>
                <w:sz w:val="24"/>
                <w:highlight w:val="none"/>
              </w:rPr>
            </w:pPr>
            <w:r>
              <w:rPr>
                <w:rFonts w:hint="eastAsia" w:ascii="宋体" w:hAnsi="宋体"/>
                <w:color w:val="auto"/>
                <w:sz w:val="24"/>
                <w:highlight w:val="none"/>
              </w:rPr>
              <w:t>3</w:t>
            </w:r>
          </w:p>
        </w:tc>
        <w:tc>
          <w:tcPr>
            <w:tcW w:w="1716" w:type="dxa"/>
            <w:tcBorders>
              <w:top w:val="single" w:color="auto" w:sz="4" w:space="0"/>
              <w:left w:val="nil"/>
              <w:bottom w:val="single" w:color="auto" w:sz="4" w:space="0"/>
              <w:right w:val="single" w:color="auto" w:sz="4" w:space="0"/>
            </w:tcBorders>
            <w:noWrap/>
            <w:vAlign w:val="center"/>
          </w:tcPr>
          <w:p w14:paraId="3603456A">
            <w:pPr>
              <w:spacing w:before="160" w:line="360" w:lineRule="auto"/>
              <w:jc w:val="center"/>
              <w:rPr>
                <w:rFonts w:hint="eastAsia" w:ascii="宋体" w:hAnsi="宋体"/>
                <w:color w:val="auto"/>
                <w:sz w:val="24"/>
                <w:highlight w:val="none"/>
              </w:rPr>
            </w:pPr>
            <w:r>
              <w:rPr>
                <w:rFonts w:hint="eastAsia" w:ascii="宋体"/>
                <w:color w:val="auto"/>
                <w:sz w:val="24"/>
                <w:szCs w:val="24"/>
                <w:highlight w:val="none"/>
                <w:lang w:bidi="ar"/>
              </w:rPr>
              <w:t>土建专业监理工程师</w:t>
            </w:r>
          </w:p>
        </w:tc>
        <w:tc>
          <w:tcPr>
            <w:tcW w:w="966" w:type="dxa"/>
            <w:tcBorders>
              <w:top w:val="single" w:color="auto" w:sz="4" w:space="0"/>
              <w:left w:val="nil"/>
              <w:bottom w:val="single" w:color="auto" w:sz="4" w:space="0"/>
              <w:right w:val="single" w:color="auto" w:sz="4" w:space="0"/>
            </w:tcBorders>
            <w:noWrap/>
            <w:vAlign w:val="center"/>
          </w:tcPr>
          <w:p w14:paraId="2E41F613">
            <w:pPr>
              <w:spacing w:before="160" w:line="360" w:lineRule="auto"/>
              <w:jc w:val="center"/>
              <w:rPr>
                <w:rFonts w:hint="eastAsia" w:ascii="宋体" w:hAnsi="宋体"/>
                <w:color w:val="auto"/>
                <w:sz w:val="24"/>
                <w:highlight w:val="none"/>
              </w:rPr>
            </w:pPr>
          </w:p>
        </w:tc>
        <w:tc>
          <w:tcPr>
            <w:tcW w:w="1138" w:type="dxa"/>
            <w:tcBorders>
              <w:top w:val="single" w:color="auto" w:sz="4" w:space="0"/>
              <w:left w:val="nil"/>
              <w:bottom w:val="single" w:color="auto" w:sz="4" w:space="0"/>
              <w:right w:val="single" w:color="auto" w:sz="4" w:space="0"/>
            </w:tcBorders>
            <w:noWrap/>
            <w:vAlign w:val="center"/>
          </w:tcPr>
          <w:p w14:paraId="68FA9F6E">
            <w:pPr>
              <w:spacing w:before="160" w:line="360" w:lineRule="auto"/>
              <w:jc w:val="center"/>
              <w:rPr>
                <w:rFonts w:hint="eastAsia" w:ascii="宋体" w:hAnsi="宋体"/>
                <w:color w:val="auto"/>
                <w:sz w:val="24"/>
                <w:highlight w:val="none"/>
              </w:rPr>
            </w:pPr>
          </w:p>
        </w:tc>
        <w:tc>
          <w:tcPr>
            <w:tcW w:w="1400" w:type="dxa"/>
            <w:tcBorders>
              <w:top w:val="single" w:color="auto" w:sz="4" w:space="0"/>
              <w:left w:val="nil"/>
              <w:bottom w:val="single" w:color="auto" w:sz="4" w:space="0"/>
              <w:right w:val="single" w:color="auto" w:sz="4" w:space="0"/>
            </w:tcBorders>
            <w:noWrap/>
            <w:vAlign w:val="center"/>
          </w:tcPr>
          <w:p w14:paraId="45F4E2AD">
            <w:pPr>
              <w:spacing w:before="160" w:line="360" w:lineRule="auto"/>
              <w:jc w:val="center"/>
              <w:rPr>
                <w:rFonts w:hint="eastAsia" w:ascii="宋体" w:hAnsi="宋体"/>
                <w:color w:val="auto"/>
                <w:sz w:val="24"/>
                <w:highlight w:val="none"/>
              </w:rPr>
            </w:pPr>
          </w:p>
        </w:tc>
        <w:tc>
          <w:tcPr>
            <w:tcW w:w="1517" w:type="dxa"/>
            <w:tcBorders>
              <w:top w:val="single" w:color="auto" w:sz="4" w:space="0"/>
              <w:left w:val="nil"/>
              <w:bottom w:val="single" w:color="auto" w:sz="4" w:space="0"/>
              <w:right w:val="single" w:color="auto" w:sz="4" w:space="0"/>
            </w:tcBorders>
            <w:noWrap/>
            <w:vAlign w:val="center"/>
          </w:tcPr>
          <w:p w14:paraId="47CFDC76">
            <w:pPr>
              <w:spacing w:before="160" w:line="360" w:lineRule="auto"/>
              <w:jc w:val="center"/>
              <w:rPr>
                <w:rFonts w:hint="eastAsia" w:ascii="宋体" w:hAnsi="宋体"/>
                <w:color w:val="auto"/>
                <w:sz w:val="24"/>
                <w:highlight w:val="none"/>
              </w:rPr>
            </w:pPr>
          </w:p>
        </w:tc>
        <w:tc>
          <w:tcPr>
            <w:tcW w:w="950" w:type="dxa"/>
            <w:tcBorders>
              <w:top w:val="single" w:color="auto" w:sz="4" w:space="0"/>
              <w:left w:val="nil"/>
              <w:bottom w:val="single" w:color="auto" w:sz="4" w:space="0"/>
              <w:right w:val="single" w:color="auto" w:sz="4" w:space="0"/>
            </w:tcBorders>
            <w:noWrap/>
            <w:vAlign w:val="center"/>
          </w:tcPr>
          <w:p w14:paraId="3AE9A457">
            <w:pPr>
              <w:spacing w:before="160" w:line="360" w:lineRule="auto"/>
              <w:jc w:val="center"/>
              <w:rPr>
                <w:rFonts w:hint="eastAsia" w:ascii="宋体" w:hAnsi="宋体"/>
                <w:color w:val="auto"/>
                <w:sz w:val="24"/>
                <w:highlight w:val="none"/>
              </w:rPr>
            </w:pPr>
          </w:p>
        </w:tc>
        <w:tc>
          <w:tcPr>
            <w:tcW w:w="1218" w:type="dxa"/>
            <w:tcBorders>
              <w:top w:val="single" w:color="auto" w:sz="4" w:space="0"/>
              <w:left w:val="nil"/>
              <w:bottom w:val="single" w:color="auto" w:sz="4" w:space="0"/>
              <w:right w:val="single" w:color="auto" w:sz="4" w:space="0"/>
            </w:tcBorders>
            <w:noWrap/>
            <w:vAlign w:val="center"/>
          </w:tcPr>
          <w:p w14:paraId="68338623">
            <w:pPr>
              <w:spacing w:before="160" w:line="360" w:lineRule="auto"/>
              <w:jc w:val="center"/>
              <w:rPr>
                <w:rFonts w:hint="eastAsia" w:ascii="宋体" w:hAnsi="宋体"/>
                <w:color w:val="auto"/>
                <w:sz w:val="24"/>
                <w:highlight w:val="none"/>
              </w:rPr>
            </w:pPr>
          </w:p>
        </w:tc>
        <w:tc>
          <w:tcPr>
            <w:tcW w:w="1142" w:type="dxa"/>
            <w:tcBorders>
              <w:top w:val="single" w:color="auto" w:sz="4" w:space="0"/>
              <w:left w:val="nil"/>
              <w:bottom w:val="single" w:color="auto" w:sz="4" w:space="0"/>
              <w:right w:val="single" w:color="auto" w:sz="4" w:space="0"/>
            </w:tcBorders>
            <w:noWrap/>
            <w:vAlign w:val="center"/>
          </w:tcPr>
          <w:p w14:paraId="49362147">
            <w:pPr>
              <w:spacing w:before="160" w:line="240" w:lineRule="auto"/>
              <w:jc w:val="center"/>
              <w:rPr>
                <w:rFonts w:hint="eastAsia" w:ascii="宋体" w:hAnsi="宋体"/>
                <w:color w:val="auto"/>
                <w:sz w:val="24"/>
                <w:highlight w:val="none"/>
              </w:rPr>
            </w:pPr>
            <w:r>
              <w:rPr>
                <w:rFonts w:hint="eastAsia" w:ascii="宋体" w:hAnsi="宋体"/>
                <w:color w:val="auto"/>
                <w:sz w:val="24"/>
                <w:highlight w:val="none"/>
              </w:rPr>
              <w:t>全过程</w:t>
            </w:r>
          </w:p>
        </w:tc>
      </w:tr>
      <w:tr w14:paraId="50A7E01D">
        <w:tblPrEx>
          <w:tblCellMar>
            <w:top w:w="0" w:type="dxa"/>
            <w:left w:w="108" w:type="dxa"/>
            <w:bottom w:w="0" w:type="dxa"/>
            <w:right w:w="108" w:type="dxa"/>
          </w:tblCellMar>
        </w:tblPrEx>
        <w:trPr>
          <w:trHeight w:val="1726" w:hRule="atLeast"/>
          <w:jc w:val="center"/>
        </w:trPr>
        <w:tc>
          <w:tcPr>
            <w:tcW w:w="729" w:type="dxa"/>
            <w:tcBorders>
              <w:top w:val="single" w:color="auto" w:sz="4" w:space="0"/>
              <w:left w:val="single" w:color="auto" w:sz="4" w:space="0"/>
              <w:bottom w:val="single" w:color="auto" w:sz="4" w:space="0"/>
              <w:right w:val="single" w:color="auto" w:sz="4" w:space="0"/>
            </w:tcBorders>
            <w:noWrap/>
            <w:vAlign w:val="center"/>
          </w:tcPr>
          <w:p w14:paraId="1C157997">
            <w:pPr>
              <w:spacing w:before="160" w:line="360" w:lineRule="auto"/>
              <w:jc w:val="center"/>
              <w:rPr>
                <w:rFonts w:hint="eastAsia" w:ascii="宋体" w:hAnsi="宋体"/>
                <w:color w:val="auto"/>
                <w:sz w:val="24"/>
                <w:highlight w:val="none"/>
              </w:rPr>
            </w:pPr>
            <w:r>
              <w:rPr>
                <w:rFonts w:hint="eastAsia" w:ascii="宋体" w:hAnsi="宋体"/>
                <w:color w:val="auto"/>
                <w:sz w:val="24"/>
                <w:highlight w:val="none"/>
              </w:rPr>
              <w:t>4</w:t>
            </w:r>
          </w:p>
        </w:tc>
        <w:tc>
          <w:tcPr>
            <w:tcW w:w="1716" w:type="dxa"/>
            <w:tcBorders>
              <w:top w:val="single" w:color="auto" w:sz="4" w:space="0"/>
              <w:left w:val="nil"/>
              <w:bottom w:val="single" w:color="auto" w:sz="4" w:space="0"/>
              <w:right w:val="single" w:color="auto" w:sz="4" w:space="0"/>
            </w:tcBorders>
            <w:noWrap/>
            <w:vAlign w:val="center"/>
          </w:tcPr>
          <w:p w14:paraId="72D75DCF">
            <w:pPr>
              <w:spacing w:before="160" w:line="360" w:lineRule="auto"/>
              <w:jc w:val="center"/>
              <w:rPr>
                <w:rFonts w:hint="eastAsia" w:ascii="宋体" w:hAnsi="宋体"/>
                <w:color w:val="auto"/>
                <w:sz w:val="24"/>
                <w:highlight w:val="none"/>
              </w:rPr>
            </w:pPr>
            <w:r>
              <w:rPr>
                <w:rFonts w:hint="eastAsia" w:ascii="宋体" w:hAnsi="宋体"/>
                <w:color w:val="auto"/>
                <w:sz w:val="24"/>
                <w:highlight w:val="none"/>
              </w:rPr>
              <w:t>机电专业监理工程师</w:t>
            </w:r>
          </w:p>
        </w:tc>
        <w:tc>
          <w:tcPr>
            <w:tcW w:w="966" w:type="dxa"/>
            <w:tcBorders>
              <w:top w:val="single" w:color="auto" w:sz="4" w:space="0"/>
              <w:left w:val="nil"/>
              <w:bottom w:val="single" w:color="auto" w:sz="4" w:space="0"/>
              <w:right w:val="single" w:color="auto" w:sz="4" w:space="0"/>
            </w:tcBorders>
            <w:noWrap/>
            <w:vAlign w:val="center"/>
          </w:tcPr>
          <w:p w14:paraId="1E4155F8">
            <w:pPr>
              <w:spacing w:before="160" w:line="360" w:lineRule="auto"/>
              <w:jc w:val="center"/>
              <w:rPr>
                <w:rFonts w:hint="eastAsia" w:ascii="宋体" w:hAnsi="宋体"/>
                <w:color w:val="auto"/>
                <w:sz w:val="24"/>
                <w:highlight w:val="none"/>
              </w:rPr>
            </w:pPr>
          </w:p>
        </w:tc>
        <w:tc>
          <w:tcPr>
            <w:tcW w:w="1138" w:type="dxa"/>
            <w:tcBorders>
              <w:top w:val="single" w:color="auto" w:sz="4" w:space="0"/>
              <w:left w:val="nil"/>
              <w:bottom w:val="single" w:color="auto" w:sz="4" w:space="0"/>
              <w:right w:val="single" w:color="auto" w:sz="4" w:space="0"/>
            </w:tcBorders>
            <w:noWrap/>
            <w:vAlign w:val="center"/>
          </w:tcPr>
          <w:p w14:paraId="0A48FB98">
            <w:pPr>
              <w:spacing w:before="160" w:line="360" w:lineRule="auto"/>
              <w:jc w:val="center"/>
              <w:rPr>
                <w:rFonts w:hint="eastAsia" w:ascii="宋体" w:hAnsi="宋体"/>
                <w:color w:val="auto"/>
                <w:sz w:val="24"/>
                <w:highlight w:val="none"/>
              </w:rPr>
            </w:pPr>
          </w:p>
        </w:tc>
        <w:tc>
          <w:tcPr>
            <w:tcW w:w="1400" w:type="dxa"/>
            <w:tcBorders>
              <w:top w:val="single" w:color="auto" w:sz="4" w:space="0"/>
              <w:left w:val="nil"/>
              <w:bottom w:val="single" w:color="auto" w:sz="4" w:space="0"/>
              <w:right w:val="single" w:color="auto" w:sz="4" w:space="0"/>
            </w:tcBorders>
            <w:noWrap/>
            <w:vAlign w:val="center"/>
          </w:tcPr>
          <w:p w14:paraId="35A0C0C4">
            <w:pPr>
              <w:spacing w:before="160" w:line="360" w:lineRule="auto"/>
              <w:jc w:val="center"/>
              <w:rPr>
                <w:rFonts w:hint="eastAsia" w:ascii="宋体" w:hAnsi="宋体"/>
                <w:color w:val="auto"/>
                <w:sz w:val="24"/>
                <w:highlight w:val="none"/>
              </w:rPr>
            </w:pPr>
          </w:p>
        </w:tc>
        <w:tc>
          <w:tcPr>
            <w:tcW w:w="1517" w:type="dxa"/>
            <w:tcBorders>
              <w:top w:val="single" w:color="auto" w:sz="4" w:space="0"/>
              <w:left w:val="nil"/>
              <w:bottom w:val="single" w:color="auto" w:sz="4" w:space="0"/>
              <w:right w:val="single" w:color="auto" w:sz="4" w:space="0"/>
            </w:tcBorders>
            <w:noWrap/>
            <w:vAlign w:val="center"/>
          </w:tcPr>
          <w:p w14:paraId="5AE96BBF">
            <w:pPr>
              <w:spacing w:before="160" w:line="360" w:lineRule="auto"/>
              <w:jc w:val="center"/>
              <w:rPr>
                <w:rFonts w:hint="eastAsia" w:ascii="宋体" w:hAnsi="宋体"/>
                <w:color w:val="auto"/>
                <w:sz w:val="24"/>
                <w:highlight w:val="none"/>
              </w:rPr>
            </w:pPr>
          </w:p>
        </w:tc>
        <w:tc>
          <w:tcPr>
            <w:tcW w:w="950" w:type="dxa"/>
            <w:tcBorders>
              <w:top w:val="single" w:color="auto" w:sz="4" w:space="0"/>
              <w:left w:val="nil"/>
              <w:bottom w:val="single" w:color="auto" w:sz="4" w:space="0"/>
              <w:right w:val="single" w:color="auto" w:sz="4" w:space="0"/>
            </w:tcBorders>
            <w:noWrap/>
            <w:vAlign w:val="center"/>
          </w:tcPr>
          <w:p w14:paraId="77071E4A">
            <w:pPr>
              <w:spacing w:before="160" w:line="360" w:lineRule="auto"/>
              <w:jc w:val="center"/>
              <w:rPr>
                <w:rFonts w:hint="eastAsia" w:ascii="宋体" w:hAnsi="宋体"/>
                <w:color w:val="auto"/>
                <w:sz w:val="24"/>
                <w:highlight w:val="none"/>
              </w:rPr>
            </w:pPr>
          </w:p>
        </w:tc>
        <w:tc>
          <w:tcPr>
            <w:tcW w:w="1218" w:type="dxa"/>
            <w:tcBorders>
              <w:top w:val="single" w:color="auto" w:sz="4" w:space="0"/>
              <w:left w:val="nil"/>
              <w:bottom w:val="single" w:color="auto" w:sz="4" w:space="0"/>
              <w:right w:val="single" w:color="auto" w:sz="4" w:space="0"/>
            </w:tcBorders>
            <w:noWrap/>
            <w:vAlign w:val="center"/>
          </w:tcPr>
          <w:p w14:paraId="5CCCD9B8">
            <w:pPr>
              <w:spacing w:before="160" w:line="360" w:lineRule="auto"/>
              <w:jc w:val="center"/>
              <w:rPr>
                <w:rFonts w:hint="eastAsia" w:ascii="宋体" w:hAnsi="宋体"/>
                <w:color w:val="auto"/>
                <w:sz w:val="24"/>
                <w:highlight w:val="none"/>
              </w:rPr>
            </w:pPr>
          </w:p>
        </w:tc>
        <w:tc>
          <w:tcPr>
            <w:tcW w:w="1142" w:type="dxa"/>
            <w:tcBorders>
              <w:top w:val="single" w:color="auto" w:sz="4" w:space="0"/>
              <w:left w:val="nil"/>
              <w:bottom w:val="single" w:color="auto" w:sz="4" w:space="0"/>
              <w:right w:val="single" w:color="auto" w:sz="4" w:space="0"/>
            </w:tcBorders>
            <w:noWrap/>
            <w:vAlign w:val="center"/>
          </w:tcPr>
          <w:p w14:paraId="11459C55">
            <w:pPr>
              <w:spacing w:before="160" w:line="240" w:lineRule="auto"/>
              <w:jc w:val="center"/>
              <w:rPr>
                <w:rFonts w:hint="eastAsia" w:ascii="宋体" w:hAnsi="宋体"/>
                <w:color w:val="auto"/>
                <w:sz w:val="24"/>
                <w:highlight w:val="none"/>
              </w:rPr>
            </w:pPr>
            <w:r>
              <w:rPr>
                <w:rFonts w:hint="eastAsia" w:ascii="宋体" w:hAnsi="宋体"/>
                <w:color w:val="auto"/>
                <w:sz w:val="24"/>
                <w:highlight w:val="none"/>
              </w:rPr>
              <w:t>主体（含地下室）、机电、装修、竣工、移交阶段</w:t>
            </w:r>
          </w:p>
        </w:tc>
      </w:tr>
      <w:tr w14:paraId="49F844D0">
        <w:tblPrEx>
          <w:tblCellMar>
            <w:top w:w="0" w:type="dxa"/>
            <w:left w:w="108" w:type="dxa"/>
            <w:bottom w:w="0" w:type="dxa"/>
            <w:right w:w="108" w:type="dxa"/>
          </w:tblCellMar>
        </w:tblPrEx>
        <w:trPr>
          <w:trHeight w:val="1726" w:hRule="atLeast"/>
          <w:jc w:val="center"/>
        </w:trPr>
        <w:tc>
          <w:tcPr>
            <w:tcW w:w="729" w:type="dxa"/>
            <w:tcBorders>
              <w:top w:val="single" w:color="auto" w:sz="4" w:space="0"/>
              <w:left w:val="single" w:color="auto" w:sz="4" w:space="0"/>
              <w:bottom w:val="single" w:color="auto" w:sz="4" w:space="0"/>
              <w:right w:val="single" w:color="auto" w:sz="4" w:space="0"/>
            </w:tcBorders>
            <w:noWrap/>
            <w:vAlign w:val="center"/>
          </w:tcPr>
          <w:p w14:paraId="340F3F1D">
            <w:pPr>
              <w:spacing w:before="160" w:line="360" w:lineRule="auto"/>
              <w:jc w:val="center"/>
              <w:rPr>
                <w:rFonts w:hint="eastAsia" w:ascii="宋体" w:hAnsi="宋体"/>
                <w:color w:val="auto"/>
                <w:sz w:val="24"/>
                <w:highlight w:val="none"/>
              </w:rPr>
            </w:pPr>
            <w:r>
              <w:rPr>
                <w:rFonts w:hint="eastAsia" w:ascii="宋体" w:hAnsi="宋体"/>
                <w:color w:val="auto"/>
                <w:sz w:val="24"/>
                <w:highlight w:val="none"/>
              </w:rPr>
              <w:t>5</w:t>
            </w:r>
          </w:p>
        </w:tc>
        <w:tc>
          <w:tcPr>
            <w:tcW w:w="1716" w:type="dxa"/>
            <w:tcBorders>
              <w:top w:val="single" w:color="auto" w:sz="4" w:space="0"/>
              <w:left w:val="nil"/>
              <w:bottom w:val="single" w:color="auto" w:sz="4" w:space="0"/>
              <w:right w:val="single" w:color="auto" w:sz="4" w:space="0"/>
            </w:tcBorders>
            <w:noWrap/>
            <w:vAlign w:val="center"/>
          </w:tcPr>
          <w:p w14:paraId="43A279AE">
            <w:pPr>
              <w:spacing w:before="160" w:line="360" w:lineRule="auto"/>
              <w:jc w:val="center"/>
              <w:rPr>
                <w:rFonts w:hint="eastAsia" w:ascii="宋体" w:hAnsi="宋体"/>
                <w:color w:val="auto"/>
                <w:sz w:val="24"/>
                <w:highlight w:val="none"/>
                <w:lang w:bidi="ar"/>
              </w:rPr>
            </w:pPr>
            <w:r>
              <w:rPr>
                <w:rFonts w:hint="eastAsia" w:ascii="宋体"/>
                <w:color w:val="auto"/>
                <w:sz w:val="24"/>
                <w:szCs w:val="24"/>
                <w:highlight w:val="none"/>
                <w:lang w:bidi="ar"/>
              </w:rPr>
              <w:t>安全</w:t>
            </w:r>
            <w:r>
              <w:rPr>
                <w:rFonts w:hint="eastAsia" w:ascii="宋体" w:hAnsi="宋体"/>
                <w:color w:val="auto"/>
                <w:sz w:val="24"/>
                <w:highlight w:val="none"/>
              </w:rPr>
              <w:t>监理工程师</w:t>
            </w:r>
          </w:p>
        </w:tc>
        <w:tc>
          <w:tcPr>
            <w:tcW w:w="966" w:type="dxa"/>
            <w:tcBorders>
              <w:top w:val="single" w:color="auto" w:sz="4" w:space="0"/>
              <w:left w:val="nil"/>
              <w:bottom w:val="single" w:color="auto" w:sz="4" w:space="0"/>
              <w:right w:val="single" w:color="auto" w:sz="4" w:space="0"/>
            </w:tcBorders>
            <w:noWrap/>
            <w:vAlign w:val="center"/>
          </w:tcPr>
          <w:p w14:paraId="2F96E2C8">
            <w:pPr>
              <w:spacing w:before="160" w:line="360" w:lineRule="auto"/>
              <w:jc w:val="center"/>
              <w:rPr>
                <w:rFonts w:hint="eastAsia" w:ascii="宋体" w:hAnsi="宋体"/>
                <w:color w:val="auto"/>
                <w:sz w:val="24"/>
                <w:highlight w:val="none"/>
              </w:rPr>
            </w:pPr>
          </w:p>
        </w:tc>
        <w:tc>
          <w:tcPr>
            <w:tcW w:w="1138" w:type="dxa"/>
            <w:tcBorders>
              <w:top w:val="single" w:color="auto" w:sz="4" w:space="0"/>
              <w:left w:val="nil"/>
              <w:bottom w:val="single" w:color="auto" w:sz="4" w:space="0"/>
              <w:right w:val="single" w:color="auto" w:sz="4" w:space="0"/>
            </w:tcBorders>
            <w:noWrap/>
            <w:vAlign w:val="center"/>
          </w:tcPr>
          <w:p w14:paraId="5BBC1829">
            <w:pPr>
              <w:spacing w:before="160" w:line="360" w:lineRule="auto"/>
              <w:jc w:val="center"/>
              <w:rPr>
                <w:rFonts w:hint="eastAsia" w:ascii="宋体" w:hAnsi="宋体"/>
                <w:color w:val="auto"/>
                <w:sz w:val="24"/>
                <w:highlight w:val="none"/>
              </w:rPr>
            </w:pPr>
          </w:p>
        </w:tc>
        <w:tc>
          <w:tcPr>
            <w:tcW w:w="1400" w:type="dxa"/>
            <w:tcBorders>
              <w:top w:val="single" w:color="auto" w:sz="4" w:space="0"/>
              <w:left w:val="nil"/>
              <w:bottom w:val="single" w:color="auto" w:sz="4" w:space="0"/>
              <w:right w:val="single" w:color="auto" w:sz="4" w:space="0"/>
            </w:tcBorders>
            <w:noWrap/>
            <w:vAlign w:val="center"/>
          </w:tcPr>
          <w:p w14:paraId="58EA3B3C">
            <w:pPr>
              <w:widowControl/>
              <w:jc w:val="left"/>
              <w:rPr>
                <w:rFonts w:hint="eastAsia" w:ascii="宋体" w:hAnsi="宋体"/>
                <w:color w:val="auto"/>
                <w:sz w:val="24"/>
                <w:highlight w:val="none"/>
              </w:rPr>
            </w:pPr>
          </w:p>
        </w:tc>
        <w:tc>
          <w:tcPr>
            <w:tcW w:w="1517" w:type="dxa"/>
            <w:tcBorders>
              <w:top w:val="single" w:color="auto" w:sz="4" w:space="0"/>
              <w:left w:val="nil"/>
              <w:bottom w:val="single" w:color="auto" w:sz="4" w:space="0"/>
              <w:right w:val="single" w:color="auto" w:sz="4" w:space="0"/>
            </w:tcBorders>
            <w:noWrap/>
            <w:vAlign w:val="center"/>
          </w:tcPr>
          <w:p w14:paraId="69900752">
            <w:pPr>
              <w:spacing w:before="160" w:line="360" w:lineRule="auto"/>
              <w:jc w:val="center"/>
              <w:rPr>
                <w:rFonts w:hint="eastAsia" w:ascii="宋体" w:hAnsi="宋体"/>
                <w:color w:val="auto"/>
                <w:sz w:val="24"/>
                <w:highlight w:val="none"/>
              </w:rPr>
            </w:pPr>
          </w:p>
        </w:tc>
        <w:tc>
          <w:tcPr>
            <w:tcW w:w="950" w:type="dxa"/>
            <w:tcBorders>
              <w:top w:val="single" w:color="auto" w:sz="4" w:space="0"/>
              <w:left w:val="nil"/>
              <w:bottom w:val="single" w:color="auto" w:sz="4" w:space="0"/>
              <w:right w:val="single" w:color="auto" w:sz="4" w:space="0"/>
            </w:tcBorders>
            <w:noWrap/>
            <w:vAlign w:val="center"/>
          </w:tcPr>
          <w:p w14:paraId="62548626">
            <w:pPr>
              <w:spacing w:before="160" w:line="360" w:lineRule="auto"/>
              <w:jc w:val="center"/>
              <w:rPr>
                <w:rFonts w:hint="eastAsia" w:ascii="宋体" w:hAnsi="宋体"/>
                <w:color w:val="auto"/>
                <w:sz w:val="24"/>
                <w:highlight w:val="none"/>
              </w:rPr>
            </w:pPr>
          </w:p>
        </w:tc>
        <w:tc>
          <w:tcPr>
            <w:tcW w:w="1218" w:type="dxa"/>
            <w:tcBorders>
              <w:top w:val="single" w:color="auto" w:sz="4" w:space="0"/>
              <w:left w:val="nil"/>
              <w:bottom w:val="single" w:color="auto" w:sz="4" w:space="0"/>
              <w:right w:val="single" w:color="auto" w:sz="4" w:space="0"/>
            </w:tcBorders>
            <w:noWrap/>
            <w:vAlign w:val="center"/>
          </w:tcPr>
          <w:p w14:paraId="29FD2994">
            <w:pPr>
              <w:spacing w:before="160" w:line="360" w:lineRule="auto"/>
              <w:jc w:val="center"/>
              <w:rPr>
                <w:rFonts w:hint="eastAsia" w:ascii="宋体" w:hAnsi="宋体"/>
                <w:color w:val="auto"/>
                <w:sz w:val="24"/>
                <w:highlight w:val="none"/>
              </w:rPr>
            </w:pPr>
          </w:p>
        </w:tc>
        <w:tc>
          <w:tcPr>
            <w:tcW w:w="1142" w:type="dxa"/>
            <w:tcBorders>
              <w:top w:val="single" w:color="auto" w:sz="4" w:space="0"/>
              <w:left w:val="nil"/>
              <w:bottom w:val="single" w:color="auto" w:sz="4" w:space="0"/>
              <w:right w:val="single" w:color="auto" w:sz="4" w:space="0"/>
            </w:tcBorders>
            <w:noWrap/>
            <w:vAlign w:val="center"/>
          </w:tcPr>
          <w:p w14:paraId="1D7653E5">
            <w:pPr>
              <w:spacing w:before="160" w:line="240" w:lineRule="auto"/>
              <w:jc w:val="center"/>
              <w:rPr>
                <w:rFonts w:hint="eastAsia" w:ascii="宋体" w:hAnsi="宋体"/>
                <w:color w:val="auto"/>
                <w:sz w:val="24"/>
                <w:highlight w:val="none"/>
              </w:rPr>
            </w:pPr>
            <w:r>
              <w:rPr>
                <w:rFonts w:hint="eastAsia" w:ascii="宋体" w:hAnsi="宋体"/>
                <w:color w:val="auto"/>
                <w:sz w:val="24"/>
                <w:highlight w:val="none"/>
              </w:rPr>
              <w:t>全过程</w:t>
            </w:r>
          </w:p>
        </w:tc>
      </w:tr>
      <w:tr w14:paraId="133A08C0">
        <w:tblPrEx>
          <w:tblCellMar>
            <w:top w:w="0" w:type="dxa"/>
            <w:left w:w="108" w:type="dxa"/>
            <w:bottom w:w="0" w:type="dxa"/>
            <w:right w:w="108" w:type="dxa"/>
          </w:tblCellMar>
        </w:tblPrEx>
        <w:trPr>
          <w:trHeight w:val="1726" w:hRule="atLeast"/>
          <w:jc w:val="center"/>
        </w:trPr>
        <w:tc>
          <w:tcPr>
            <w:tcW w:w="729" w:type="dxa"/>
            <w:tcBorders>
              <w:top w:val="single" w:color="auto" w:sz="4" w:space="0"/>
              <w:left w:val="single" w:color="auto" w:sz="4" w:space="0"/>
              <w:bottom w:val="single" w:color="auto" w:sz="4" w:space="0"/>
              <w:right w:val="single" w:color="auto" w:sz="4" w:space="0"/>
            </w:tcBorders>
            <w:noWrap/>
            <w:vAlign w:val="center"/>
          </w:tcPr>
          <w:p w14:paraId="6EE30B43">
            <w:pPr>
              <w:spacing w:before="160" w:line="360" w:lineRule="auto"/>
              <w:jc w:val="center"/>
              <w:rPr>
                <w:rFonts w:hint="eastAsia" w:ascii="宋体" w:hAnsi="宋体"/>
                <w:color w:val="auto"/>
                <w:sz w:val="24"/>
                <w:highlight w:val="none"/>
              </w:rPr>
            </w:pPr>
            <w:r>
              <w:rPr>
                <w:rFonts w:hint="eastAsia" w:ascii="宋体" w:hAnsi="宋体"/>
                <w:color w:val="auto"/>
                <w:sz w:val="24"/>
                <w:highlight w:val="none"/>
              </w:rPr>
              <w:t>6</w:t>
            </w:r>
          </w:p>
        </w:tc>
        <w:tc>
          <w:tcPr>
            <w:tcW w:w="1716" w:type="dxa"/>
            <w:tcBorders>
              <w:top w:val="single" w:color="auto" w:sz="4" w:space="0"/>
              <w:left w:val="nil"/>
              <w:bottom w:val="single" w:color="auto" w:sz="4" w:space="0"/>
              <w:right w:val="single" w:color="auto" w:sz="4" w:space="0"/>
            </w:tcBorders>
            <w:noWrap/>
            <w:vAlign w:val="center"/>
          </w:tcPr>
          <w:p w14:paraId="639ABF5C">
            <w:pPr>
              <w:spacing w:before="160" w:line="360" w:lineRule="auto"/>
              <w:jc w:val="center"/>
              <w:rPr>
                <w:rFonts w:hint="eastAsia" w:ascii="宋体" w:hAnsi="宋体"/>
                <w:color w:val="auto"/>
                <w:sz w:val="24"/>
                <w:highlight w:val="none"/>
                <w:lang w:bidi="ar"/>
              </w:rPr>
            </w:pPr>
            <w:r>
              <w:rPr>
                <w:rFonts w:hint="eastAsia" w:ascii="宋体"/>
                <w:color w:val="auto"/>
                <w:sz w:val="24"/>
                <w:szCs w:val="24"/>
                <w:highlight w:val="none"/>
                <w:lang w:bidi="ar"/>
              </w:rPr>
              <w:t>造价工程师</w:t>
            </w:r>
          </w:p>
        </w:tc>
        <w:tc>
          <w:tcPr>
            <w:tcW w:w="966" w:type="dxa"/>
            <w:tcBorders>
              <w:top w:val="single" w:color="auto" w:sz="4" w:space="0"/>
              <w:left w:val="nil"/>
              <w:bottom w:val="single" w:color="auto" w:sz="4" w:space="0"/>
              <w:right w:val="single" w:color="auto" w:sz="4" w:space="0"/>
            </w:tcBorders>
            <w:noWrap/>
            <w:vAlign w:val="center"/>
          </w:tcPr>
          <w:p w14:paraId="4501E7F6">
            <w:pPr>
              <w:spacing w:before="160" w:line="360" w:lineRule="auto"/>
              <w:jc w:val="center"/>
              <w:rPr>
                <w:rFonts w:hint="eastAsia" w:ascii="宋体" w:hAnsi="宋体"/>
                <w:color w:val="auto"/>
                <w:sz w:val="24"/>
                <w:highlight w:val="none"/>
              </w:rPr>
            </w:pPr>
          </w:p>
        </w:tc>
        <w:tc>
          <w:tcPr>
            <w:tcW w:w="1138" w:type="dxa"/>
            <w:tcBorders>
              <w:top w:val="single" w:color="auto" w:sz="4" w:space="0"/>
              <w:left w:val="nil"/>
              <w:bottom w:val="single" w:color="auto" w:sz="4" w:space="0"/>
              <w:right w:val="single" w:color="auto" w:sz="4" w:space="0"/>
            </w:tcBorders>
            <w:noWrap/>
            <w:vAlign w:val="center"/>
          </w:tcPr>
          <w:p w14:paraId="2969BDE2">
            <w:pPr>
              <w:spacing w:before="160" w:line="360" w:lineRule="auto"/>
              <w:jc w:val="center"/>
              <w:rPr>
                <w:rFonts w:hint="eastAsia" w:ascii="宋体" w:hAnsi="宋体"/>
                <w:color w:val="auto"/>
                <w:sz w:val="24"/>
                <w:highlight w:val="none"/>
              </w:rPr>
            </w:pPr>
          </w:p>
        </w:tc>
        <w:tc>
          <w:tcPr>
            <w:tcW w:w="1400" w:type="dxa"/>
            <w:tcBorders>
              <w:top w:val="single" w:color="auto" w:sz="4" w:space="0"/>
              <w:left w:val="nil"/>
              <w:bottom w:val="single" w:color="auto" w:sz="4" w:space="0"/>
              <w:right w:val="single" w:color="auto" w:sz="4" w:space="0"/>
            </w:tcBorders>
            <w:noWrap/>
            <w:vAlign w:val="center"/>
          </w:tcPr>
          <w:p w14:paraId="09D8BD00">
            <w:pPr>
              <w:widowControl/>
              <w:jc w:val="left"/>
              <w:rPr>
                <w:rFonts w:hint="eastAsia" w:ascii="宋体" w:hAnsi="宋体"/>
                <w:color w:val="auto"/>
                <w:sz w:val="24"/>
                <w:highlight w:val="none"/>
              </w:rPr>
            </w:pPr>
          </w:p>
        </w:tc>
        <w:tc>
          <w:tcPr>
            <w:tcW w:w="1517" w:type="dxa"/>
            <w:tcBorders>
              <w:top w:val="single" w:color="auto" w:sz="4" w:space="0"/>
              <w:left w:val="nil"/>
              <w:bottom w:val="single" w:color="auto" w:sz="4" w:space="0"/>
              <w:right w:val="single" w:color="auto" w:sz="4" w:space="0"/>
            </w:tcBorders>
            <w:noWrap/>
            <w:vAlign w:val="center"/>
          </w:tcPr>
          <w:p w14:paraId="34683234">
            <w:pPr>
              <w:spacing w:before="160" w:line="360" w:lineRule="auto"/>
              <w:jc w:val="center"/>
              <w:rPr>
                <w:rFonts w:hint="eastAsia" w:ascii="宋体" w:hAnsi="宋体"/>
                <w:color w:val="auto"/>
                <w:sz w:val="24"/>
                <w:highlight w:val="none"/>
              </w:rPr>
            </w:pPr>
          </w:p>
        </w:tc>
        <w:tc>
          <w:tcPr>
            <w:tcW w:w="950" w:type="dxa"/>
            <w:tcBorders>
              <w:top w:val="single" w:color="auto" w:sz="4" w:space="0"/>
              <w:left w:val="nil"/>
              <w:bottom w:val="single" w:color="auto" w:sz="4" w:space="0"/>
              <w:right w:val="single" w:color="auto" w:sz="4" w:space="0"/>
            </w:tcBorders>
            <w:noWrap/>
            <w:vAlign w:val="center"/>
          </w:tcPr>
          <w:p w14:paraId="6BFCFF85">
            <w:pPr>
              <w:spacing w:before="160" w:line="360" w:lineRule="auto"/>
              <w:jc w:val="center"/>
              <w:rPr>
                <w:rFonts w:hint="eastAsia" w:ascii="宋体" w:hAnsi="宋体"/>
                <w:color w:val="auto"/>
                <w:sz w:val="24"/>
                <w:highlight w:val="none"/>
              </w:rPr>
            </w:pPr>
          </w:p>
        </w:tc>
        <w:tc>
          <w:tcPr>
            <w:tcW w:w="1218" w:type="dxa"/>
            <w:tcBorders>
              <w:top w:val="single" w:color="auto" w:sz="4" w:space="0"/>
              <w:left w:val="nil"/>
              <w:bottom w:val="single" w:color="auto" w:sz="4" w:space="0"/>
              <w:right w:val="single" w:color="auto" w:sz="4" w:space="0"/>
            </w:tcBorders>
            <w:noWrap/>
            <w:vAlign w:val="center"/>
          </w:tcPr>
          <w:p w14:paraId="285C90FB">
            <w:pPr>
              <w:spacing w:before="160" w:line="360" w:lineRule="auto"/>
              <w:jc w:val="center"/>
              <w:rPr>
                <w:rFonts w:hint="eastAsia" w:ascii="宋体" w:hAnsi="宋体"/>
                <w:color w:val="auto"/>
                <w:sz w:val="24"/>
                <w:highlight w:val="none"/>
              </w:rPr>
            </w:pPr>
          </w:p>
        </w:tc>
        <w:tc>
          <w:tcPr>
            <w:tcW w:w="1142" w:type="dxa"/>
            <w:tcBorders>
              <w:top w:val="single" w:color="auto" w:sz="4" w:space="0"/>
              <w:left w:val="nil"/>
              <w:bottom w:val="single" w:color="auto" w:sz="4" w:space="0"/>
              <w:right w:val="single" w:color="auto" w:sz="4" w:space="0"/>
            </w:tcBorders>
            <w:noWrap/>
            <w:vAlign w:val="center"/>
          </w:tcPr>
          <w:p w14:paraId="486ED785">
            <w:pPr>
              <w:spacing w:before="160" w:line="240" w:lineRule="auto"/>
              <w:jc w:val="center"/>
              <w:rPr>
                <w:rFonts w:hint="eastAsia" w:ascii="宋体" w:hAnsi="宋体"/>
                <w:color w:val="auto"/>
                <w:sz w:val="24"/>
                <w:highlight w:val="none"/>
              </w:rPr>
            </w:pPr>
            <w:r>
              <w:rPr>
                <w:rFonts w:hint="eastAsia" w:ascii="宋体" w:hAnsi="宋体"/>
                <w:color w:val="auto"/>
                <w:sz w:val="24"/>
                <w:highlight w:val="none"/>
              </w:rPr>
              <w:t>全过程</w:t>
            </w:r>
          </w:p>
        </w:tc>
      </w:tr>
      <w:tr w14:paraId="71DFF542">
        <w:tblPrEx>
          <w:tblCellMar>
            <w:top w:w="0" w:type="dxa"/>
            <w:left w:w="108" w:type="dxa"/>
            <w:bottom w:w="0" w:type="dxa"/>
            <w:right w:w="108" w:type="dxa"/>
          </w:tblCellMar>
        </w:tblPrEx>
        <w:trPr>
          <w:trHeight w:val="1726" w:hRule="atLeast"/>
          <w:jc w:val="center"/>
        </w:trPr>
        <w:tc>
          <w:tcPr>
            <w:tcW w:w="729" w:type="dxa"/>
            <w:tcBorders>
              <w:top w:val="single" w:color="auto" w:sz="4" w:space="0"/>
              <w:left w:val="single" w:color="auto" w:sz="4" w:space="0"/>
              <w:bottom w:val="single" w:color="auto" w:sz="4" w:space="0"/>
              <w:right w:val="single" w:color="auto" w:sz="4" w:space="0"/>
            </w:tcBorders>
            <w:noWrap/>
            <w:vAlign w:val="center"/>
          </w:tcPr>
          <w:p w14:paraId="00882656">
            <w:pPr>
              <w:spacing w:before="160" w:line="36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7</w:t>
            </w:r>
          </w:p>
        </w:tc>
        <w:tc>
          <w:tcPr>
            <w:tcW w:w="1716" w:type="dxa"/>
            <w:tcBorders>
              <w:top w:val="single" w:color="auto" w:sz="4" w:space="0"/>
              <w:left w:val="nil"/>
              <w:bottom w:val="single" w:color="auto" w:sz="4" w:space="0"/>
              <w:right w:val="single" w:color="auto" w:sz="4" w:space="0"/>
            </w:tcBorders>
            <w:noWrap/>
            <w:vAlign w:val="center"/>
          </w:tcPr>
          <w:p w14:paraId="76722437">
            <w:pPr>
              <w:spacing w:before="160" w:line="360" w:lineRule="auto"/>
              <w:jc w:val="center"/>
              <w:rPr>
                <w:rFonts w:hint="eastAsia" w:ascii="宋体" w:hAnsi="宋体"/>
                <w:color w:val="auto"/>
                <w:sz w:val="24"/>
                <w:highlight w:val="none"/>
                <w:lang w:bidi="ar"/>
              </w:rPr>
            </w:pPr>
            <w:r>
              <w:rPr>
                <w:rFonts w:hint="eastAsia" w:ascii="宋体"/>
                <w:color w:val="auto"/>
                <w:sz w:val="24"/>
                <w:szCs w:val="24"/>
                <w:highlight w:val="none"/>
                <w:lang w:bidi="ar"/>
              </w:rPr>
              <w:t>监理员（资料员与见证员）</w:t>
            </w:r>
          </w:p>
        </w:tc>
        <w:tc>
          <w:tcPr>
            <w:tcW w:w="966" w:type="dxa"/>
            <w:tcBorders>
              <w:top w:val="single" w:color="auto" w:sz="4" w:space="0"/>
              <w:left w:val="nil"/>
              <w:bottom w:val="single" w:color="auto" w:sz="4" w:space="0"/>
              <w:right w:val="single" w:color="auto" w:sz="4" w:space="0"/>
            </w:tcBorders>
            <w:noWrap/>
            <w:vAlign w:val="center"/>
          </w:tcPr>
          <w:p w14:paraId="3C7D56C6">
            <w:pPr>
              <w:spacing w:before="160" w:line="360" w:lineRule="auto"/>
              <w:jc w:val="center"/>
              <w:rPr>
                <w:rFonts w:hint="eastAsia" w:ascii="宋体" w:hAnsi="宋体"/>
                <w:color w:val="auto"/>
                <w:sz w:val="24"/>
                <w:highlight w:val="none"/>
              </w:rPr>
            </w:pPr>
          </w:p>
        </w:tc>
        <w:tc>
          <w:tcPr>
            <w:tcW w:w="1138" w:type="dxa"/>
            <w:tcBorders>
              <w:top w:val="single" w:color="auto" w:sz="4" w:space="0"/>
              <w:left w:val="nil"/>
              <w:bottom w:val="single" w:color="auto" w:sz="4" w:space="0"/>
              <w:right w:val="single" w:color="auto" w:sz="4" w:space="0"/>
            </w:tcBorders>
            <w:noWrap/>
            <w:vAlign w:val="center"/>
          </w:tcPr>
          <w:p w14:paraId="4467B9BE">
            <w:pPr>
              <w:spacing w:before="160" w:line="360" w:lineRule="auto"/>
              <w:jc w:val="center"/>
              <w:rPr>
                <w:rFonts w:hint="eastAsia" w:ascii="宋体" w:hAnsi="宋体"/>
                <w:color w:val="auto"/>
                <w:sz w:val="24"/>
                <w:highlight w:val="none"/>
              </w:rPr>
            </w:pPr>
          </w:p>
        </w:tc>
        <w:tc>
          <w:tcPr>
            <w:tcW w:w="1400" w:type="dxa"/>
            <w:tcBorders>
              <w:top w:val="single" w:color="auto" w:sz="4" w:space="0"/>
              <w:left w:val="nil"/>
              <w:bottom w:val="single" w:color="auto" w:sz="4" w:space="0"/>
              <w:right w:val="single" w:color="auto" w:sz="4" w:space="0"/>
            </w:tcBorders>
            <w:noWrap/>
            <w:vAlign w:val="center"/>
          </w:tcPr>
          <w:p w14:paraId="4B55D5D2">
            <w:pPr>
              <w:spacing w:before="160" w:line="360" w:lineRule="auto"/>
              <w:jc w:val="center"/>
              <w:rPr>
                <w:rFonts w:hint="eastAsia" w:ascii="宋体" w:hAnsi="宋体"/>
                <w:color w:val="auto"/>
                <w:sz w:val="24"/>
                <w:highlight w:val="none"/>
              </w:rPr>
            </w:pPr>
          </w:p>
        </w:tc>
        <w:tc>
          <w:tcPr>
            <w:tcW w:w="1517" w:type="dxa"/>
            <w:tcBorders>
              <w:top w:val="single" w:color="auto" w:sz="4" w:space="0"/>
              <w:left w:val="nil"/>
              <w:bottom w:val="single" w:color="auto" w:sz="4" w:space="0"/>
              <w:right w:val="single" w:color="auto" w:sz="4" w:space="0"/>
            </w:tcBorders>
            <w:noWrap/>
            <w:vAlign w:val="center"/>
          </w:tcPr>
          <w:p w14:paraId="4976CCDA">
            <w:pPr>
              <w:spacing w:before="160" w:line="360" w:lineRule="auto"/>
              <w:jc w:val="center"/>
              <w:rPr>
                <w:rFonts w:hint="eastAsia" w:ascii="宋体" w:hAnsi="宋体"/>
                <w:color w:val="auto"/>
                <w:sz w:val="24"/>
                <w:highlight w:val="none"/>
              </w:rPr>
            </w:pPr>
          </w:p>
        </w:tc>
        <w:tc>
          <w:tcPr>
            <w:tcW w:w="950" w:type="dxa"/>
            <w:tcBorders>
              <w:top w:val="single" w:color="auto" w:sz="4" w:space="0"/>
              <w:left w:val="nil"/>
              <w:bottom w:val="single" w:color="auto" w:sz="4" w:space="0"/>
              <w:right w:val="single" w:color="auto" w:sz="4" w:space="0"/>
            </w:tcBorders>
            <w:noWrap/>
            <w:vAlign w:val="center"/>
          </w:tcPr>
          <w:p w14:paraId="4CDE9AD5">
            <w:pPr>
              <w:spacing w:before="160" w:line="360" w:lineRule="auto"/>
              <w:jc w:val="center"/>
              <w:rPr>
                <w:rFonts w:hint="eastAsia" w:ascii="宋体" w:hAnsi="宋体"/>
                <w:color w:val="auto"/>
                <w:sz w:val="24"/>
                <w:highlight w:val="none"/>
              </w:rPr>
            </w:pPr>
          </w:p>
        </w:tc>
        <w:tc>
          <w:tcPr>
            <w:tcW w:w="1218" w:type="dxa"/>
            <w:tcBorders>
              <w:top w:val="single" w:color="auto" w:sz="4" w:space="0"/>
              <w:left w:val="nil"/>
              <w:bottom w:val="single" w:color="auto" w:sz="4" w:space="0"/>
              <w:right w:val="single" w:color="auto" w:sz="4" w:space="0"/>
            </w:tcBorders>
            <w:noWrap/>
            <w:vAlign w:val="center"/>
          </w:tcPr>
          <w:p w14:paraId="098F3A14">
            <w:pPr>
              <w:spacing w:before="160" w:line="360" w:lineRule="auto"/>
              <w:jc w:val="center"/>
              <w:rPr>
                <w:rFonts w:hint="eastAsia" w:ascii="宋体" w:hAnsi="宋体"/>
                <w:color w:val="auto"/>
                <w:sz w:val="24"/>
                <w:highlight w:val="none"/>
              </w:rPr>
            </w:pPr>
          </w:p>
        </w:tc>
        <w:tc>
          <w:tcPr>
            <w:tcW w:w="1142" w:type="dxa"/>
            <w:tcBorders>
              <w:top w:val="single" w:color="auto" w:sz="4" w:space="0"/>
              <w:left w:val="nil"/>
              <w:bottom w:val="single" w:color="auto" w:sz="4" w:space="0"/>
              <w:right w:val="single" w:color="auto" w:sz="4" w:space="0"/>
            </w:tcBorders>
            <w:noWrap/>
            <w:vAlign w:val="center"/>
          </w:tcPr>
          <w:p w14:paraId="2BA629A4">
            <w:pPr>
              <w:spacing w:before="160" w:line="240" w:lineRule="auto"/>
              <w:jc w:val="center"/>
              <w:rPr>
                <w:rFonts w:hint="eastAsia" w:ascii="宋体" w:hAnsi="宋体"/>
                <w:color w:val="auto"/>
                <w:sz w:val="24"/>
                <w:highlight w:val="none"/>
              </w:rPr>
            </w:pPr>
            <w:r>
              <w:rPr>
                <w:rFonts w:hint="eastAsia" w:ascii="宋体" w:hAnsi="宋体"/>
                <w:color w:val="auto"/>
                <w:sz w:val="24"/>
                <w:highlight w:val="none"/>
              </w:rPr>
              <w:t>全过程</w:t>
            </w:r>
          </w:p>
        </w:tc>
      </w:tr>
    </w:tbl>
    <w:p w14:paraId="72E2371C">
      <w:pPr>
        <w:rPr>
          <w:rFonts w:hint="eastAsia" w:ascii="宋体" w:hAnsi="宋体"/>
          <w:color w:val="auto"/>
          <w:sz w:val="24"/>
          <w:highlight w:val="none"/>
        </w:rPr>
      </w:pPr>
      <w:r>
        <w:rPr>
          <w:color w:val="auto"/>
          <w:highlight w:val="none"/>
        </w:rPr>
        <w:t>注：表中所列人员配备为最低限度要求，监理人可根据实际工作需要及时投入人员。委托人也可根据实际工作情况需要要求监理人及时增加投入人员。</w:t>
      </w:r>
      <w:r>
        <w:rPr>
          <w:color w:val="auto"/>
          <w:highlight w:val="none"/>
        </w:rPr>
        <w:br w:type="page"/>
      </w:r>
      <w:r>
        <w:rPr>
          <w:rFonts w:hint="eastAsia" w:ascii="宋体" w:hAnsi="宋体"/>
          <w:color w:val="auto"/>
          <w:sz w:val="24"/>
          <w:highlight w:val="none"/>
        </w:rPr>
        <w:t>附件3：投标报价表</w:t>
      </w:r>
    </w:p>
    <w:p w14:paraId="7171A3A2">
      <w:pPr>
        <w:rPr>
          <w:rFonts w:hint="eastAsia" w:ascii="宋体" w:hAnsi="宋体"/>
          <w:color w:val="auto"/>
          <w:sz w:val="24"/>
          <w:highlight w:val="none"/>
        </w:rPr>
      </w:pPr>
    </w:p>
    <w:p w14:paraId="47DB3B3C">
      <w:pPr>
        <w:rPr>
          <w:rFonts w:hint="eastAsia" w:ascii="宋体" w:hAnsi="宋体"/>
          <w:color w:val="auto"/>
          <w:sz w:val="24"/>
          <w:highlight w:val="none"/>
        </w:rPr>
        <w:sectPr>
          <w:headerReference r:id="rId5" w:type="default"/>
          <w:footerReference r:id="rId6" w:type="default"/>
          <w:pgSz w:w="11906" w:h="16838"/>
          <w:pgMar w:top="1418" w:right="1418" w:bottom="1134" w:left="1418" w:header="851" w:footer="1191" w:gutter="0"/>
          <w:cols w:space="720" w:num="1"/>
          <w:docGrid w:type="lines" w:linePitch="312" w:charSpace="0"/>
        </w:sectPr>
      </w:pPr>
    </w:p>
    <w:p w14:paraId="08460438">
      <w:pPr>
        <w:pStyle w:val="12"/>
        <w:ind w:firstLine="0" w:firstLineChars="0"/>
        <w:rPr>
          <w:rFonts w:hint="eastAsia" w:ascii="宋体" w:hAnsi="宋体"/>
          <w:color w:val="auto"/>
          <w:highlight w:val="none"/>
        </w:rPr>
      </w:pPr>
      <w:r>
        <w:rPr>
          <w:rFonts w:hint="eastAsia" w:ascii="宋体" w:hAnsi="宋体"/>
          <w:color w:val="auto"/>
          <w:highlight w:val="none"/>
        </w:rPr>
        <w:t>附件4：履约保函格式</w:t>
      </w:r>
    </w:p>
    <w:p w14:paraId="14AABFE8">
      <w:pPr>
        <w:pStyle w:val="12"/>
        <w:ind w:firstLine="0" w:firstLineChars="0"/>
        <w:jc w:val="center"/>
        <w:rPr>
          <w:b/>
          <w:color w:val="auto"/>
          <w:highlight w:val="none"/>
          <w:lang w:val="zh-CN"/>
        </w:rPr>
      </w:pPr>
      <w:r>
        <w:rPr>
          <w:rFonts w:hint="eastAsia"/>
          <w:b/>
          <w:color w:val="auto"/>
          <w:highlight w:val="none"/>
          <w:lang w:val="zh-CN"/>
        </w:rPr>
        <w:t>履约保函格式</w:t>
      </w:r>
    </w:p>
    <w:p w14:paraId="194AA68C">
      <w:pPr>
        <w:pStyle w:val="12"/>
        <w:ind w:firstLine="0" w:firstLineChars="0"/>
        <w:jc w:val="center"/>
        <w:rPr>
          <w:b/>
          <w:color w:val="auto"/>
          <w:highlight w:val="none"/>
          <w:lang w:val="zh-CN"/>
        </w:rPr>
      </w:pPr>
    </w:p>
    <w:p w14:paraId="0463A172">
      <w:pPr>
        <w:pStyle w:val="12"/>
        <w:ind w:firstLine="480"/>
        <w:rPr>
          <w:color w:val="auto"/>
          <w:highlight w:val="none"/>
        </w:rPr>
      </w:pPr>
      <w:r>
        <w:rPr>
          <w:rFonts w:hint="eastAsia"/>
          <w:color w:val="auto"/>
          <w:highlight w:val="none"/>
          <w:lang w:val="zh-CN"/>
        </w:rPr>
        <w:t>致：</w:t>
      </w:r>
      <w:r>
        <w:rPr>
          <w:rFonts w:hint="eastAsia" w:ascii="仿宋" w:hAnsi="仿宋" w:eastAsia="仿宋" w:cs="仿宋"/>
          <w:color w:val="auto"/>
          <w:highlight w:val="none"/>
          <w:u w:val="single"/>
        </w:rPr>
        <w:t>广州增城智</w:t>
      </w:r>
      <w:r>
        <w:rPr>
          <w:rFonts w:hint="eastAsia" w:ascii="仿宋" w:hAnsi="仿宋" w:eastAsia="仿宋" w:cs="仿宋"/>
          <w:color w:val="auto"/>
          <w:highlight w:val="none"/>
          <w:u w:val="single"/>
          <w:lang w:val="en-US" w:eastAsia="zh-CN"/>
        </w:rPr>
        <w:t>通</w:t>
      </w:r>
      <w:r>
        <w:rPr>
          <w:rFonts w:hint="eastAsia" w:ascii="仿宋" w:hAnsi="仿宋" w:eastAsia="仿宋" w:cs="仿宋"/>
          <w:color w:val="auto"/>
          <w:highlight w:val="none"/>
          <w:u w:val="single"/>
        </w:rPr>
        <w:t>投资发展有限公司</w:t>
      </w:r>
    </w:p>
    <w:p w14:paraId="6BF3784B">
      <w:pPr>
        <w:pStyle w:val="12"/>
        <w:ind w:left="1919" w:leftChars="228" w:hanging="1440" w:hangingChars="600"/>
        <w:rPr>
          <w:color w:val="auto"/>
          <w:highlight w:val="none"/>
          <w:lang w:val="zh-CN"/>
        </w:rPr>
      </w:pPr>
      <w:r>
        <w:rPr>
          <w:rFonts w:hint="eastAsia"/>
          <w:color w:val="auto"/>
          <w:highlight w:val="none"/>
          <w:lang w:val="zh-CN"/>
        </w:rPr>
        <w:t>鉴于</w:t>
      </w:r>
      <w:r>
        <w:rPr>
          <w:rFonts w:hint="eastAsia"/>
          <w:color w:val="auto"/>
          <w:highlight w:val="none"/>
          <w:u w:val="single"/>
        </w:rPr>
        <w:t xml:space="preserve">                                    </w:t>
      </w:r>
      <w:r>
        <w:rPr>
          <w:rFonts w:hint="eastAsia"/>
          <w:color w:val="auto"/>
          <w:highlight w:val="none"/>
          <w:lang w:val="zh-CN"/>
        </w:rPr>
        <w:t>（中标单位）已中标，将与贵公司</w:t>
      </w:r>
    </w:p>
    <w:p w14:paraId="1142CD61">
      <w:pPr>
        <w:pStyle w:val="12"/>
        <w:ind w:firstLine="0" w:firstLineChars="0"/>
        <w:rPr>
          <w:color w:val="auto"/>
          <w:highlight w:val="none"/>
          <w:lang w:val="zh-CN"/>
        </w:rPr>
      </w:pPr>
      <w:r>
        <w:rPr>
          <w:rFonts w:hint="eastAsia"/>
          <w:color w:val="auto"/>
          <w:highlight w:val="none"/>
        </w:rPr>
        <w:t>签</w:t>
      </w:r>
      <w:r>
        <w:rPr>
          <w:rFonts w:hint="eastAsia"/>
          <w:color w:val="auto"/>
          <w:highlight w:val="none"/>
          <w:lang w:val="zh-CN"/>
        </w:rPr>
        <w:t>署</w:t>
      </w:r>
      <w:r>
        <w:rPr>
          <w:rFonts w:hint="eastAsia"/>
          <w:color w:val="auto"/>
          <w:highlight w:val="none"/>
          <w:u w:val="single"/>
        </w:rPr>
        <w:t xml:space="preserve">                      </w:t>
      </w:r>
      <w:bookmarkStart w:id="2" w:name="_GoBack"/>
      <w:bookmarkEnd w:id="2"/>
      <w:r>
        <w:rPr>
          <w:rFonts w:hint="eastAsia"/>
          <w:color w:val="auto"/>
          <w:highlight w:val="none"/>
          <w:u w:val="single"/>
        </w:rPr>
        <w:t xml:space="preserve">              </w:t>
      </w:r>
      <w:r>
        <w:rPr>
          <w:rFonts w:hint="eastAsia"/>
          <w:color w:val="auto"/>
          <w:highlight w:val="none"/>
          <w:lang w:val="zh-CN"/>
        </w:rPr>
        <w:t>（以下简称“该合同”），并按合同要求承接该工程监理。</w:t>
      </w:r>
    </w:p>
    <w:p w14:paraId="4BFD827B">
      <w:pPr>
        <w:pStyle w:val="12"/>
        <w:ind w:firstLine="480"/>
        <w:rPr>
          <w:color w:val="auto"/>
          <w:highlight w:val="none"/>
          <w:lang w:val="zh-CN"/>
        </w:rPr>
      </w:pPr>
      <w:r>
        <w:rPr>
          <w:rFonts w:hint="eastAsia"/>
          <w:color w:val="auto"/>
          <w:highlight w:val="none"/>
          <w:lang w:val="zh-CN"/>
        </w:rPr>
        <w:t>鉴于贵公司要求中标单位向贵公司提交下述金额的履约保函，作为中标单位签订该合同后履行合同义务、责任的保证；</w:t>
      </w:r>
    </w:p>
    <w:p w14:paraId="3FB3A5C2">
      <w:pPr>
        <w:pStyle w:val="12"/>
        <w:ind w:firstLine="480"/>
        <w:rPr>
          <w:color w:val="auto"/>
          <w:highlight w:val="none"/>
          <w:lang w:val="zh-CN"/>
        </w:rPr>
      </w:pPr>
      <w:r>
        <w:rPr>
          <w:rFonts w:hint="eastAsia"/>
          <w:color w:val="auto"/>
          <w:highlight w:val="none"/>
          <w:lang w:val="zh-CN"/>
        </w:rPr>
        <w:t>本单位同意为中标单位出具本保函：</w:t>
      </w:r>
    </w:p>
    <w:p w14:paraId="7AE61036">
      <w:pPr>
        <w:pStyle w:val="12"/>
        <w:ind w:firstLine="480"/>
        <w:rPr>
          <w:color w:val="auto"/>
          <w:highlight w:val="none"/>
          <w:lang w:val="zh-CN"/>
        </w:rPr>
      </w:pPr>
      <w:r>
        <w:rPr>
          <w:rFonts w:hint="eastAsia"/>
          <w:color w:val="auto"/>
          <w:highlight w:val="none"/>
          <w:lang w:val="zh-CN"/>
        </w:rPr>
        <w:t>本单位在此不可撤销地向贵公司承诺支付人民币（</w:t>
      </w:r>
      <w:r>
        <w:rPr>
          <w:rFonts w:hint="eastAsia"/>
          <w:color w:val="auto"/>
          <w:highlight w:val="none"/>
        </w:rPr>
        <w:t>小</w:t>
      </w:r>
      <w:r>
        <w:rPr>
          <w:rFonts w:hint="eastAsia"/>
          <w:color w:val="auto"/>
          <w:highlight w:val="none"/>
          <w:lang w:val="zh-CN"/>
        </w:rPr>
        <w:t>写）</w:t>
      </w:r>
      <w:r>
        <w:rPr>
          <w:rFonts w:hint="eastAsia"/>
          <w:color w:val="auto"/>
          <w:highlight w:val="none"/>
          <w:u w:val="single"/>
        </w:rPr>
        <w:t xml:space="preserve">                   </w:t>
      </w:r>
      <w:r>
        <w:rPr>
          <w:rFonts w:hint="eastAsia"/>
          <w:color w:val="auto"/>
          <w:highlight w:val="none"/>
        </w:rPr>
        <w:t>元（大写：</w:t>
      </w:r>
      <w:r>
        <w:rPr>
          <w:rFonts w:hint="eastAsia"/>
          <w:color w:val="auto"/>
          <w:highlight w:val="none"/>
          <w:u w:val="single"/>
        </w:rPr>
        <w:t xml:space="preserve">                 </w:t>
      </w:r>
      <w:r>
        <w:rPr>
          <w:rFonts w:hint="eastAsia"/>
          <w:color w:val="auto"/>
          <w:highlight w:val="none"/>
        </w:rPr>
        <w:t>）</w:t>
      </w:r>
      <w:r>
        <w:rPr>
          <w:rFonts w:hint="eastAsia"/>
          <w:color w:val="auto"/>
          <w:highlight w:val="none"/>
          <w:lang w:val="zh-CN"/>
        </w:rPr>
        <w:t>的责任。担保范围包括但不限于合同主债权、利息、违约金、赔偿金、实现债权的费用及中标单位基于合同向贵公司承担的一切付款义务。若贵公司认定中标单位在履行该合同中，由于资金、技术、质量、管理或任何其他非不可抗力原因给贵公司造成任何经济损失或出现任何违约行为时，本单位在收到贵公司以书面形式提出的不超过上述金额的任何付款要求时，即无条件地给予支付，不挑剔、不争辩、也不要求贵公司出具任何证明文件以说明背景、理由。</w:t>
      </w:r>
    </w:p>
    <w:p w14:paraId="1581679B">
      <w:pPr>
        <w:pStyle w:val="12"/>
        <w:ind w:firstLine="480"/>
        <w:rPr>
          <w:color w:val="auto"/>
          <w:highlight w:val="none"/>
        </w:rPr>
      </w:pPr>
      <w:r>
        <w:rPr>
          <w:rFonts w:hint="eastAsia"/>
          <w:color w:val="auto"/>
          <w:highlight w:val="none"/>
          <w:lang w:val="zh-CN"/>
        </w:rPr>
        <w:t>本保函为连带责任保函，本单位无权要求贵公司应先向中标单位要求赔偿上述金额后再向本单位提出索偿要求。</w:t>
      </w:r>
      <w:r>
        <w:rPr>
          <w:rFonts w:hint="eastAsia"/>
          <w:color w:val="auto"/>
          <w:highlight w:val="none"/>
        </w:rPr>
        <w:t xml:space="preserve">     </w:t>
      </w:r>
    </w:p>
    <w:p w14:paraId="28314627">
      <w:pPr>
        <w:pStyle w:val="12"/>
        <w:ind w:firstLine="480"/>
        <w:rPr>
          <w:color w:val="auto"/>
          <w:highlight w:val="none"/>
          <w:lang w:val="zh-CN"/>
        </w:rPr>
      </w:pPr>
      <w:r>
        <w:rPr>
          <w:rFonts w:hint="eastAsia"/>
          <w:color w:val="auto"/>
          <w:highlight w:val="none"/>
          <w:lang w:val="zh-CN"/>
        </w:rPr>
        <w:t>本单位同意，若贵公司和中标单位之间的合同或合同项下的工程发生变化、补充或修改，本单位承担本保函的责任不改变，有关上述变化、补充和修改也无须通知本单位。</w:t>
      </w:r>
    </w:p>
    <w:p w14:paraId="1FE8428D">
      <w:pPr>
        <w:pStyle w:val="12"/>
        <w:ind w:firstLine="480"/>
        <w:rPr>
          <w:color w:val="auto"/>
          <w:highlight w:val="none"/>
          <w:lang w:val="zh-CN"/>
        </w:rPr>
      </w:pPr>
      <w:r>
        <w:rPr>
          <w:rFonts w:hint="eastAsia"/>
          <w:color w:val="auto"/>
          <w:highlight w:val="none"/>
          <w:lang w:val="zh-CN"/>
        </w:rPr>
        <w:t>本保函自签发之日起生效，并直至该合同项下工程竣工验收合格、交齐所有竣工资料且工程移交证明发出后满28天一直有效。</w:t>
      </w:r>
    </w:p>
    <w:p w14:paraId="79042F6B">
      <w:pPr>
        <w:pStyle w:val="12"/>
        <w:ind w:firstLine="480"/>
        <w:rPr>
          <w:color w:val="auto"/>
          <w:highlight w:val="none"/>
          <w:lang w:val="zh-CN"/>
        </w:rPr>
      </w:pPr>
    </w:p>
    <w:p w14:paraId="1AED0299">
      <w:pPr>
        <w:pStyle w:val="12"/>
        <w:ind w:firstLine="480"/>
        <w:rPr>
          <w:color w:val="auto"/>
          <w:highlight w:val="none"/>
          <w:u w:val="single"/>
        </w:rPr>
      </w:pPr>
      <w:r>
        <w:rPr>
          <w:rFonts w:hint="eastAsia"/>
          <w:color w:val="auto"/>
          <w:highlight w:val="none"/>
        </w:rPr>
        <w:t>担保机构</w:t>
      </w:r>
      <w:r>
        <w:rPr>
          <w:rFonts w:hint="eastAsia"/>
          <w:color w:val="auto"/>
          <w:highlight w:val="none"/>
          <w:lang w:val="zh-CN"/>
        </w:rPr>
        <w:t>名称：（盖章）</w:t>
      </w:r>
      <w:r>
        <w:rPr>
          <w:rFonts w:hint="eastAsia"/>
          <w:color w:val="auto"/>
          <w:highlight w:val="none"/>
          <w:u w:val="single"/>
        </w:rPr>
        <w:t xml:space="preserve">                         </w:t>
      </w:r>
    </w:p>
    <w:p w14:paraId="7DADFDE4">
      <w:pPr>
        <w:pStyle w:val="12"/>
        <w:ind w:firstLine="480"/>
        <w:rPr>
          <w:color w:val="auto"/>
          <w:highlight w:val="none"/>
          <w:u w:val="single"/>
        </w:rPr>
      </w:pPr>
      <w:r>
        <w:rPr>
          <w:rFonts w:hint="eastAsia"/>
          <w:color w:val="auto"/>
          <w:highlight w:val="none"/>
          <w:lang w:val="zh-CN"/>
        </w:rPr>
        <w:t>负责人：（签字或盖章）</w:t>
      </w:r>
      <w:r>
        <w:rPr>
          <w:rFonts w:hint="eastAsia"/>
          <w:color w:val="auto"/>
          <w:highlight w:val="none"/>
          <w:u w:val="single"/>
          <w:lang w:val="zh-CN"/>
        </w:rPr>
        <w:t xml:space="preserve">                 </w:t>
      </w:r>
      <w:r>
        <w:rPr>
          <w:rFonts w:hint="eastAsia"/>
          <w:color w:val="auto"/>
          <w:highlight w:val="none"/>
          <w:lang w:val="zh-CN"/>
        </w:rPr>
        <w:t xml:space="preserve"> 地    址：</w:t>
      </w:r>
      <w:r>
        <w:rPr>
          <w:rFonts w:hint="eastAsia"/>
          <w:color w:val="auto"/>
          <w:highlight w:val="none"/>
          <w:u w:val="single"/>
        </w:rPr>
        <w:t xml:space="preserve">                    </w:t>
      </w:r>
    </w:p>
    <w:p w14:paraId="0782EDE9">
      <w:pPr>
        <w:pStyle w:val="12"/>
        <w:ind w:firstLine="480"/>
        <w:rPr>
          <w:color w:val="auto"/>
          <w:highlight w:val="none"/>
          <w:lang w:val="zh-CN"/>
        </w:rPr>
      </w:pPr>
      <w:r>
        <w:rPr>
          <w:rFonts w:hint="eastAsia"/>
          <w:color w:val="auto"/>
          <w:highlight w:val="none"/>
          <w:lang w:val="zh-CN"/>
        </w:rPr>
        <w:t>邮政编码：</w:t>
      </w:r>
      <w:r>
        <w:rPr>
          <w:rFonts w:hint="eastAsia"/>
          <w:color w:val="auto"/>
          <w:highlight w:val="none"/>
          <w:u w:val="single"/>
          <w:lang w:val="zh-CN"/>
        </w:rPr>
        <w:t xml:space="preserve">                       </w:t>
      </w:r>
      <w:r>
        <w:rPr>
          <w:rFonts w:hint="eastAsia"/>
          <w:color w:val="auto"/>
          <w:highlight w:val="none"/>
          <w:lang w:val="zh-CN"/>
        </w:rPr>
        <w:t>日期：</w:t>
      </w:r>
      <w:r>
        <w:rPr>
          <w:rFonts w:hint="eastAsia"/>
          <w:color w:val="auto"/>
          <w:highlight w:val="none"/>
          <w:u w:val="single"/>
        </w:rPr>
        <w:t xml:space="preserve">      </w:t>
      </w:r>
      <w:r>
        <w:rPr>
          <w:rFonts w:hint="eastAsia"/>
          <w:color w:val="auto"/>
          <w:highlight w:val="none"/>
          <w:lang w:val="zh-CN"/>
        </w:rPr>
        <w:t>年</w:t>
      </w:r>
      <w:r>
        <w:rPr>
          <w:rFonts w:hint="eastAsia"/>
          <w:color w:val="auto"/>
          <w:highlight w:val="none"/>
          <w:u w:val="single"/>
        </w:rPr>
        <w:t xml:space="preserve">     </w:t>
      </w:r>
      <w:r>
        <w:rPr>
          <w:rFonts w:hint="eastAsia"/>
          <w:color w:val="auto"/>
          <w:highlight w:val="none"/>
          <w:lang w:val="zh-CN"/>
        </w:rPr>
        <w:t>月</w:t>
      </w:r>
      <w:r>
        <w:rPr>
          <w:rFonts w:hint="eastAsia"/>
          <w:color w:val="auto"/>
          <w:highlight w:val="none"/>
          <w:u w:val="single"/>
          <w:lang w:val="zh-CN"/>
        </w:rPr>
        <w:t xml:space="preserve">   </w:t>
      </w:r>
      <w:r>
        <w:rPr>
          <w:rFonts w:hint="eastAsia"/>
          <w:color w:val="auto"/>
          <w:highlight w:val="none"/>
          <w:u w:val="single"/>
        </w:rPr>
        <w:t xml:space="preserve"> </w:t>
      </w:r>
      <w:r>
        <w:rPr>
          <w:rFonts w:hint="eastAsia"/>
          <w:color w:val="auto"/>
          <w:highlight w:val="none"/>
          <w:lang w:val="zh-CN"/>
        </w:rPr>
        <w:t>日</w:t>
      </w:r>
    </w:p>
    <w:p w14:paraId="514EF26D">
      <w:pPr>
        <w:pStyle w:val="12"/>
        <w:ind w:firstLine="480"/>
        <w:rPr>
          <w:color w:val="auto"/>
          <w:highlight w:val="none"/>
          <w:lang w:val="zh-CN"/>
        </w:rPr>
      </w:pPr>
      <w:r>
        <w:rPr>
          <w:color w:val="auto"/>
          <w:highlight w:val="none"/>
          <w:lang w:val="zh-CN"/>
        </w:rPr>
        <w:t xml:space="preserve"> </w:t>
      </w:r>
    </w:p>
    <w:p w14:paraId="5E60A6EA">
      <w:pPr>
        <w:rPr>
          <w:color w:val="auto"/>
          <w:highlight w:val="none"/>
        </w:rPr>
      </w:pPr>
    </w:p>
    <w:sectPr>
      <w:headerReference r:id="rId7" w:type="default"/>
      <w:footerReference r:id="rId8" w:type="default"/>
      <w:pgSz w:w="11906" w:h="16838"/>
      <w:pgMar w:top="1418" w:right="1418" w:bottom="1134" w:left="1418"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1DEF0">
    <w:pPr>
      <w:pStyle w:val="5"/>
      <w:jc w:val="center"/>
    </w:pPr>
    <w:r>
      <w:fldChar w:fldCharType="begin"/>
    </w:r>
    <w:r>
      <w:instrText xml:space="preserve">PAGE   \* MERGEFORMAT</w:instrText>
    </w:r>
    <w:r>
      <w:fldChar w:fldCharType="separate"/>
    </w:r>
    <w:r>
      <w:rPr>
        <w:lang w:val="zh-CN"/>
      </w:rP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9BA9">
    <w:pPr>
      <w:pStyle w:val="5"/>
      <w:jc w:val="center"/>
    </w:pPr>
    <w:r>
      <w:rPr>
        <w:sz w:val="18"/>
      </w:rPr>
      <w:drawing>
        <wp:anchor distT="0" distB="0" distL="114300" distR="114300" simplePos="0" relativeHeight="251659264" behindDoc="1" locked="0" layoutInCell="1" allowOverlap="1">
          <wp:simplePos x="0" y="0"/>
          <wp:positionH relativeFrom="margin">
            <wp:posOffset>2578735</wp:posOffset>
          </wp:positionH>
          <wp:positionV relativeFrom="margin">
            <wp:posOffset>8987155</wp:posOffset>
          </wp:positionV>
          <wp:extent cx="682625" cy="682625"/>
          <wp:effectExtent l="0" t="0" r="3175" b="3175"/>
          <wp:wrapNone/>
          <wp:docPr id="2" name="WordPictureWatermark73119" descr="范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119" descr="范本章"/>
                  <pic:cNvPicPr>
                    <a:picLocks noChangeAspect="1"/>
                  </pic:cNvPicPr>
                </pic:nvPicPr>
                <pic:blipFill>
                  <a:blip r:embed="rId1">
                    <a:lum bright="69998" contrast="-70001"/>
                  </a:blip>
                  <a:stretch>
                    <a:fillRect/>
                  </a:stretch>
                </pic:blipFill>
                <pic:spPr>
                  <a:xfrm>
                    <a:off x="0" y="0"/>
                    <a:ext cx="682625" cy="682625"/>
                  </a:xfrm>
                  <a:prstGeom prst="rect">
                    <a:avLst/>
                  </a:prstGeom>
                  <a:noFill/>
                  <a:ln>
                    <a:noFill/>
                  </a:ln>
                </pic:spPr>
              </pic:pic>
            </a:graphicData>
          </a:graphic>
        </wp:anchor>
      </w:drawing>
    </w:r>
    <w:r>
      <w:fldChar w:fldCharType="begin"/>
    </w:r>
    <w:r>
      <w:instrText xml:space="preserve">PAGE   \* MERGEFORMAT</w:instrText>
    </w:r>
    <w:r>
      <w:fldChar w:fldCharType="separate"/>
    </w:r>
    <w:r>
      <w:rPr>
        <w:lang w:val="zh-CN"/>
      </w:rPr>
      <w:t>45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3952B">
    <w:pPr>
      <w:pStyle w:val="5"/>
      <w:jc w:val="center"/>
    </w:pPr>
    <w:r>
      <w:rPr>
        <w:sz w:val="18"/>
      </w:rPr>
      <w:drawing>
        <wp:anchor distT="0" distB="0" distL="114300" distR="114300" simplePos="0" relativeHeight="251660288" behindDoc="1" locked="0" layoutInCell="1" allowOverlap="1">
          <wp:simplePos x="0" y="0"/>
          <wp:positionH relativeFrom="margin">
            <wp:posOffset>2557780</wp:posOffset>
          </wp:positionH>
          <wp:positionV relativeFrom="margin">
            <wp:posOffset>8994140</wp:posOffset>
          </wp:positionV>
          <wp:extent cx="682625" cy="682625"/>
          <wp:effectExtent l="0" t="0" r="3175" b="3175"/>
          <wp:wrapNone/>
          <wp:docPr id="3" name="WordPictureWatermark73119" descr="范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3119" descr="范本章"/>
                  <pic:cNvPicPr>
                    <a:picLocks noChangeAspect="1"/>
                  </pic:cNvPicPr>
                </pic:nvPicPr>
                <pic:blipFill>
                  <a:blip r:embed="rId1">
                    <a:lum bright="69998" contrast="-70001"/>
                  </a:blip>
                  <a:stretch>
                    <a:fillRect/>
                  </a:stretch>
                </pic:blipFill>
                <pic:spPr>
                  <a:xfrm>
                    <a:off x="0" y="0"/>
                    <a:ext cx="682625" cy="682625"/>
                  </a:xfrm>
                  <a:prstGeom prst="rect">
                    <a:avLst/>
                  </a:prstGeom>
                  <a:noFill/>
                  <a:ln>
                    <a:noFill/>
                  </a:ln>
                </pic:spPr>
              </pic:pic>
            </a:graphicData>
          </a:graphic>
        </wp:anchor>
      </w:drawing>
    </w:r>
    <w:r>
      <w:fldChar w:fldCharType="begin"/>
    </w:r>
    <w:r>
      <w:instrText xml:space="preserve">PAGE   \* MERGEFORMAT</w:instrText>
    </w:r>
    <w:r>
      <w:fldChar w:fldCharType="separate"/>
    </w:r>
    <w:r>
      <w:rPr>
        <w:lang w:val="zh-CN"/>
      </w:rPr>
      <w:t>45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071E4">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BF3BA">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469D8">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902"/>
        </w:tabs>
        <w:ind w:left="902" w:hanging="422"/>
      </w:pPr>
      <w:rPr>
        <w:rFonts w:hint="eastAsia"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
    <w:nsid w:val="60F732B9"/>
    <w:multiLevelType w:val="multilevel"/>
    <w:tmpl w:val="60F732B9"/>
    <w:lvl w:ilvl="0" w:tentative="0">
      <w:start w:val="1"/>
      <w:numFmt w:val="japaneseCounting"/>
      <w:lvlText w:val="（%1）"/>
      <w:lvlJc w:val="left"/>
      <w:pPr>
        <w:ind w:left="1200" w:hanging="720"/>
      </w:pPr>
      <w:rPr>
        <w:rFonts w:hint="default"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CE3A9A1"/>
    <w:multiLevelType w:val="singleLevel"/>
    <w:tmpl w:val="6CE3A9A1"/>
    <w:lvl w:ilvl="0" w:tentative="0">
      <w:start w:val="5"/>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27F81"/>
    <w:rsid w:val="05084D94"/>
    <w:rsid w:val="1B8F31E1"/>
    <w:rsid w:val="43CC7505"/>
    <w:rsid w:val="4513711D"/>
    <w:rsid w:val="59F27F81"/>
    <w:rsid w:val="77E57EA7"/>
    <w:rsid w:val="78691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pPr>
    <w:rPr>
      <w:szCs w:val="20"/>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0">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1">
    <w:name w:val="纯文本 New"/>
    <w:basedOn w:val="10"/>
    <w:qFormat/>
    <w:uiPriority w:val="0"/>
    <w:rPr>
      <w:rFonts w:ascii="宋体" w:hAnsi="Courier New" w:cs="Courier New"/>
      <w:sz w:val="21"/>
      <w:szCs w:val="21"/>
    </w:rPr>
  </w:style>
  <w:style w:type="paragraph" w:customStyle="1" w:styleId="12">
    <w:name w:val="样式1-正文"/>
    <w:basedOn w:val="1"/>
    <w:qFormat/>
    <w:uiPriority w:val="0"/>
    <w:pPr>
      <w:autoSpaceDE w:val="0"/>
      <w:autoSpaceDN w:val="0"/>
      <w:adjustRightInd w:val="0"/>
      <w:spacing w:line="360" w:lineRule="auto"/>
      <w:ind w:firstLine="600" w:firstLineChars="200"/>
      <w:jc w:val="left"/>
    </w:pPr>
    <w:rPr>
      <w:rFonts w:eastAsia="仿宋_GB2312"/>
      <w:color w:val="000000"/>
      <w:kern w:val="0"/>
      <w:sz w:val="24"/>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1674</Words>
  <Characters>1715</Characters>
  <Lines>0</Lines>
  <Paragraphs>0</Paragraphs>
  <TotalTime>16</TotalTime>
  <ScaleCrop>false</ScaleCrop>
  <LinksUpToDate>false</LinksUpToDate>
  <CharactersWithSpaces>2038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2025-11-26T07:40:00Z</dcterms:created>
  <dc:creator>省机电</dc:creator>
  <cp:lastModifiedBy>省机电</cp:lastModifiedBy>
  <dcterms:modified xsi:type="dcterms:W3CDTF">2025-12-02T10:31:11Z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7847661CAAE74E6090102155F4D38D70_11</vt:lpwstr>
  </property>
  <property fmtid="{D5CDD505-2E9C-101B-9397-08002B2CF9AE}" pid="4" name="KSOTemplateDocerSaveRecord">
    <vt:lpwstr>eyJoZGlkIjoiYjM3ZTdhZTIwNjQwOTUwZjczMTg3NTM1YzE2MTJhMTEiLCJ1c2VySWQiOiIzMzMxNDIzMTgifQ==</vt:lpwstr>
  </property>
</Properties>
</file>