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798D5">
      <w:pPr>
        <w:snapToGrid w:val="0"/>
        <w:spacing w:line="360" w:lineRule="auto"/>
        <w:jc w:val="center"/>
        <w:rPr>
          <w:rFonts w:hint="eastAsia" w:ascii="宋体" w:hAnsi="宋体" w:cs="宋体"/>
          <w:b/>
          <w:color w:val="auto"/>
          <w:sz w:val="40"/>
          <w:szCs w:val="40"/>
          <w:highlight w:val="none"/>
        </w:rPr>
      </w:pPr>
    </w:p>
    <w:p w14:paraId="2B5EEF0F">
      <w:pPr>
        <w:snapToGrid w:val="0"/>
        <w:spacing w:line="360" w:lineRule="auto"/>
        <w:ind w:left="-283" w:leftChars="-135"/>
        <w:jc w:val="center"/>
        <w:rPr>
          <w:rFonts w:hint="eastAsia" w:ascii="宋体" w:hAnsi="宋体" w:eastAsia="宋体" w:cs="宋体"/>
          <w:color w:val="auto"/>
          <w:sz w:val="40"/>
          <w:szCs w:val="40"/>
          <w:highlight w:val="none"/>
          <w:lang w:eastAsia="zh-CN"/>
        </w:rPr>
      </w:pPr>
      <w:r>
        <w:rPr>
          <w:rFonts w:hint="eastAsia" w:ascii="宋体" w:hAnsi="宋体" w:cs="宋体"/>
          <w:b/>
          <w:color w:val="auto"/>
          <w:sz w:val="40"/>
          <w:szCs w:val="40"/>
          <w:highlight w:val="none"/>
          <w:lang w:eastAsia="zh-CN"/>
        </w:rPr>
        <w:t>广州东部外贸综合服务产业园项目监理</w:t>
      </w:r>
    </w:p>
    <w:p w14:paraId="7405D775">
      <w:pPr>
        <w:spacing w:line="200" w:lineRule="exact"/>
        <w:rPr>
          <w:rFonts w:eastAsia="Times New Roman"/>
          <w:color w:val="auto"/>
          <w:highlight w:val="none"/>
        </w:rPr>
      </w:pPr>
    </w:p>
    <w:p w14:paraId="1F278882">
      <w:pPr>
        <w:spacing w:line="200" w:lineRule="exact"/>
        <w:rPr>
          <w:color w:val="auto"/>
          <w:highlight w:val="none"/>
        </w:rPr>
      </w:pPr>
    </w:p>
    <w:p w14:paraId="4AACB75F">
      <w:pPr>
        <w:spacing w:line="200" w:lineRule="exact"/>
        <w:rPr>
          <w:color w:val="auto"/>
          <w:highlight w:val="none"/>
        </w:rPr>
      </w:pPr>
    </w:p>
    <w:p w14:paraId="5F0390AD">
      <w:pPr>
        <w:spacing w:line="200" w:lineRule="exact"/>
        <w:rPr>
          <w:color w:val="auto"/>
          <w:highlight w:val="none"/>
        </w:rPr>
      </w:pPr>
    </w:p>
    <w:p w14:paraId="26D21C88">
      <w:pPr>
        <w:spacing w:line="200" w:lineRule="exact"/>
        <w:rPr>
          <w:rFonts w:hint="eastAsia" w:ascii="宋体" w:hAnsi="宋体" w:cs="宋体"/>
          <w:color w:val="auto"/>
          <w:highlight w:val="none"/>
        </w:rPr>
      </w:pPr>
    </w:p>
    <w:p w14:paraId="659D6585">
      <w:pPr>
        <w:spacing w:line="200" w:lineRule="exact"/>
        <w:rPr>
          <w:rFonts w:hint="eastAsia" w:ascii="宋体" w:hAnsi="宋体" w:cs="宋体"/>
          <w:color w:val="auto"/>
          <w:highlight w:val="none"/>
        </w:rPr>
      </w:pPr>
    </w:p>
    <w:p w14:paraId="624C9088">
      <w:pPr>
        <w:spacing w:line="200" w:lineRule="exact"/>
        <w:rPr>
          <w:rFonts w:hint="eastAsia" w:ascii="宋体" w:hAnsi="宋体" w:cs="宋体"/>
          <w:color w:val="auto"/>
          <w:highlight w:val="none"/>
        </w:rPr>
      </w:pPr>
    </w:p>
    <w:p w14:paraId="2E519CDB">
      <w:pPr>
        <w:spacing w:line="200" w:lineRule="exact"/>
        <w:rPr>
          <w:rFonts w:hint="eastAsia" w:ascii="宋体" w:hAnsi="宋体" w:cs="宋体"/>
          <w:color w:val="auto"/>
          <w:highlight w:val="none"/>
        </w:rPr>
      </w:pPr>
      <w:bookmarkStart w:id="33" w:name="_GoBack"/>
      <w:bookmarkEnd w:id="33"/>
    </w:p>
    <w:p w14:paraId="0BFB432C">
      <w:pPr>
        <w:spacing w:line="200" w:lineRule="exact"/>
        <w:rPr>
          <w:rFonts w:hint="eastAsia" w:ascii="宋体" w:hAnsi="宋体" w:cs="宋体"/>
          <w:color w:val="auto"/>
          <w:highlight w:val="none"/>
        </w:rPr>
      </w:pPr>
    </w:p>
    <w:p w14:paraId="414C98A5">
      <w:pPr>
        <w:spacing w:line="200" w:lineRule="exact"/>
        <w:rPr>
          <w:rFonts w:hint="eastAsia" w:ascii="宋体" w:hAnsi="宋体" w:cs="宋体"/>
          <w:color w:val="auto"/>
          <w:highlight w:val="none"/>
        </w:rPr>
      </w:pPr>
    </w:p>
    <w:p w14:paraId="3288CB7B">
      <w:pPr>
        <w:spacing w:line="200" w:lineRule="exact"/>
        <w:rPr>
          <w:rFonts w:hint="eastAsia" w:ascii="宋体" w:hAnsi="宋体" w:cs="宋体"/>
          <w:color w:val="auto"/>
          <w:highlight w:val="none"/>
        </w:rPr>
      </w:pPr>
    </w:p>
    <w:p w14:paraId="44F309D8">
      <w:pPr>
        <w:spacing w:line="200" w:lineRule="exact"/>
        <w:rPr>
          <w:rFonts w:hint="eastAsia" w:ascii="宋体" w:hAnsi="宋体" w:cs="宋体"/>
          <w:color w:val="auto"/>
          <w:highlight w:val="none"/>
        </w:rPr>
      </w:pPr>
    </w:p>
    <w:p w14:paraId="3ACD8D58">
      <w:pPr>
        <w:spacing w:line="200" w:lineRule="exact"/>
        <w:rPr>
          <w:rFonts w:hint="eastAsia" w:ascii="宋体" w:hAnsi="宋体" w:cs="宋体"/>
          <w:color w:val="auto"/>
          <w:highlight w:val="none"/>
        </w:rPr>
      </w:pPr>
    </w:p>
    <w:p w14:paraId="7AB435B1">
      <w:pPr>
        <w:spacing w:line="200" w:lineRule="exact"/>
        <w:rPr>
          <w:rFonts w:hint="eastAsia" w:ascii="宋体" w:hAnsi="宋体" w:cs="宋体"/>
          <w:color w:val="auto"/>
          <w:highlight w:val="none"/>
        </w:rPr>
      </w:pPr>
    </w:p>
    <w:p w14:paraId="6E7CC780">
      <w:pPr>
        <w:spacing w:line="200" w:lineRule="exact"/>
        <w:rPr>
          <w:rFonts w:hint="eastAsia" w:ascii="宋体" w:hAnsi="宋体" w:cs="宋体"/>
          <w:color w:val="auto"/>
          <w:highlight w:val="none"/>
        </w:rPr>
      </w:pPr>
    </w:p>
    <w:p w14:paraId="43FE719C">
      <w:pPr>
        <w:spacing w:line="200" w:lineRule="exact"/>
        <w:rPr>
          <w:rFonts w:hint="eastAsia" w:ascii="宋体" w:hAnsi="宋体" w:cs="宋体"/>
          <w:color w:val="auto"/>
          <w:highlight w:val="none"/>
        </w:rPr>
      </w:pPr>
    </w:p>
    <w:p w14:paraId="13594E1C">
      <w:pPr>
        <w:spacing w:line="269" w:lineRule="exact"/>
        <w:rPr>
          <w:rFonts w:hint="eastAsia" w:ascii="宋体" w:hAnsi="宋体" w:cs="宋体"/>
          <w:color w:val="auto"/>
          <w:highlight w:val="none"/>
        </w:rPr>
      </w:pPr>
    </w:p>
    <w:p w14:paraId="641632E1">
      <w:pPr>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招标公告</w:t>
      </w:r>
    </w:p>
    <w:p w14:paraId="42AAD01C">
      <w:pPr>
        <w:spacing w:line="200" w:lineRule="exact"/>
        <w:rPr>
          <w:rFonts w:hint="eastAsia" w:ascii="宋体" w:hAnsi="宋体" w:cs="宋体"/>
          <w:color w:val="auto"/>
          <w:highlight w:val="none"/>
        </w:rPr>
      </w:pPr>
    </w:p>
    <w:p w14:paraId="3815A869">
      <w:pPr>
        <w:spacing w:line="200" w:lineRule="exact"/>
        <w:rPr>
          <w:rFonts w:hint="eastAsia" w:ascii="宋体" w:hAnsi="宋体" w:cs="宋体"/>
          <w:color w:val="auto"/>
          <w:highlight w:val="none"/>
        </w:rPr>
      </w:pPr>
    </w:p>
    <w:p w14:paraId="3DA38408">
      <w:pPr>
        <w:spacing w:line="200" w:lineRule="exact"/>
        <w:rPr>
          <w:rFonts w:hint="eastAsia" w:ascii="宋体" w:hAnsi="宋体" w:cs="宋体"/>
          <w:color w:val="auto"/>
          <w:highlight w:val="none"/>
        </w:rPr>
      </w:pPr>
    </w:p>
    <w:p w14:paraId="05868A6B">
      <w:pPr>
        <w:spacing w:line="200" w:lineRule="exact"/>
        <w:rPr>
          <w:rFonts w:hint="eastAsia" w:ascii="宋体" w:hAnsi="宋体" w:cs="宋体"/>
          <w:color w:val="auto"/>
          <w:highlight w:val="none"/>
        </w:rPr>
      </w:pPr>
    </w:p>
    <w:p w14:paraId="73C9FE26">
      <w:pPr>
        <w:spacing w:line="200" w:lineRule="exact"/>
        <w:rPr>
          <w:rFonts w:hint="eastAsia" w:ascii="宋体" w:hAnsi="宋体" w:cs="宋体"/>
          <w:color w:val="auto"/>
          <w:highlight w:val="none"/>
        </w:rPr>
      </w:pPr>
    </w:p>
    <w:p w14:paraId="5FC9B9D7">
      <w:pPr>
        <w:spacing w:line="200" w:lineRule="exact"/>
        <w:rPr>
          <w:rFonts w:hint="eastAsia" w:ascii="宋体" w:hAnsi="宋体" w:cs="宋体"/>
          <w:color w:val="auto"/>
          <w:highlight w:val="none"/>
        </w:rPr>
      </w:pPr>
    </w:p>
    <w:p w14:paraId="25BEBE73">
      <w:pPr>
        <w:spacing w:line="200" w:lineRule="exact"/>
        <w:rPr>
          <w:rFonts w:hint="eastAsia" w:ascii="宋体" w:hAnsi="宋体" w:cs="宋体"/>
          <w:color w:val="auto"/>
          <w:highlight w:val="none"/>
        </w:rPr>
      </w:pPr>
    </w:p>
    <w:p w14:paraId="59CEA68D">
      <w:pPr>
        <w:spacing w:line="200" w:lineRule="exact"/>
        <w:rPr>
          <w:rFonts w:hint="eastAsia" w:ascii="宋体" w:hAnsi="宋体" w:cs="宋体"/>
          <w:color w:val="auto"/>
          <w:highlight w:val="none"/>
        </w:rPr>
      </w:pPr>
    </w:p>
    <w:p w14:paraId="3D1C2EC8">
      <w:pPr>
        <w:spacing w:line="200" w:lineRule="exact"/>
        <w:rPr>
          <w:rFonts w:hint="eastAsia" w:ascii="宋体" w:hAnsi="宋体" w:cs="宋体"/>
          <w:color w:val="auto"/>
          <w:highlight w:val="none"/>
        </w:rPr>
      </w:pPr>
    </w:p>
    <w:p w14:paraId="7D61AA40">
      <w:pPr>
        <w:spacing w:line="200" w:lineRule="exact"/>
        <w:rPr>
          <w:rFonts w:hint="eastAsia" w:ascii="宋体" w:hAnsi="宋体" w:cs="宋体"/>
          <w:color w:val="auto"/>
          <w:highlight w:val="none"/>
        </w:rPr>
      </w:pPr>
    </w:p>
    <w:p w14:paraId="038EA668">
      <w:pPr>
        <w:spacing w:line="200" w:lineRule="exact"/>
        <w:rPr>
          <w:rFonts w:hint="eastAsia" w:ascii="宋体" w:hAnsi="宋体" w:cs="宋体"/>
          <w:color w:val="auto"/>
          <w:highlight w:val="none"/>
        </w:rPr>
      </w:pPr>
    </w:p>
    <w:p w14:paraId="27A2B0A6">
      <w:pPr>
        <w:spacing w:line="200" w:lineRule="exact"/>
        <w:rPr>
          <w:rFonts w:hint="eastAsia" w:ascii="宋体" w:hAnsi="宋体" w:cs="宋体"/>
          <w:color w:val="auto"/>
          <w:highlight w:val="none"/>
        </w:rPr>
      </w:pPr>
    </w:p>
    <w:p w14:paraId="4FB244BB">
      <w:pPr>
        <w:spacing w:line="200" w:lineRule="exact"/>
        <w:rPr>
          <w:rFonts w:hint="eastAsia" w:ascii="宋体" w:hAnsi="宋体" w:cs="宋体"/>
          <w:color w:val="auto"/>
          <w:highlight w:val="none"/>
        </w:rPr>
      </w:pPr>
    </w:p>
    <w:p w14:paraId="5170327F">
      <w:pPr>
        <w:spacing w:line="200" w:lineRule="exact"/>
        <w:rPr>
          <w:rFonts w:hint="eastAsia" w:ascii="宋体" w:hAnsi="宋体" w:cs="宋体"/>
          <w:color w:val="auto"/>
          <w:highlight w:val="none"/>
        </w:rPr>
      </w:pPr>
    </w:p>
    <w:p w14:paraId="5DD867DE">
      <w:pPr>
        <w:spacing w:line="200" w:lineRule="exact"/>
        <w:rPr>
          <w:rFonts w:hint="eastAsia" w:ascii="宋体" w:hAnsi="宋体" w:cs="宋体"/>
          <w:color w:val="auto"/>
          <w:highlight w:val="none"/>
        </w:rPr>
      </w:pPr>
    </w:p>
    <w:p w14:paraId="2BB58E81">
      <w:pPr>
        <w:spacing w:line="200" w:lineRule="exact"/>
        <w:rPr>
          <w:rFonts w:hint="eastAsia" w:ascii="宋体" w:hAnsi="宋体" w:cs="宋体"/>
          <w:color w:val="auto"/>
          <w:highlight w:val="none"/>
        </w:rPr>
      </w:pPr>
    </w:p>
    <w:p w14:paraId="2AC62542">
      <w:pPr>
        <w:spacing w:line="200" w:lineRule="exact"/>
        <w:rPr>
          <w:rFonts w:hint="eastAsia" w:ascii="宋体" w:hAnsi="宋体" w:cs="宋体"/>
          <w:color w:val="auto"/>
          <w:highlight w:val="none"/>
        </w:rPr>
      </w:pPr>
    </w:p>
    <w:p w14:paraId="239D618D">
      <w:pPr>
        <w:spacing w:line="200" w:lineRule="exact"/>
        <w:rPr>
          <w:rFonts w:hint="eastAsia" w:ascii="宋体" w:hAnsi="宋体" w:cs="宋体"/>
          <w:color w:val="auto"/>
          <w:highlight w:val="none"/>
        </w:rPr>
      </w:pPr>
    </w:p>
    <w:p w14:paraId="2822F4F9">
      <w:pPr>
        <w:spacing w:line="200" w:lineRule="exact"/>
        <w:rPr>
          <w:rFonts w:hint="eastAsia" w:ascii="宋体" w:hAnsi="宋体" w:cs="宋体"/>
          <w:color w:val="auto"/>
          <w:highlight w:val="none"/>
        </w:rPr>
      </w:pPr>
    </w:p>
    <w:p w14:paraId="4FDB83CB">
      <w:pPr>
        <w:spacing w:line="200" w:lineRule="exact"/>
        <w:rPr>
          <w:rFonts w:hint="eastAsia" w:ascii="宋体" w:hAnsi="宋体" w:cs="宋体"/>
          <w:color w:val="auto"/>
          <w:highlight w:val="none"/>
        </w:rPr>
      </w:pPr>
    </w:p>
    <w:p w14:paraId="165E2F60">
      <w:pPr>
        <w:spacing w:line="200" w:lineRule="exact"/>
        <w:rPr>
          <w:rFonts w:hint="eastAsia" w:ascii="宋体" w:hAnsi="宋体" w:cs="宋体"/>
          <w:color w:val="auto"/>
          <w:highlight w:val="none"/>
        </w:rPr>
      </w:pPr>
    </w:p>
    <w:p w14:paraId="15EBB4AD">
      <w:pPr>
        <w:spacing w:line="200" w:lineRule="exact"/>
        <w:rPr>
          <w:rFonts w:hint="eastAsia" w:ascii="宋体" w:hAnsi="宋体" w:cs="宋体"/>
          <w:color w:val="auto"/>
          <w:highlight w:val="none"/>
        </w:rPr>
      </w:pPr>
    </w:p>
    <w:p w14:paraId="01EA81AC">
      <w:pPr>
        <w:spacing w:line="200" w:lineRule="exact"/>
        <w:rPr>
          <w:rFonts w:hint="eastAsia" w:ascii="宋体" w:hAnsi="宋体" w:cs="宋体"/>
          <w:color w:val="auto"/>
          <w:highlight w:val="none"/>
        </w:rPr>
      </w:pPr>
    </w:p>
    <w:p w14:paraId="25E371CC">
      <w:pPr>
        <w:spacing w:line="200" w:lineRule="exact"/>
        <w:rPr>
          <w:rFonts w:hint="eastAsia" w:ascii="宋体" w:hAnsi="宋体" w:cs="宋体"/>
          <w:color w:val="auto"/>
          <w:highlight w:val="none"/>
        </w:rPr>
      </w:pPr>
    </w:p>
    <w:p w14:paraId="6A583EF1">
      <w:pPr>
        <w:spacing w:line="281" w:lineRule="exact"/>
        <w:rPr>
          <w:rFonts w:hint="eastAsia" w:ascii="宋体" w:hAnsi="宋体" w:cs="宋体"/>
          <w:color w:val="auto"/>
          <w:highlight w:val="none"/>
        </w:rPr>
      </w:pPr>
    </w:p>
    <w:p w14:paraId="7775B760">
      <w:pPr>
        <w:ind w:left="840" w:firstLine="420"/>
        <w:rPr>
          <w:rFonts w:hint="eastAsia" w:ascii="宋体" w:hAnsi="宋体" w:eastAsia="宋体" w:cs="宋体"/>
          <w:b/>
          <w:color w:val="auto"/>
          <w:sz w:val="28"/>
          <w:highlight w:val="none"/>
          <w:lang w:eastAsia="zh-CN"/>
        </w:rPr>
      </w:pPr>
      <w:r>
        <w:rPr>
          <w:rFonts w:hint="eastAsia" w:ascii="宋体" w:hAnsi="宋体" w:cs="宋体"/>
          <w:b/>
          <w:color w:val="auto"/>
          <w:sz w:val="28"/>
          <w:highlight w:val="none"/>
        </w:rPr>
        <w:t>招 标 人：</w:t>
      </w:r>
      <w:r>
        <w:rPr>
          <w:rFonts w:hint="eastAsia" w:ascii="宋体" w:hAnsi="宋体" w:cs="宋体"/>
          <w:b/>
          <w:color w:val="auto"/>
          <w:sz w:val="28"/>
          <w:highlight w:val="none"/>
          <w:lang w:eastAsia="zh-CN"/>
        </w:rPr>
        <w:t>广州增城智通投资发展有限公司</w:t>
      </w:r>
    </w:p>
    <w:p w14:paraId="7A08E75D">
      <w:pPr>
        <w:ind w:left="840" w:firstLine="420"/>
        <w:rPr>
          <w:rFonts w:hint="eastAsia" w:ascii="宋体" w:hAnsi="宋体" w:eastAsia="宋体" w:cs="宋体"/>
          <w:color w:val="auto"/>
          <w:highlight w:val="none"/>
          <w:lang w:eastAsia="zh-CN"/>
        </w:rPr>
      </w:pPr>
      <w:r>
        <w:rPr>
          <w:rFonts w:hint="eastAsia" w:ascii="宋体" w:hAnsi="宋体" w:cs="宋体"/>
          <w:b/>
          <w:color w:val="auto"/>
          <w:sz w:val="28"/>
          <w:highlight w:val="none"/>
        </w:rPr>
        <w:t>招标代理：</w:t>
      </w:r>
      <w:r>
        <w:rPr>
          <w:rFonts w:hint="eastAsia" w:ascii="宋体" w:hAnsi="宋体" w:cs="宋体"/>
          <w:b/>
          <w:color w:val="auto"/>
          <w:sz w:val="28"/>
          <w:highlight w:val="none"/>
          <w:lang w:eastAsia="zh-CN"/>
        </w:rPr>
        <w:t>广东省机电设备招标有限公司</w:t>
      </w:r>
    </w:p>
    <w:p w14:paraId="42A0E6FA">
      <w:pPr>
        <w:ind w:left="840" w:firstLine="420"/>
        <w:rPr>
          <w:rFonts w:hint="eastAsia" w:ascii="宋体" w:hAnsi="宋体" w:cs="宋体"/>
          <w:b/>
          <w:color w:val="auto"/>
          <w:sz w:val="28"/>
          <w:szCs w:val="28"/>
          <w:highlight w:val="none"/>
        </w:rPr>
      </w:pPr>
      <w:r>
        <w:rPr>
          <w:rFonts w:hint="eastAsia" w:ascii="宋体" w:hAnsi="宋体" w:cs="宋体"/>
          <w:b/>
          <w:color w:val="auto"/>
          <w:sz w:val="28"/>
          <w:szCs w:val="28"/>
          <w:highlight w:val="none"/>
        </w:rPr>
        <w:t>日    期：202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12</w:t>
      </w:r>
      <w:r>
        <w:rPr>
          <w:rFonts w:hint="eastAsia" w:ascii="宋体" w:hAnsi="宋体" w:cs="宋体"/>
          <w:b/>
          <w:color w:val="auto"/>
          <w:sz w:val="28"/>
          <w:szCs w:val="28"/>
          <w:highlight w:val="none"/>
        </w:rPr>
        <w:t>月</w:t>
      </w:r>
    </w:p>
    <w:p w14:paraId="09BA2642">
      <w:pPr>
        <w:spacing w:line="0" w:lineRule="atLeast"/>
        <w:ind w:left="840" w:firstLine="420"/>
        <w:rPr>
          <w:rFonts w:eastAsia="Times New Roman"/>
          <w:color w:val="auto"/>
          <w:sz w:val="2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titlePg/>
          <w:docGrid w:type="lines" w:linePitch="312" w:charSpace="0"/>
        </w:sectPr>
      </w:pPr>
    </w:p>
    <w:p w14:paraId="279554E6">
      <w:pPr>
        <w:widowControl/>
        <w:spacing w:line="360" w:lineRule="auto"/>
        <w:jc w:val="center"/>
        <w:rPr>
          <w:rFonts w:hint="eastAsia" w:eastAsia="宋体"/>
          <w:b/>
          <w:color w:val="auto"/>
          <w:sz w:val="36"/>
          <w:szCs w:val="36"/>
          <w:highlight w:val="none"/>
          <w:lang w:eastAsia="zh-CN"/>
        </w:rPr>
      </w:pPr>
      <w:r>
        <w:rPr>
          <w:rFonts w:hint="eastAsia"/>
          <w:b/>
          <w:color w:val="auto"/>
          <w:sz w:val="36"/>
          <w:szCs w:val="36"/>
          <w:highlight w:val="none"/>
          <w:lang w:eastAsia="zh-CN"/>
        </w:rPr>
        <w:t>广州东部外贸综合服务产业园项目监理</w:t>
      </w:r>
    </w:p>
    <w:p w14:paraId="26E6B4E0">
      <w:pPr>
        <w:widowControl/>
        <w:spacing w:line="360" w:lineRule="auto"/>
        <w:jc w:val="center"/>
        <w:rPr>
          <w:rFonts w:hint="eastAsia" w:ascii="宋体" w:hAnsi="宋体"/>
          <w:b/>
          <w:color w:val="auto"/>
          <w:kern w:val="44"/>
          <w:sz w:val="36"/>
          <w:szCs w:val="36"/>
          <w:highlight w:val="none"/>
        </w:rPr>
      </w:pPr>
      <w:r>
        <w:rPr>
          <w:rFonts w:hint="eastAsia" w:ascii="宋体" w:hAnsi="宋体"/>
          <w:b/>
          <w:color w:val="auto"/>
          <w:kern w:val="44"/>
          <w:sz w:val="36"/>
          <w:szCs w:val="36"/>
          <w:highlight w:val="none"/>
        </w:rPr>
        <w:t>招标公告</w:t>
      </w:r>
    </w:p>
    <w:p w14:paraId="7BB5CD7D">
      <w:pPr>
        <w:pStyle w:val="4"/>
        <w:spacing w:before="156" w:beforeLines="50" w:line="360" w:lineRule="auto"/>
        <w:rPr>
          <w:color w:val="auto"/>
          <w:highlight w:val="none"/>
        </w:rPr>
      </w:pPr>
      <w:bookmarkStart w:id="0" w:name="_Toc511557025"/>
      <w:bookmarkStart w:id="1" w:name="_Toc529196504"/>
      <w:bookmarkStart w:id="2" w:name="_Toc535938695"/>
      <w:bookmarkStart w:id="3" w:name="_Toc511557028"/>
      <w:bookmarkStart w:id="4" w:name="_Toc529196507"/>
      <w:r>
        <w:rPr>
          <w:rFonts w:hint="eastAsia"/>
          <w:color w:val="auto"/>
          <w:highlight w:val="none"/>
        </w:rPr>
        <w:t>1. 招标条件</w:t>
      </w:r>
      <w:bookmarkEnd w:id="0"/>
      <w:bookmarkEnd w:id="1"/>
      <w:bookmarkEnd w:id="2"/>
    </w:p>
    <w:p w14:paraId="089925A1">
      <w:pPr>
        <w:tabs>
          <w:tab w:val="left" w:pos="7513"/>
        </w:tabs>
        <w:spacing w:line="440" w:lineRule="exact"/>
        <w:ind w:firstLine="480" w:firstLineChars="200"/>
        <w:rPr>
          <w:rFonts w:hint="eastAsia" w:ascii="宋体" w:hAnsi="宋体" w:cs="宋体"/>
          <w:color w:val="auto"/>
          <w:sz w:val="24"/>
          <w:szCs w:val="24"/>
          <w:highlight w:val="none"/>
        </w:rPr>
      </w:pPr>
      <w:bookmarkStart w:id="5" w:name="_Toc511557026"/>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lang w:eastAsia="zh-CN"/>
        </w:rPr>
        <w:t>广州东部外贸综合服务产业园项目</w:t>
      </w:r>
      <w:r>
        <w:rPr>
          <w:rFonts w:ascii="宋体" w:hAnsi="宋体" w:cs="宋体"/>
          <w:color w:val="auto"/>
          <w:sz w:val="24"/>
          <w:szCs w:val="24"/>
          <w:highlight w:val="none"/>
        </w:rPr>
        <w:t>已由</w:t>
      </w:r>
      <w:r>
        <w:rPr>
          <w:rFonts w:ascii="宋体" w:hAnsi="宋体" w:cs="宋体"/>
          <w:color w:val="auto"/>
          <w:sz w:val="24"/>
          <w:szCs w:val="24"/>
          <w:highlight w:val="none"/>
          <w:u w:val="single"/>
        </w:rPr>
        <w:t>广州市</w:t>
      </w:r>
      <w:r>
        <w:rPr>
          <w:rFonts w:hint="eastAsia" w:ascii="宋体" w:hAnsi="宋体" w:cs="宋体"/>
          <w:color w:val="auto"/>
          <w:sz w:val="24"/>
          <w:szCs w:val="24"/>
          <w:highlight w:val="none"/>
          <w:u w:val="single"/>
        </w:rPr>
        <w:t>增城区</w:t>
      </w:r>
      <w:r>
        <w:rPr>
          <w:rFonts w:ascii="宋体" w:hAnsi="宋体" w:cs="宋体"/>
          <w:color w:val="auto"/>
          <w:sz w:val="24"/>
          <w:szCs w:val="24"/>
          <w:highlight w:val="none"/>
          <w:u w:val="single"/>
        </w:rPr>
        <w:t>发展和改革</w:t>
      </w:r>
      <w:r>
        <w:rPr>
          <w:rFonts w:hint="eastAsia" w:ascii="宋体" w:hAnsi="宋体" w:cs="宋体"/>
          <w:color w:val="auto"/>
          <w:sz w:val="24"/>
          <w:szCs w:val="24"/>
          <w:highlight w:val="none"/>
          <w:u w:val="single"/>
          <w:lang w:val="en-US" w:eastAsia="zh-CN"/>
        </w:rPr>
        <w:t>局</w:t>
      </w:r>
      <w:r>
        <w:rPr>
          <w:rFonts w:ascii="宋体" w:hAnsi="宋体" w:cs="宋体"/>
          <w:color w:val="auto"/>
          <w:sz w:val="24"/>
          <w:szCs w:val="24"/>
          <w:highlight w:val="none"/>
          <w:u w:val="single"/>
        </w:rPr>
        <w:t>以</w:t>
      </w:r>
      <w:r>
        <w:rPr>
          <w:rFonts w:hint="eastAsia" w:ascii="宋体" w:hAnsi="宋体" w:cs="宋体"/>
          <w:color w:val="auto"/>
          <w:sz w:val="24"/>
          <w:szCs w:val="24"/>
          <w:highlight w:val="none"/>
          <w:u w:val="single"/>
        </w:rPr>
        <w:t>广东省企业投资项目备案证（项目代码：</w:t>
      </w:r>
      <w:r>
        <w:rPr>
          <w:rFonts w:hint="eastAsia" w:ascii="宋体" w:hAnsi="宋体"/>
          <w:color w:val="auto"/>
          <w:sz w:val="24"/>
          <w:highlight w:val="none"/>
          <w:u w:val="single"/>
        </w:rPr>
        <w:t>2412-440118-04-01-172229</w:t>
      </w:r>
      <w:r>
        <w:rPr>
          <w:rFonts w:hint="eastAsia" w:ascii="宋体" w:hAnsi="宋体" w:cs="宋体"/>
          <w:color w:val="auto"/>
          <w:sz w:val="24"/>
          <w:szCs w:val="24"/>
          <w:highlight w:val="none"/>
          <w:u w:val="single"/>
        </w:rPr>
        <w:t>）</w:t>
      </w:r>
      <w:r>
        <w:rPr>
          <w:rFonts w:hint="eastAsia" w:ascii="宋体" w:hAnsi="宋体"/>
          <w:color w:val="auto"/>
          <w:sz w:val="24"/>
          <w:highlight w:val="none"/>
        </w:rPr>
        <w:t>批准建设</w:t>
      </w:r>
      <w:r>
        <w:rPr>
          <w:rFonts w:hint="eastAsia" w:ascii="宋体" w:hAnsi="宋体" w:cs="宋体"/>
          <w:color w:val="auto"/>
          <w:sz w:val="24"/>
          <w:szCs w:val="24"/>
          <w:highlight w:val="none"/>
        </w:rPr>
        <w:t>，项目业主为</w:t>
      </w:r>
      <w:r>
        <w:rPr>
          <w:rFonts w:hint="eastAsia" w:ascii="宋体" w:hAnsi="宋体" w:cs="宋体"/>
          <w:color w:val="auto"/>
          <w:sz w:val="24"/>
          <w:szCs w:val="24"/>
          <w:highlight w:val="none"/>
          <w:u w:val="single"/>
          <w:lang w:eastAsia="zh-CN"/>
        </w:rPr>
        <w:t>广州增城智通投资发展有限公司</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rPr>
        <w:t>企业自筹</w:t>
      </w:r>
      <w:r>
        <w:rPr>
          <w:rFonts w:hint="eastAsia" w:ascii="宋体" w:hAnsi="宋体" w:cs="宋体"/>
          <w:color w:val="auto"/>
          <w:sz w:val="24"/>
          <w:szCs w:val="24"/>
          <w:highlight w:val="none"/>
        </w:rPr>
        <w:t>，出资比例为</w:t>
      </w:r>
      <w:r>
        <w:rPr>
          <w:rFonts w:hint="eastAsia" w:ascii="宋体" w:hAnsi="宋体" w:cs="宋体"/>
          <w:color w:val="auto"/>
          <w:sz w:val="24"/>
          <w:szCs w:val="24"/>
          <w:highlight w:val="none"/>
          <w:u w:val="single"/>
        </w:rPr>
        <w:t>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eastAsia="zh-CN"/>
        </w:rPr>
        <w:t>广州增城智通投资发展有限公司</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监理</w:t>
      </w:r>
      <w:r>
        <w:rPr>
          <w:rFonts w:hint="eastAsia" w:ascii="宋体" w:hAnsi="宋体" w:cs="宋体"/>
          <w:color w:val="auto"/>
          <w:sz w:val="24"/>
          <w:szCs w:val="24"/>
          <w:highlight w:val="none"/>
        </w:rPr>
        <w:t>进行公开招标。</w:t>
      </w:r>
    </w:p>
    <w:p w14:paraId="764556A5">
      <w:pPr>
        <w:pStyle w:val="4"/>
        <w:spacing w:before="156" w:beforeLines="50" w:line="360" w:lineRule="auto"/>
        <w:rPr>
          <w:color w:val="auto"/>
          <w:highlight w:val="none"/>
        </w:rPr>
      </w:pPr>
      <w:bookmarkStart w:id="6" w:name="_Toc529196505"/>
      <w:bookmarkStart w:id="7" w:name="_Toc535938696"/>
      <w:r>
        <w:rPr>
          <w:rFonts w:hint="eastAsia"/>
          <w:color w:val="auto"/>
          <w:highlight w:val="none"/>
        </w:rPr>
        <w:t>2. 项目概况与招标范围</w:t>
      </w:r>
      <w:bookmarkEnd w:id="5"/>
      <w:bookmarkEnd w:id="6"/>
      <w:bookmarkEnd w:id="7"/>
    </w:p>
    <w:p w14:paraId="5D19EAE1">
      <w:pPr>
        <w:tabs>
          <w:tab w:val="left" w:pos="7513"/>
        </w:tabs>
        <w:spacing w:line="440" w:lineRule="exact"/>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2.1招标项目概况</w:t>
      </w:r>
    </w:p>
    <w:p w14:paraId="4654AC27">
      <w:pPr>
        <w:tabs>
          <w:tab w:val="left" w:pos="7513"/>
        </w:tabs>
        <w:spacing w:line="440" w:lineRule="exact"/>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lang w:eastAsia="zh-CN"/>
        </w:rPr>
        <w:t>广州东部外贸综合服务产业园项目监理</w:t>
      </w:r>
    </w:p>
    <w:p w14:paraId="31D99206">
      <w:pPr>
        <w:tabs>
          <w:tab w:val="left" w:pos="7513"/>
        </w:tabs>
        <w:spacing w:line="440" w:lineRule="exact"/>
        <w:ind w:firstLine="480" w:firstLineChars="200"/>
        <w:jc w:val="left"/>
        <w:rPr>
          <w:rFonts w:ascii="Times New Roman" w:hAnsi="Times New Roman" w:cs="宋体"/>
          <w:color w:val="auto"/>
          <w:spacing w:val="4"/>
          <w:kern w:val="0"/>
          <w:sz w:val="24"/>
          <w:szCs w:val="24"/>
          <w:highlight w:val="none"/>
          <w:u w:val="single"/>
          <w:lang w:bidi="ar"/>
        </w:rPr>
      </w:pPr>
      <w:r>
        <w:rPr>
          <w:rFonts w:hint="eastAsia" w:ascii="宋体" w:hAnsi="宋体" w:cs="宋体"/>
          <w:color w:val="auto"/>
          <w:sz w:val="24"/>
          <w:szCs w:val="24"/>
          <w:highlight w:val="none"/>
        </w:rPr>
        <w:t>2.1.2</w:t>
      </w:r>
      <w:r>
        <w:rPr>
          <w:rFonts w:hint="eastAsia" w:ascii="宋体" w:hAnsi="宋体"/>
          <w:bCs/>
          <w:color w:val="auto"/>
          <w:sz w:val="24"/>
          <w:highlight w:val="none"/>
        </w:rPr>
        <w:t>工程建设规模</w:t>
      </w:r>
      <w:r>
        <w:rPr>
          <w:rFonts w:hint="eastAsia" w:ascii="宋体" w:hAnsi="宋体" w:cs="宋体"/>
          <w:color w:val="auto"/>
          <w:sz w:val="24"/>
          <w:szCs w:val="24"/>
          <w:highlight w:val="none"/>
        </w:rPr>
        <w:t>：</w:t>
      </w:r>
      <w:r>
        <w:rPr>
          <w:rFonts w:hint="eastAsia" w:ascii="宋体" w:hAnsi="宋体"/>
          <w:color w:val="auto"/>
          <w:sz w:val="24"/>
          <w:highlight w:val="none"/>
          <w:u w:val="single"/>
        </w:rPr>
        <w:t>广州东部外贸综合服务产业园是一个以外贸综合服务为核心，融合邮快跨监管、高标智能仓储、机场货站及服务配套等多功能于一体的综合性产业园区。本项目占地约70.86亩(含拟获取的5.4亩），容积率约2.3，总建筑面积约96526.03㎡，拟建设2栋高标准智能仓库（四层，中间通过盘道相连）和1栋配套办公楼，海关监管中心位于其中一栋仓库的首层。最大建筑高度为45.3米，最大单跨跨度18.0米，最大单体建筑面积为89344㎡。</w:t>
      </w:r>
    </w:p>
    <w:p w14:paraId="48D45C37">
      <w:pPr>
        <w:tabs>
          <w:tab w:val="left" w:pos="7513"/>
        </w:tabs>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2.1.3工程建设地点：</w:t>
      </w:r>
      <w:bookmarkStart w:id="8" w:name="OLE_LINK13"/>
      <w:r>
        <w:rPr>
          <w:rFonts w:hint="eastAsia" w:ascii="宋体" w:hAnsi="宋体"/>
          <w:color w:val="auto"/>
          <w:sz w:val="24"/>
          <w:highlight w:val="none"/>
          <w:u w:val="single"/>
        </w:rPr>
        <w:t>广州市增城区。</w:t>
      </w:r>
      <w:bookmarkEnd w:id="8"/>
    </w:p>
    <w:p w14:paraId="15E28000">
      <w:pPr>
        <w:widowControl/>
        <w:tabs>
          <w:tab w:val="left" w:pos="7513"/>
        </w:tabs>
        <w:spacing w:line="440" w:lineRule="exact"/>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2.1.4工程估算/建筑安装工程费：</w:t>
      </w:r>
      <w:r>
        <w:rPr>
          <w:rFonts w:hint="eastAsia" w:ascii="宋体" w:hAnsi="宋体" w:cs="宋体"/>
          <w:color w:val="auto"/>
          <w:sz w:val="24"/>
          <w:highlight w:val="none"/>
          <w:u w:val="single"/>
        </w:rPr>
        <w:t>本项目总投资约</w:t>
      </w:r>
      <w:r>
        <w:rPr>
          <w:rFonts w:hint="eastAsia" w:ascii="宋体" w:hAnsi="宋体" w:cs="宋体"/>
          <w:color w:val="auto"/>
          <w:sz w:val="24"/>
          <w:highlight w:val="none"/>
          <w:u w:val="single"/>
          <w:lang w:val="en-US" w:eastAsia="zh-CN" w:bidi="ar"/>
        </w:rPr>
        <w:t>40000</w:t>
      </w:r>
      <w:r>
        <w:rPr>
          <w:rFonts w:hint="eastAsia" w:ascii="宋体" w:hAnsi="宋体" w:cs="宋体"/>
          <w:color w:val="auto"/>
          <w:sz w:val="24"/>
          <w:highlight w:val="none"/>
          <w:u w:val="single"/>
          <w:lang w:bidi="ar"/>
        </w:rPr>
        <w:t>.00</w:t>
      </w:r>
      <w:r>
        <w:rPr>
          <w:rFonts w:hint="eastAsia" w:ascii="宋体" w:hAnsi="宋体" w:cs="宋体"/>
          <w:color w:val="auto"/>
          <w:sz w:val="24"/>
          <w:highlight w:val="none"/>
          <w:u w:val="single"/>
        </w:rPr>
        <w:t>万元。</w:t>
      </w:r>
    </w:p>
    <w:p w14:paraId="2D55478F">
      <w:pPr>
        <w:tabs>
          <w:tab w:val="left" w:pos="7513"/>
        </w:tabs>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2.2招标范围</w:t>
      </w:r>
    </w:p>
    <w:p w14:paraId="3BA6FE55">
      <w:pPr>
        <w:tabs>
          <w:tab w:val="left" w:pos="7513"/>
        </w:tabs>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w:t>
      </w:r>
      <w:r>
        <w:rPr>
          <w:rFonts w:hint="eastAsia" w:ascii="宋体" w:hAnsi="宋体"/>
          <w:bCs/>
          <w:color w:val="auto"/>
          <w:sz w:val="24"/>
          <w:highlight w:val="none"/>
        </w:rPr>
        <w:t>标段划分：</w:t>
      </w:r>
      <w:r>
        <w:rPr>
          <w:rFonts w:hint="eastAsia" w:ascii="宋体" w:hAnsi="宋体"/>
          <w:color w:val="auto"/>
          <w:sz w:val="24"/>
          <w:highlight w:val="none"/>
          <w:u w:val="single"/>
        </w:rPr>
        <w:t>本项目设1个标段。</w:t>
      </w:r>
    </w:p>
    <w:p w14:paraId="1077E45D">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2.2.2监理范围：</w:t>
      </w:r>
      <w:r>
        <w:rPr>
          <w:rFonts w:hint="eastAsia" w:ascii="宋体" w:hAnsi="宋体"/>
          <w:color w:val="auto"/>
          <w:sz w:val="24"/>
          <w:highlight w:val="none"/>
          <w:u w:val="single"/>
        </w:rPr>
        <w:t>负责本工程建设范围的所有工程内容的全过程监理，包括</w:t>
      </w:r>
      <w:r>
        <w:rPr>
          <w:rFonts w:hint="eastAsia" w:ascii="宋体" w:hAnsi="宋体"/>
          <w:color w:val="auto"/>
          <w:sz w:val="24"/>
          <w:highlight w:val="none"/>
          <w:u w:val="single"/>
          <w:lang w:val="en-US" w:eastAsia="zh-CN"/>
        </w:rPr>
        <w:t>塔楼、裙楼及用地红线内的主体结构、电气工程、给排水工程、消防系统、智能化工程、外立面、园林绿化、道路、市政综合管线及永久围墙等；</w:t>
      </w:r>
      <w:r>
        <w:rPr>
          <w:rFonts w:hint="eastAsia" w:ascii="宋体" w:hAnsi="宋体"/>
          <w:color w:val="auto"/>
          <w:sz w:val="24"/>
          <w:highlight w:val="none"/>
          <w:u w:val="single"/>
        </w:rPr>
        <w:t>包括施工准备阶段、施工阶段、工程收尾阶段（包括但不限于竣工验收、整改、工程移交、实物移交及工程结算）及工程质量保修期阶段的质量控制，安全生产监督管理、投资控制、进度控制、合同管理、信息管理、组织协调、档案管理等全过程监理工作（含项目管理）工作。</w:t>
      </w:r>
    </w:p>
    <w:p w14:paraId="5D4679C0">
      <w:pPr>
        <w:spacing w:line="360" w:lineRule="auto"/>
        <w:ind w:firstLine="480" w:firstLineChars="200"/>
        <w:rPr>
          <w:rFonts w:hint="eastAsia" w:ascii="宋体" w:hAnsi="宋体"/>
          <w:color w:val="auto"/>
          <w:sz w:val="24"/>
          <w:szCs w:val="24"/>
          <w:highlight w:val="none"/>
          <w:u w:val="single"/>
        </w:rPr>
      </w:pPr>
      <w:r>
        <w:rPr>
          <w:rFonts w:hint="eastAsia" w:ascii="宋体" w:hAnsi="宋体" w:cs="宋体"/>
          <w:color w:val="auto"/>
          <w:sz w:val="24"/>
          <w:szCs w:val="24"/>
          <w:highlight w:val="none"/>
        </w:rPr>
        <w:t>2.2.3监理服务期限：</w:t>
      </w:r>
      <w:r>
        <w:rPr>
          <w:rFonts w:hint="eastAsia" w:ascii="宋体" w:hAnsi="宋体"/>
          <w:color w:val="auto"/>
          <w:sz w:val="24"/>
          <w:szCs w:val="24"/>
          <w:highlight w:val="none"/>
          <w:u w:val="single"/>
        </w:rPr>
        <w:t>监理服务周期自施工准备阶段起至本项目工程质量保修期满且本项目工程竣工结算审定满60天止，具体服务周期随项目实际实施周期调整。</w:t>
      </w:r>
    </w:p>
    <w:p w14:paraId="73B9970F">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2.2.4最高投标限价：</w:t>
      </w:r>
      <w:r>
        <w:rPr>
          <w:rFonts w:hint="eastAsia" w:ascii="宋体" w:hAnsi="宋体"/>
          <w:color w:val="auto"/>
          <w:sz w:val="24"/>
          <w:szCs w:val="24"/>
          <w:highlight w:val="none"/>
          <w:u w:val="single"/>
          <w:lang w:val="en-US" w:eastAsia="zh-CN"/>
        </w:rPr>
        <w:t>180.00</w:t>
      </w:r>
      <w:r>
        <w:rPr>
          <w:rFonts w:hint="eastAsia" w:ascii="宋体" w:hAnsi="宋体"/>
          <w:color w:val="auto"/>
          <w:sz w:val="24"/>
          <w:szCs w:val="24"/>
          <w:highlight w:val="none"/>
          <w:u w:val="single"/>
        </w:rPr>
        <w:t>万元</w:t>
      </w:r>
    </w:p>
    <w:p w14:paraId="31E51243">
      <w:pPr>
        <w:pStyle w:val="4"/>
        <w:spacing w:before="312" w:beforeLines="100" w:line="360" w:lineRule="auto"/>
        <w:rPr>
          <w:color w:val="auto"/>
          <w:highlight w:val="none"/>
        </w:rPr>
      </w:pPr>
      <w:bookmarkStart w:id="9" w:name="_Toc529196506"/>
      <w:bookmarkStart w:id="10" w:name="_Toc535938697"/>
      <w:bookmarkStart w:id="11" w:name="_Toc511557027"/>
      <w:r>
        <w:rPr>
          <w:rFonts w:hint="eastAsia"/>
          <w:color w:val="auto"/>
          <w:highlight w:val="none"/>
        </w:rPr>
        <w:t>3. 投标人资格要求</w:t>
      </w:r>
      <w:bookmarkEnd w:id="9"/>
      <w:bookmarkEnd w:id="10"/>
      <w:bookmarkEnd w:id="11"/>
    </w:p>
    <w:p w14:paraId="3BFA58E6">
      <w:pPr>
        <w:spacing w:line="360" w:lineRule="auto"/>
        <w:ind w:firstLine="480" w:firstLineChars="200"/>
        <w:rPr>
          <w:rFonts w:hint="eastAsia" w:ascii="宋体" w:hAnsi="宋体" w:cs="楷体"/>
          <w:color w:val="auto"/>
          <w:sz w:val="24"/>
          <w:szCs w:val="24"/>
          <w:highlight w:val="none"/>
          <w:u w:val="single"/>
        </w:rPr>
      </w:pPr>
      <w:bookmarkStart w:id="12" w:name="_Toc535938699"/>
      <w:r>
        <w:rPr>
          <w:rFonts w:hint="eastAsia" w:ascii="宋体" w:hAnsi="宋体" w:cs="宋体"/>
          <w:color w:val="auto"/>
          <w:sz w:val="24"/>
          <w:szCs w:val="24"/>
          <w:highlight w:val="none"/>
        </w:rPr>
        <w:t>3.1投标人须具备建设行政主管部门颁发的</w:t>
      </w:r>
      <w:r>
        <w:rPr>
          <w:rFonts w:hint="eastAsia" w:ascii="宋体" w:hAnsi="宋体" w:cs="宋体"/>
          <w:b/>
          <w:bCs/>
          <w:color w:val="auto"/>
          <w:sz w:val="24"/>
          <w:szCs w:val="24"/>
          <w:highlight w:val="none"/>
          <w:u w:val="single"/>
        </w:rPr>
        <w:t>工程监理综合资质或房屋建筑工程监理专业</w:t>
      </w:r>
      <w:r>
        <w:rPr>
          <w:rFonts w:hint="eastAsia" w:ascii="宋体" w:hAnsi="宋体" w:cs="宋体"/>
          <w:b/>
          <w:bCs/>
          <w:color w:val="auto"/>
          <w:sz w:val="24"/>
          <w:szCs w:val="24"/>
          <w:highlight w:val="none"/>
          <w:u w:val="single"/>
          <w:lang w:val="en-US" w:eastAsia="zh-CN"/>
        </w:rPr>
        <w:t>甲</w:t>
      </w:r>
      <w:r>
        <w:rPr>
          <w:rFonts w:hint="eastAsia" w:ascii="宋体" w:hAnsi="宋体" w:cs="宋体"/>
          <w:b/>
          <w:bCs/>
          <w:color w:val="auto"/>
          <w:sz w:val="24"/>
          <w:szCs w:val="24"/>
          <w:highlight w:val="none"/>
          <w:u w:val="single"/>
        </w:rPr>
        <w:t>级资质</w:t>
      </w:r>
      <w:r>
        <w:rPr>
          <w:rFonts w:hint="eastAsia" w:ascii="宋体" w:hAnsi="宋体" w:cs="宋体"/>
          <w:color w:val="auto"/>
          <w:sz w:val="24"/>
          <w:szCs w:val="24"/>
          <w:highlight w:val="none"/>
        </w:rPr>
        <w:t>；</w:t>
      </w:r>
      <w:r>
        <w:rPr>
          <w:rFonts w:hint="eastAsia" w:ascii="宋体" w:hAnsi="宋体" w:cs="楷体"/>
          <w:color w:val="auto"/>
          <w:sz w:val="24"/>
          <w:szCs w:val="24"/>
          <w:highlight w:val="none"/>
          <w:u w:val="single"/>
        </w:rPr>
        <w:t>香港企业参加投标的，须在广东省住房和城乡建设主管部门备案且备案的业务范围满足本项目</w:t>
      </w:r>
      <w:r>
        <w:rPr>
          <w:rFonts w:hint="eastAsia" w:ascii="宋体" w:hAnsi="宋体" w:cs="宋体"/>
          <w:color w:val="auto"/>
          <w:kern w:val="0"/>
          <w:sz w:val="24"/>
          <w:highlight w:val="none"/>
          <w:u w:val="single"/>
        </w:rPr>
        <w:t>招标文件</w:t>
      </w:r>
      <w:r>
        <w:rPr>
          <w:rFonts w:hint="eastAsia" w:ascii="宋体" w:hAnsi="宋体" w:cs="楷体"/>
          <w:color w:val="auto"/>
          <w:sz w:val="24"/>
          <w:szCs w:val="24"/>
          <w:highlight w:val="none"/>
          <w:u w:val="single"/>
        </w:rPr>
        <w:t>要求。</w:t>
      </w:r>
    </w:p>
    <w:p w14:paraId="0E31511D">
      <w:pPr>
        <w:spacing w:line="360" w:lineRule="auto"/>
        <w:ind w:firstLine="422" w:firstLineChars="200"/>
        <w:jc w:val="left"/>
        <w:rPr>
          <w:rFonts w:hint="eastAsia" w:ascii="宋体" w:hAnsi="宋体" w:cs="楷体"/>
          <w:b/>
          <w:bCs/>
          <w:color w:val="auto"/>
          <w:szCs w:val="21"/>
          <w:highlight w:val="none"/>
          <w:u w:val="single"/>
        </w:rPr>
      </w:pPr>
      <w:r>
        <w:rPr>
          <w:rFonts w:hint="eastAsia" w:ascii="宋体" w:hAnsi="宋体" w:cs="楷体"/>
          <w:b/>
          <w:bCs/>
          <w:color w:val="auto"/>
          <w:szCs w:val="21"/>
          <w:highlight w:val="none"/>
          <w:u w:val="single"/>
        </w:rPr>
        <w:t>注：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15018C0C">
      <w:pPr>
        <w:spacing w:line="440" w:lineRule="exact"/>
        <w:ind w:firstLine="422" w:firstLineChars="200"/>
        <w:rPr>
          <w:rFonts w:hint="eastAsia" w:ascii="宋体" w:hAnsi="宋体" w:cs="楷体"/>
          <w:b/>
          <w:bCs/>
          <w:color w:val="auto"/>
          <w:szCs w:val="21"/>
          <w:highlight w:val="none"/>
          <w:u w:val="single"/>
        </w:rPr>
      </w:pPr>
      <w:r>
        <w:rPr>
          <w:rFonts w:hint="eastAsia" w:ascii="宋体" w:hAnsi="宋体" w:cs="楷体"/>
          <w:b/>
          <w:bCs/>
          <w:color w:val="auto"/>
          <w:szCs w:val="21"/>
          <w:highlight w:val="none"/>
          <w:u w:val="single"/>
        </w:rPr>
        <w:t>②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cs="宋体"/>
          <w:b/>
          <w:color w:val="auto"/>
          <w:szCs w:val="21"/>
          <w:highlight w:val="none"/>
          <w:lang w:bidi="ar"/>
        </w:rPr>
        <w:t>根据上述文件的要求，投标人需办理企业资质有效期延续的，应当按照相关规定及时办理。</w:t>
      </w:r>
    </w:p>
    <w:p w14:paraId="776658E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3.2本次招标</w:t>
      </w:r>
      <w:r>
        <w:rPr>
          <w:rFonts w:hint="eastAsia" w:ascii="宋体" w:hAnsi="宋体" w:cs="宋体"/>
          <w:color w:val="auto"/>
          <w:sz w:val="24"/>
          <w:szCs w:val="24"/>
          <w:highlight w:val="none"/>
          <w:u w:val="single"/>
        </w:rPr>
        <w:t xml:space="preserve"> 不接受 </w:t>
      </w:r>
      <w:r>
        <w:rPr>
          <w:rFonts w:hint="eastAsia" w:ascii="宋体" w:hAnsi="宋体" w:cs="宋体"/>
          <w:color w:val="auto"/>
          <w:sz w:val="24"/>
          <w:szCs w:val="24"/>
          <w:highlight w:val="none"/>
        </w:rPr>
        <w:t>联合体投标。</w:t>
      </w:r>
    </w:p>
    <w:p w14:paraId="2C6DD776">
      <w:pPr>
        <w:spacing w:line="440" w:lineRule="exact"/>
        <w:ind w:firstLine="480" w:firstLineChars="200"/>
        <w:rPr>
          <w:rFonts w:hint="eastAsia" w:ascii="宋体" w:hAnsi="宋体" w:cs="楷体"/>
          <w:color w:val="auto"/>
          <w:sz w:val="24"/>
          <w:szCs w:val="24"/>
          <w:highlight w:val="none"/>
          <w:u w:val="single"/>
        </w:rPr>
      </w:pPr>
      <w:r>
        <w:rPr>
          <w:rFonts w:hint="eastAsia" w:ascii="宋体" w:hAnsi="宋体" w:cs="宋体"/>
          <w:color w:val="auto"/>
          <w:sz w:val="24"/>
          <w:szCs w:val="24"/>
          <w:highlight w:val="none"/>
        </w:rPr>
        <w:t>3.3拟派项目总监理工程师须具有建设部2006年4月1日后颁发的中华人民共和国</w:t>
      </w:r>
      <w:r>
        <w:rPr>
          <w:rFonts w:hint="eastAsia" w:ascii="宋体" w:hAnsi="宋体" w:cs="宋体"/>
          <w:color w:val="auto"/>
          <w:sz w:val="24"/>
          <w:szCs w:val="24"/>
          <w:highlight w:val="none"/>
          <w:u w:val="single"/>
        </w:rPr>
        <w:t>注册监理工程师注册执业证书</w:t>
      </w:r>
      <w:r>
        <w:rPr>
          <w:rFonts w:hint="eastAsia" w:ascii="宋体" w:hAnsi="宋体" w:cs="宋体"/>
          <w:color w:val="auto"/>
          <w:sz w:val="24"/>
          <w:szCs w:val="24"/>
          <w:highlight w:val="none"/>
        </w:rPr>
        <w:t>，且其注册证书专业为</w:t>
      </w:r>
      <w:r>
        <w:rPr>
          <w:rFonts w:hint="eastAsia" w:ascii="宋体" w:hAnsi="宋体" w:cs="宋体"/>
          <w:color w:val="auto"/>
          <w:sz w:val="24"/>
          <w:szCs w:val="24"/>
          <w:highlight w:val="none"/>
          <w:u w:val="single"/>
        </w:rPr>
        <w:t>房屋建筑工程</w:t>
      </w:r>
      <w:r>
        <w:rPr>
          <w:rFonts w:hint="eastAsia" w:ascii="宋体" w:hAnsi="宋体" w:cs="宋体"/>
          <w:color w:val="auto"/>
          <w:sz w:val="24"/>
          <w:szCs w:val="24"/>
          <w:highlight w:val="none"/>
        </w:rPr>
        <w:t>，注册执业单位为本公司</w:t>
      </w:r>
      <w:r>
        <w:rPr>
          <w:rFonts w:hint="eastAsia" w:ascii="宋体" w:hAnsi="宋体"/>
          <w:color w:val="auto"/>
          <w:sz w:val="24"/>
          <w:szCs w:val="24"/>
          <w:highlight w:val="none"/>
          <w:u w:val="single"/>
        </w:rPr>
        <w:t>（注册企业以注册监理工程师注册执业证书上的注册单位为准,</w:t>
      </w:r>
      <w:r>
        <w:rPr>
          <w:rFonts w:hint="eastAsia"/>
          <w:color w:val="auto"/>
          <w:highlight w:val="none"/>
          <w:u w:val="single"/>
        </w:rPr>
        <w:t xml:space="preserve"> </w:t>
      </w:r>
      <w:r>
        <w:rPr>
          <w:rFonts w:hint="eastAsia" w:ascii="宋体" w:hAnsi="宋体"/>
          <w:color w:val="auto"/>
          <w:sz w:val="24"/>
          <w:szCs w:val="24"/>
          <w:highlight w:val="none"/>
          <w:u w:val="single"/>
        </w:rPr>
        <w:t>拟派总监理工程师注册执业专业以注册执业证书上的注册专业为准）</w:t>
      </w:r>
      <w:r>
        <w:rPr>
          <w:rFonts w:hint="eastAsia" w:ascii="宋体" w:hAnsi="宋体" w:cs="宋体"/>
          <w:color w:val="auto"/>
          <w:sz w:val="24"/>
          <w:szCs w:val="24"/>
          <w:highlight w:val="none"/>
        </w:rPr>
        <w:t>，</w:t>
      </w:r>
      <w:r>
        <w:rPr>
          <w:rFonts w:ascii="宋体" w:hAnsi="宋体" w:cs="宋体"/>
          <w:color w:val="auto"/>
          <w:sz w:val="24"/>
          <w:szCs w:val="24"/>
          <w:highlight w:val="none"/>
        </w:rPr>
        <w:t>并具备本科或以上学历</w:t>
      </w:r>
      <w:r>
        <w:rPr>
          <w:rFonts w:hint="eastAsia" w:ascii="宋体" w:hAnsi="宋体" w:cs="宋体"/>
          <w:color w:val="auto"/>
          <w:kern w:val="0"/>
          <w:sz w:val="24"/>
          <w:highlight w:val="none"/>
        </w:rPr>
        <w:t>；</w:t>
      </w:r>
      <w:r>
        <w:rPr>
          <w:rFonts w:hint="eastAsia" w:ascii="宋体" w:hAnsi="宋体" w:cs="楷体"/>
          <w:color w:val="auto"/>
          <w:sz w:val="24"/>
          <w:szCs w:val="24"/>
          <w:highlight w:val="none"/>
          <w:u w:val="single"/>
        </w:rPr>
        <w:t>或在广东省住房和城乡建设主管部门备案且备案的资格满足本项目总监理工程师的资格要求的香港专业人士。</w:t>
      </w:r>
    </w:p>
    <w:p w14:paraId="0CEF843D">
      <w:pPr>
        <w:spacing w:line="440" w:lineRule="exact"/>
        <w:ind w:firstLine="422" w:firstLineChars="200"/>
        <w:jc w:val="left"/>
        <w:rPr>
          <w:rFonts w:hint="eastAsia" w:ascii="宋体" w:hAnsi="宋体" w:cs="楷体"/>
          <w:b/>
          <w:bCs/>
          <w:color w:val="auto"/>
          <w:szCs w:val="21"/>
          <w:highlight w:val="none"/>
          <w:u w:val="single"/>
        </w:rPr>
      </w:pPr>
      <w:r>
        <w:rPr>
          <w:rFonts w:hint="eastAsia" w:ascii="宋体" w:hAnsi="宋体" w:cs="楷体"/>
          <w:b/>
          <w:bCs/>
          <w:color w:val="auto"/>
          <w:szCs w:val="21"/>
          <w:highlight w:val="none"/>
          <w:u w:val="single"/>
        </w:rPr>
        <w:t>注：香港专业人士的备案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5BB0DEBE">
      <w:pPr>
        <w:spacing w:line="440" w:lineRule="exact"/>
        <w:ind w:firstLine="482" w:firstLineChars="200"/>
        <w:jc w:val="left"/>
        <w:rPr>
          <w:rFonts w:hint="eastAsia" w:ascii="宋体" w:hAnsi="宋体" w:cs="楷体"/>
          <w:b/>
          <w:bCs/>
          <w:color w:val="auto"/>
          <w:sz w:val="24"/>
          <w:szCs w:val="24"/>
          <w:highlight w:val="none"/>
          <w:u w:val="single"/>
        </w:rPr>
      </w:pPr>
      <w:r>
        <w:rPr>
          <w:rFonts w:ascii="宋体" w:hAnsi="宋体" w:cs="楷体"/>
          <w:b/>
          <w:bCs/>
          <w:color w:val="auto"/>
          <w:sz w:val="24"/>
          <w:szCs w:val="24"/>
          <w:highlight w:val="none"/>
          <w:u w:val="single"/>
        </w:rPr>
        <w:t xml:space="preserve">3.4 </w:t>
      </w:r>
      <w:r>
        <w:rPr>
          <w:rFonts w:ascii="宋体" w:hAnsi="宋体" w:cs="楷体"/>
          <w:b w:val="0"/>
          <w:bCs w:val="0"/>
          <w:color w:val="auto"/>
          <w:sz w:val="24"/>
          <w:szCs w:val="24"/>
          <w:highlight w:val="none"/>
          <w:u w:val="single"/>
        </w:rPr>
        <w:t>投标人自202</w:t>
      </w:r>
      <w:r>
        <w:rPr>
          <w:rFonts w:hint="eastAsia" w:ascii="宋体" w:hAnsi="宋体" w:cs="楷体"/>
          <w:b w:val="0"/>
          <w:bCs w:val="0"/>
          <w:color w:val="auto"/>
          <w:sz w:val="24"/>
          <w:szCs w:val="24"/>
          <w:highlight w:val="none"/>
          <w:u w:val="single"/>
          <w:lang w:val="en-US" w:eastAsia="zh-CN"/>
        </w:rPr>
        <w:t>2</w:t>
      </w:r>
      <w:r>
        <w:rPr>
          <w:rFonts w:ascii="宋体" w:hAnsi="宋体" w:cs="楷体"/>
          <w:b w:val="0"/>
          <w:bCs w:val="0"/>
          <w:color w:val="auto"/>
          <w:sz w:val="24"/>
          <w:szCs w:val="24"/>
          <w:highlight w:val="none"/>
          <w:u w:val="single"/>
        </w:rPr>
        <w:t>年1月1日至今完成过质量合格的类似监理业绩。需同时提供中标通知书或免招标的相关证明、施工监理合同、竣工验收报告或竣工验收证明。业绩时间以竣工验收报告或竣工验收证明出具时间为准（竣工验收报告或竣工验收证明材料至少包含建设单位、设计单位、施工单位、监理单位四方主体盖章，否则不予以认可）。</w:t>
      </w:r>
    </w:p>
    <w:p w14:paraId="2B5DFCE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5</w:t>
      </w:r>
      <w:r>
        <w:rPr>
          <w:rFonts w:hint="eastAsia" w:ascii="宋体" w:hAnsi="宋体" w:cs="宋体"/>
          <w:color w:val="auto"/>
          <w:sz w:val="24"/>
          <w:szCs w:val="24"/>
          <w:highlight w:val="none"/>
        </w:rPr>
        <w:t xml:space="preserve">其他要求： </w:t>
      </w:r>
    </w:p>
    <w:p w14:paraId="4FBC40F9">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①投标人参加投标的意思表达清楚，投标人代表被授权有效。</w:t>
      </w:r>
    </w:p>
    <w:p w14:paraId="0415717E">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②投标人均具有独立法人资格，持有有效的工商行政（或市场监管）管理部门核发的法人营业执照，按国家法律经营。</w:t>
      </w:r>
    </w:p>
    <w:p w14:paraId="45AFAADE">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③投标人已按规定格式签名盖章《投标人声明》（详见附件一）。</w:t>
      </w:r>
    </w:p>
    <w:p w14:paraId="7F3AD40C">
      <w:pPr>
        <w:spacing w:line="440" w:lineRule="exact"/>
        <w:ind w:firstLine="480" w:firstLineChars="200"/>
        <w:rPr>
          <w:rFonts w:hint="eastAsia" w:ascii="宋体" w:hAnsi="宋体" w:cs="宋体"/>
          <w:color w:val="auto"/>
          <w:kern w:val="0"/>
          <w:sz w:val="24"/>
          <w:highlight w:val="none"/>
          <w:u w:val="single"/>
        </w:rPr>
      </w:pPr>
      <w:r>
        <w:rPr>
          <w:rFonts w:hint="eastAsia" w:ascii="宋体" w:hAnsi="宋体" w:cs="宋体"/>
          <w:color w:val="auto"/>
          <w:sz w:val="24"/>
          <w:szCs w:val="24"/>
          <w:highlight w:val="none"/>
          <w:u w:val="single"/>
        </w:rPr>
        <w:t>④</w:t>
      </w:r>
      <w:r>
        <w:rPr>
          <w:rFonts w:hint="eastAsia" w:ascii="宋体" w:hAnsi="宋体" w:cs="宋体"/>
          <w:color w:val="auto"/>
          <w:kern w:val="0"/>
          <w:sz w:val="24"/>
          <w:highlight w:val="none"/>
          <w:u w:val="single"/>
        </w:rPr>
        <w:t>资格审查</w:t>
      </w:r>
      <w:r>
        <w:rPr>
          <w:rFonts w:hint="eastAsia" w:ascii="宋体" w:hAnsi="宋体" w:cs="宋体"/>
          <w:color w:val="auto"/>
          <w:sz w:val="24"/>
          <w:highlight w:val="none"/>
          <w:u w:val="single"/>
        </w:rPr>
        <w:t>前，投标人须在广州市住建行业信用管理平台建立了企业信用档案及拟担任本工程总监理工程师须是本企业信用档案中的在册人员</w:t>
      </w:r>
      <w:r>
        <w:rPr>
          <w:rFonts w:hint="eastAsia" w:ascii="宋体" w:hAnsi="宋体" w:cs="宋体"/>
          <w:color w:val="auto"/>
          <w:kern w:val="0"/>
          <w:sz w:val="24"/>
          <w:highlight w:val="none"/>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rPr>
          <w:color w:val="auto"/>
          <w:highlight w:val="none"/>
        </w:rPr>
        <w:fldChar w:fldCharType="begin"/>
      </w:r>
      <w:r>
        <w:rPr>
          <w:color w:val="auto"/>
          <w:highlight w:val="none"/>
        </w:rPr>
        <w:instrText xml:space="preserve"> HYPERLINK "http://zfcj.gz.gov.cn/zwgk/zsdwxxgkzl/gzsjzyglfwzx/bszy/content/post_8073953.html" </w:instrText>
      </w:r>
      <w:r>
        <w:rPr>
          <w:color w:val="auto"/>
          <w:highlight w:val="none"/>
        </w:rPr>
        <w:fldChar w:fldCharType="separate"/>
      </w:r>
      <w:r>
        <w:rPr>
          <w:rStyle w:val="19"/>
          <w:rFonts w:ascii="宋体" w:hAnsi="宋体" w:cs="宋体"/>
          <w:color w:val="auto"/>
          <w:kern w:val="0"/>
          <w:sz w:val="24"/>
          <w:highlight w:val="none"/>
        </w:rPr>
        <w:t>http://zfcj.gz.gov.cn/zwgk/zsdwxxgkzl/gzsjzyglfwzx/bszy/content/post_8073953.html</w:t>
      </w:r>
      <w:r>
        <w:rPr>
          <w:rStyle w:val="19"/>
          <w:rFonts w:ascii="宋体" w:hAnsi="宋体" w:cs="宋体"/>
          <w:color w:val="auto"/>
          <w:kern w:val="0"/>
          <w:sz w:val="24"/>
          <w:highlight w:val="none"/>
        </w:rPr>
        <w:fldChar w:fldCharType="end"/>
      </w:r>
      <w:r>
        <w:rPr>
          <w:rFonts w:hint="eastAsia" w:ascii="宋体" w:hAnsi="宋体" w:cs="宋体"/>
          <w:color w:val="auto"/>
          <w:kern w:val="0"/>
          <w:sz w:val="24"/>
          <w:highlight w:val="none"/>
          <w:u w:val="single"/>
        </w:rPr>
        <w:t>）。</w:t>
      </w:r>
    </w:p>
    <w:p w14:paraId="1BD477DE">
      <w:pPr>
        <w:spacing w:line="44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注：投标人在投标登记时选择了拟投入本项目的总监理工程师，即已满足“资格审查前，投标人须在广州市住建行业信用管理平台建立了企业信用档案及拟担任本工程总监理工程师须是本企业信用档案中的在册人员。”的要求，投标人无需提供证明材料。</w:t>
      </w:r>
    </w:p>
    <w:p w14:paraId="0EE5C28E">
      <w:pPr>
        <w:spacing w:line="440" w:lineRule="exact"/>
        <w:ind w:firstLine="480" w:firstLineChars="200"/>
        <w:rPr>
          <w:rFonts w:hint="eastAsia" w:ascii="宋体" w:hAnsi="宋体" w:cs="楷体"/>
          <w:color w:val="auto"/>
          <w:sz w:val="24"/>
          <w:szCs w:val="24"/>
          <w:highlight w:val="none"/>
          <w:u w:val="single"/>
        </w:rPr>
      </w:pPr>
      <w:r>
        <w:rPr>
          <w:rFonts w:hint="eastAsia" w:ascii="宋体" w:hAnsi="宋体" w:cs="楷体"/>
          <w:color w:val="auto"/>
          <w:sz w:val="24"/>
          <w:szCs w:val="24"/>
          <w:highlight w:val="none"/>
          <w:u w:val="single"/>
        </w:rPr>
        <w:t>⑤投标人未被列入拖欠农民工工资失信联合惩戒对象名单</w:t>
      </w:r>
      <w:r>
        <w:rPr>
          <w:rFonts w:ascii="宋体" w:hAnsi="宋体" w:cs="宋体"/>
          <w:color w:val="auto"/>
          <w:sz w:val="24"/>
          <w:highlight w:val="none"/>
          <w:u w:val="single"/>
        </w:rPr>
        <w:t>（</w:t>
      </w:r>
      <w:r>
        <w:rPr>
          <w:rFonts w:hint="eastAsia" w:ascii="宋体" w:hAnsi="宋体" w:cs="宋体"/>
          <w:color w:val="auto"/>
          <w:sz w:val="24"/>
          <w:highlight w:val="none"/>
          <w:u w:val="single"/>
        </w:rPr>
        <w:t>本项评审投标人无需提供资料，按投标截止时间</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highlight w:val="none"/>
          <w:u w:val="single"/>
        </w:rPr>
        <w:t>交易系统比对的结果进行评审</w:t>
      </w:r>
      <w:r>
        <w:rPr>
          <w:rFonts w:ascii="宋体" w:hAnsi="宋体" w:cs="宋体"/>
          <w:color w:val="auto"/>
          <w:sz w:val="24"/>
          <w:highlight w:val="none"/>
          <w:u w:val="single"/>
        </w:rPr>
        <w:t>）</w:t>
      </w:r>
      <w:r>
        <w:rPr>
          <w:rFonts w:hint="eastAsia" w:ascii="宋体" w:hAnsi="宋体" w:cs="宋体"/>
          <w:color w:val="auto"/>
          <w:sz w:val="24"/>
          <w:highlight w:val="none"/>
          <w:u w:val="single"/>
        </w:rPr>
        <w:t>。</w:t>
      </w:r>
    </w:p>
    <w:p w14:paraId="1F656E2C">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s="楷体"/>
          <w:color w:val="auto"/>
          <w:sz w:val="24"/>
          <w:szCs w:val="24"/>
          <w:highlight w:val="none"/>
          <w:u w:val="single"/>
        </w:rPr>
        <w:t>⑥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11404463">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s="宋体"/>
          <w:color w:val="auto"/>
          <w:kern w:val="0"/>
          <w:sz w:val="24"/>
          <w:highlight w:val="none"/>
          <w:u w:val="single"/>
        </w:rPr>
        <w:t>注：未在招标公告第3条单列的投标人资格要求条件，不作为资审不合格的依据。</w:t>
      </w:r>
    </w:p>
    <w:p w14:paraId="698C387E">
      <w:pPr>
        <w:pStyle w:val="4"/>
        <w:spacing w:before="312" w:beforeLines="100" w:line="360" w:lineRule="auto"/>
        <w:rPr>
          <w:color w:val="auto"/>
          <w:highlight w:val="none"/>
        </w:rPr>
      </w:pPr>
      <w:r>
        <w:rPr>
          <w:rFonts w:hint="eastAsia"/>
          <w:color w:val="auto"/>
          <w:highlight w:val="none"/>
        </w:rPr>
        <w:t>4.招标文件的获取</w:t>
      </w:r>
    </w:p>
    <w:p w14:paraId="43603242">
      <w:pPr>
        <w:spacing w:line="440" w:lineRule="exact"/>
        <w:ind w:left="239" w:leftChars="114" w:firstLine="321" w:firstLineChars="134"/>
        <w:rPr>
          <w:rFonts w:ascii="宋体" w:cs="宋体"/>
          <w:color w:val="auto"/>
          <w:sz w:val="24"/>
          <w:szCs w:val="24"/>
          <w:highlight w:val="none"/>
        </w:rPr>
      </w:pPr>
      <w:bookmarkStart w:id="13" w:name="_Toc3471142"/>
      <w:bookmarkStart w:id="14" w:name="_Toc514099628"/>
      <w:r>
        <w:rPr>
          <w:rFonts w:hint="eastAsia" w:ascii="宋体" w:cs="宋体"/>
          <w:color w:val="auto"/>
          <w:sz w:val="24"/>
          <w:szCs w:val="24"/>
          <w:highlight w:val="none"/>
        </w:rPr>
        <w:t>4.1凡有意参加投标者，请于</w:t>
      </w:r>
      <w:r>
        <w:rPr>
          <w:rFonts w:hint="eastAsia" w:ascii="宋体" w:cs="宋体"/>
          <w:color w:val="auto"/>
          <w:sz w:val="24"/>
          <w:szCs w:val="24"/>
          <w:highlight w:val="none"/>
          <w:u w:val="single"/>
          <w:lang w:eastAsia="zh-CN"/>
        </w:rPr>
        <w:t>2025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hint="eastAsia" w:ascii="宋体" w:cs="宋体"/>
          <w:color w:val="auto"/>
          <w:sz w:val="24"/>
          <w:szCs w:val="24"/>
          <w:highlight w:val="none"/>
          <w:u w:val="single"/>
          <w:lang w:eastAsia="zh-CN"/>
        </w:rPr>
        <w:t>2025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  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分(北京时间，下同)，登录</w:t>
      </w:r>
      <w:r>
        <w:rPr>
          <w:rFonts w:hint="eastAsia" w:ascii="宋体" w:hAnsi="宋体"/>
          <w:color w:val="auto"/>
          <w:sz w:val="24"/>
          <w:szCs w:val="24"/>
          <w:highlight w:val="none"/>
          <w:u w:val="single"/>
        </w:rPr>
        <w:t>广州交易集团有限公司（广州公共资源交易中心）</w:t>
      </w:r>
      <w:r>
        <w:rPr>
          <w:rFonts w:ascii="宋体" w:hAnsi="宋体"/>
          <w:color w:val="auto"/>
          <w:sz w:val="24"/>
          <w:szCs w:val="24"/>
          <w:highlight w:val="none"/>
          <w:u w:val="single"/>
        </w:rPr>
        <w:t>网</w:t>
      </w:r>
      <w:r>
        <w:rPr>
          <w:rFonts w:hint="eastAsia" w:ascii="宋体" w:hAnsi="宋体"/>
          <w:color w:val="auto"/>
          <w:sz w:val="24"/>
          <w:szCs w:val="24"/>
          <w:highlight w:val="none"/>
          <w:u w:val="single"/>
        </w:rPr>
        <w:t>站</w:t>
      </w:r>
      <w:r>
        <w:rPr>
          <w:rFonts w:ascii="宋体" w:hAnsi="宋体"/>
          <w:color w:val="auto"/>
          <w:sz w:val="24"/>
          <w:szCs w:val="24"/>
          <w:highlight w:val="none"/>
          <w:u w:val="single"/>
        </w:rPr>
        <w:t>（网址：http://www.gzggzy.cn）</w:t>
      </w:r>
      <w:r>
        <w:rPr>
          <w:rFonts w:hint="eastAsia" w:ascii="宋体" w:hAnsi="宋体"/>
          <w:color w:val="auto"/>
          <w:sz w:val="24"/>
          <w:szCs w:val="24"/>
          <w:highlight w:val="none"/>
        </w:rPr>
        <w:t>下载电子招标文件。</w:t>
      </w:r>
    </w:p>
    <w:p w14:paraId="5C74EAD0">
      <w:pPr>
        <w:spacing w:line="440" w:lineRule="exact"/>
        <w:ind w:firstLine="564" w:firstLineChars="235"/>
        <w:rPr>
          <w:rFonts w:ascii="宋体" w:cs="宋体"/>
          <w:color w:val="auto"/>
          <w:sz w:val="24"/>
          <w:szCs w:val="24"/>
          <w:highlight w:val="none"/>
        </w:rPr>
      </w:pPr>
      <w:bookmarkStart w:id="15" w:name="_Toc511557030"/>
      <w:r>
        <w:rPr>
          <w:rFonts w:hint="eastAsia" w:ascii="宋体" w:cs="宋体"/>
          <w:color w:val="auto"/>
          <w:sz w:val="24"/>
          <w:szCs w:val="24"/>
          <w:highlight w:val="none"/>
        </w:rPr>
        <w:t>4.2 发布招标公告时间（含本日）</w:t>
      </w:r>
      <w:r>
        <w:rPr>
          <w:rFonts w:hint="eastAsia" w:ascii="宋体" w:cs="宋体"/>
          <w:color w:val="auto"/>
          <w:sz w:val="24"/>
          <w:szCs w:val="24"/>
          <w:highlight w:val="none"/>
          <w:u w:val="single"/>
          <w:lang w:eastAsia="zh-CN"/>
        </w:rPr>
        <w:t>2025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hint="eastAsia" w:ascii="宋体" w:cs="宋体"/>
          <w:color w:val="auto"/>
          <w:sz w:val="24"/>
          <w:szCs w:val="24"/>
          <w:highlight w:val="none"/>
          <w:u w:val="single"/>
          <w:lang w:eastAsia="zh-CN"/>
        </w:rPr>
        <w:t>2025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p>
    <w:p w14:paraId="0C61096E">
      <w:pPr>
        <w:spacing w:line="360" w:lineRule="auto"/>
        <w:ind w:left="-238" w:firstLine="566" w:firstLineChars="235"/>
        <w:rPr>
          <w:rFonts w:hint="eastAsia" w:ascii="宋体" w:hAnsi="宋体" w:cs="楷体"/>
          <w:b/>
          <w:bCs/>
          <w:color w:val="auto"/>
          <w:sz w:val="24"/>
          <w:szCs w:val="24"/>
          <w:highlight w:val="none"/>
          <w:u w:val="single"/>
        </w:rPr>
      </w:pPr>
      <w:r>
        <w:rPr>
          <w:rFonts w:hint="eastAsia" w:ascii="宋体" w:hAnsi="宋体" w:cs="楷体"/>
          <w:b/>
          <w:bCs/>
          <w:color w:val="auto"/>
          <w:sz w:val="24"/>
          <w:szCs w:val="24"/>
          <w:highlight w:val="none"/>
          <w:u w:val="single"/>
        </w:rPr>
        <w:t>注：发布招标公告的时间为招标公告发出之日起至递交投标文件截止时间止。</w:t>
      </w:r>
    </w:p>
    <w:bookmarkEnd w:id="13"/>
    <w:bookmarkEnd w:id="14"/>
    <w:bookmarkEnd w:id="15"/>
    <w:p w14:paraId="01B3689A">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 xml:space="preserve">4.3 </w:t>
      </w:r>
      <w:r>
        <w:rPr>
          <w:rFonts w:hint="eastAsia" w:ascii="宋体" w:hAnsi="宋体" w:cs="宋体"/>
          <w:color w:val="auto"/>
          <w:kern w:val="0"/>
          <w:sz w:val="24"/>
          <w:szCs w:val="24"/>
          <w:highlight w:val="none"/>
        </w:rPr>
        <w:t>本项目设立投标登记环节，采取</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u w:val="single"/>
        </w:rPr>
        <w:t>网上投标登记</w:t>
      </w:r>
      <w:r>
        <w:rPr>
          <w:rFonts w:hint="eastAsia" w:ascii="宋体" w:hAnsi="宋体" w:cs="宋体"/>
          <w:color w:val="auto"/>
          <w:kern w:val="0"/>
          <w:sz w:val="24"/>
          <w:szCs w:val="24"/>
          <w:highlight w:val="none"/>
        </w:rPr>
        <w:t>方式进行投标登记，不接受现场投标登记（参加投标登记之前，投标人应查询本企业在</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的信息登记的状态，确保一切信息都是真实的、在有效期内的，以免出现相关信息不能被使用。上述情况有可能导致投标信息无法录入</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信息系统。如出现上述情况，投标人有可能失去投标机会，因其可能所引起的一切后果由投标人承担。电子招投标操作流程详见</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网站发布的最新版操作指引）。</w:t>
      </w:r>
    </w:p>
    <w:p w14:paraId="5AC092CB">
      <w:pPr>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4.3.1投标登记时间：</w:t>
      </w:r>
      <w:r>
        <w:rPr>
          <w:rFonts w:hint="eastAsia" w:ascii="宋体" w:hAnsi="宋体" w:cs="宋体"/>
          <w:color w:val="auto"/>
          <w:kern w:val="0"/>
          <w:sz w:val="24"/>
          <w:szCs w:val="24"/>
          <w:highlight w:val="none"/>
          <w:u w:val="single"/>
          <w:lang w:eastAsia="zh-CN"/>
        </w:rPr>
        <w:t>2025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分至</w:t>
      </w:r>
      <w:r>
        <w:rPr>
          <w:rFonts w:hint="eastAsia" w:ascii="宋体" w:hAnsi="宋体" w:cs="宋体"/>
          <w:color w:val="auto"/>
          <w:kern w:val="0"/>
          <w:sz w:val="24"/>
          <w:szCs w:val="24"/>
          <w:highlight w:val="none"/>
          <w:u w:val="single"/>
          <w:lang w:eastAsia="zh-CN"/>
        </w:rPr>
        <w:t>2025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r>
        <w:rPr>
          <w:rFonts w:hint="eastAsia" w:ascii="宋体" w:hAnsi="宋体" w:cs="宋体"/>
          <w:color w:val="auto"/>
          <w:sz w:val="24"/>
          <w:szCs w:val="24"/>
          <w:highlight w:val="none"/>
        </w:rPr>
        <w:t>。</w:t>
      </w:r>
    </w:p>
    <w:p w14:paraId="28CC4E17">
      <w:pPr>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4.3.2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14:paraId="40DC98C1">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 本项目采用资格后审方式。</w:t>
      </w:r>
    </w:p>
    <w:p w14:paraId="69DCFA21">
      <w:pPr>
        <w:pStyle w:val="4"/>
        <w:spacing w:before="312" w:beforeLines="100" w:line="360" w:lineRule="auto"/>
        <w:rPr>
          <w:color w:val="auto"/>
          <w:highlight w:val="none"/>
        </w:rPr>
      </w:pPr>
      <w:r>
        <w:rPr>
          <w:rFonts w:hint="eastAsia"/>
          <w:color w:val="auto"/>
          <w:highlight w:val="none"/>
        </w:rPr>
        <w:t>5. 投标文件的递交</w:t>
      </w:r>
      <w:bookmarkEnd w:id="12"/>
    </w:p>
    <w:p w14:paraId="5D74B1E8">
      <w:pPr>
        <w:pStyle w:val="20"/>
        <w:spacing w:line="440" w:lineRule="exact"/>
        <w:ind w:firstLine="480" w:firstLineChars="200"/>
        <w:rPr>
          <w:rFonts w:hint="eastAsia" w:ascii="宋体" w:hAnsi="宋体" w:eastAsia="宋体" w:cs="宋体"/>
          <w:color w:val="auto"/>
          <w:kern w:val="2"/>
          <w:sz w:val="24"/>
          <w:szCs w:val="24"/>
          <w:highlight w:val="none"/>
        </w:rPr>
      </w:pPr>
      <w:bookmarkStart w:id="16" w:name="_Toc535938700"/>
      <w:r>
        <w:rPr>
          <w:rFonts w:ascii="宋体" w:hAnsi="宋体" w:eastAsia="宋体" w:cs="宋体"/>
          <w:color w:val="auto"/>
          <w:kern w:val="2"/>
          <w:sz w:val="24"/>
          <w:szCs w:val="24"/>
          <w:highlight w:val="none"/>
        </w:rPr>
        <w:t>5.1 投标文件递交的截止时间（投标截止时间，下同）为</w:t>
      </w:r>
      <w:r>
        <w:rPr>
          <w:rFonts w:hint="eastAsia" w:ascii="宋体" w:hAnsi="宋体" w:eastAsia="宋体" w:cs="宋体"/>
          <w:color w:val="auto"/>
          <w:kern w:val="2"/>
          <w:sz w:val="24"/>
          <w:szCs w:val="24"/>
          <w:highlight w:val="none"/>
          <w:u w:val="single"/>
          <w:lang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分，投标人应在截止时间前通过</w:t>
      </w:r>
      <w:r>
        <w:rPr>
          <w:rFonts w:ascii="宋体" w:hAnsi="宋体" w:eastAsia="宋体" w:cs="宋体"/>
          <w:color w:val="auto"/>
          <w:kern w:val="2"/>
          <w:sz w:val="24"/>
          <w:szCs w:val="24"/>
          <w:highlight w:val="none"/>
          <w:u w:val="single"/>
        </w:rPr>
        <w:t>广州交易集团有限公司（广州公共资源交易中心）数字交易平台（网址：http://www.gzggzy.cn）</w:t>
      </w:r>
      <w:r>
        <w:rPr>
          <w:rFonts w:ascii="宋体" w:hAnsi="宋体" w:eastAsia="宋体" w:cs="宋体"/>
          <w:color w:val="auto"/>
          <w:kern w:val="2"/>
          <w:sz w:val="24"/>
          <w:szCs w:val="24"/>
          <w:highlight w:val="none"/>
        </w:rPr>
        <w:t>递交电子投标文件。</w:t>
      </w:r>
    </w:p>
    <w:p w14:paraId="60D9FD07">
      <w:pPr>
        <w:pStyle w:val="20"/>
        <w:spacing w:line="440" w:lineRule="exact"/>
        <w:ind w:firstLine="480" w:firstLineChars="200"/>
        <w:rPr>
          <w:rFonts w:hint="eastAsia"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5.2 递交备用投标文件电子光盘时间为：</w:t>
      </w:r>
      <w:r>
        <w:rPr>
          <w:rFonts w:hint="eastAsia" w:ascii="宋体" w:hAnsi="宋体" w:eastAsia="宋体" w:cs="宋体"/>
          <w:color w:val="auto"/>
          <w:kern w:val="2"/>
          <w:sz w:val="24"/>
          <w:szCs w:val="24"/>
          <w:highlight w:val="none"/>
          <w:u w:val="single"/>
          <w:lang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分至</w:t>
      </w:r>
      <w:r>
        <w:rPr>
          <w:rFonts w:hint="eastAsia" w:ascii="宋体" w:hAnsi="宋体" w:eastAsia="宋体" w:cs="宋体"/>
          <w:color w:val="auto"/>
          <w:kern w:val="2"/>
          <w:sz w:val="24"/>
          <w:szCs w:val="24"/>
          <w:highlight w:val="none"/>
          <w:u w:val="single"/>
          <w:lang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分；地点：</w:t>
      </w:r>
      <w:r>
        <w:rPr>
          <w:rFonts w:ascii="宋体" w:hAnsi="宋体" w:eastAsia="宋体" w:cs="宋体"/>
          <w:color w:val="auto"/>
          <w:kern w:val="2"/>
          <w:sz w:val="24"/>
          <w:szCs w:val="24"/>
          <w:highlight w:val="none"/>
          <w:u w:val="single"/>
        </w:rPr>
        <w:t>广州交易集团有限公司（广州公共资源交易中心）第  开标室</w:t>
      </w:r>
      <w:r>
        <w:rPr>
          <w:rFonts w:ascii="宋体" w:hAnsi="宋体" w:eastAsia="宋体" w:cs="宋体"/>
          <w:color w:val="auto"/>
          <w:kern w:val="2"/>
          <w:sz w:val="24"/>
          <w:szCs w:val="24"/>
          <w:highlight w:val="none"/>
        </w:rPr>
        <w:t>。</w:t>
      </w:r>
      <w:r>
        <w:rPr>
          <w:rFonts w:hint="eastAsia" w:ascii="宋体" w:hAnsi="宋体" w:eastAsia="宋体" w:cs="宋体"/>
          <w:b/>
          <w:bCs/>
          <w:color w:val="auto"/>
          <w:kern w:val="2"/>
          <w:sz w:val="24"/>
          <w:szCs w:val="24"/>
          <w:highlight w:val="none"/>
          <w:u w:val="single"/>
        </w:rPr>
        <w:t>凭法定代表人证明书原件、法定代表人授权委托证明书原件（非法定代表人办理手续时提供）、本人身份证原件递交。</w:t>
      </w:r>
      <w:r>
        <w:rPr>
          <w:rFonts w:ascii="宋体" w:hAnsi="宋体" w:eastAsia="宋体" w:cs="宋体"/>
          <w:color w:val="auto"/>
          <w:kern w:val="2"/>
          <w:sz w:val="24"/>
          <w:szCs w:val="24"/>
          <w:highlight w:val="none"/>
        </w:rPr>
        <w:t>电子光盘需按规定封装。投标人在将数据刻录到光盘之后，投标前自行检查文件是否可以读取）。</w:t>
      </w:r>
    </w:p>
    <w:p w14:paraId="25CCD707">
      <w:pPr>
        <w:widowControl/>
        <w:shd w:val="clear" w:color="auto" w:fill="FFFFFF"/>
        <w:spacing w:line="360" w:lineRule="auto"/>
        <w:ind w:firstLine="537" w:firstLineChars="224"/>
        <w:jc w:val="left"/>
        <w:rPr>
          <w:rFonts w:hint="eastAsia" w:ascii="宋体" w:hAnsi="宋体" w:cs="宋体"/>
          <w:color w:val="auto"/>
          <w:sz w:val="24"/>
          <w:szCs w:val="24"/>
          <w:highlight w:val="none"/>
        </w:rPr>
      </w:pPr>
      <w:r>
        <w:rPr>
          <w:rFonts w:ascii="宋体" w:hAnsi="宋体" w:cs="宋体"/>
          <w:color w:val="auto"/>
          <w:sz w:val="24"/>
          <w:szCs w:val="24"/>
          <w:highlight w:val="none"/>
        </w:rPr>
        <w:t>5.3 逾期送达的投标文件，电子招标投标交易平台将予以拒收。</w:t>
      </w:r>
      <w:r>
        <w:rPr>
          <w:rFonts w:ascii="宋体" w:hAnsi="宋体"/>
          <w:color w:val="auto"/>
          <w:sz w:val="24"/>
          <w:szCs w:val="24"/>
          <w:highlight w:val="none"/>
        </w:rPr>
        <w:t>逾期未上传成功的电子投标文件，招标人拒绝接收。逾期或未在指定地点递交投标文件光盘的,招标人拒绝接收其投标文件光盘。</w:t>
      </w:r>
    </w:p>
    <w:p w14:paraId="3E61E715">
      <w:pPr>
        <w:pStyle w:val="20"/>
        <w:spacing w:line="440" w:lineRule="exact"/>
        <w:ind w:firstLine="480" w:firstLineChars="200"/>
        <w:rPr>
          <w:rFonts w:hint="eastAsia"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5.4 开标时间：</w:t>
      </w:r>
      <w:r>
        <w:rPr>
          <w:rFonts w:hint="eastAsia" w:ascii="宋体" w:hAnsi="宋体" w:eastAsia="宋体" w:cs="宋体"/>
          <w:color w:val="auto"/>
          <w:kern w:val="2"/>
          <w:sz w:val="24"/>
          <w:szCs w:val="24"/>
          <w:highlight w:val="none"/>
          <w:u w:val="single"/>
          <w:lang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分。地点：</w:t>
      </w:r>
      <w:r>
        <w:rPr>
          <w:rFonts w:ascii="宋体" w:hAnsi="宋体" w:eastAsia="宋体" w:cs="宋体"/>
          <w:color w:val="auto"/>
          <w:kern w:val="2"/>
          <w:sz w:val="24"/>
          <w:szCs w:val="24"/>
          <w:highlight w:val="none"/>
          <w:u w:val="single"/>
        </w:rPr>
        <w:t>广州交易集团有限公司（广州公共资源交易中心）第  开标室</w:t>
      </w:r>
      <w:r>
        <w:rPr>
          <w:rFonts w:ascii="宋体" w:hAnsi="宋体" w:eastAsia="宋体" w:cs="宋体"/>
          <w:color w:val="auto"/>
          <w:kern w:val="2"/>
          <w:sz w:val="24"/>
          <w:szCs w:val="24"/>
          <w:highlight w:val="none"/>
        </w:rPr>
        <w:t>。</w:t>
      </w:r>
    </w:p>
    <w:p w14:paraId="4CEAEBAB">
      <w:pPr>
        <w:pStyle w:val="20"/>
        <w:spacing w:line="440" w:lineRule="exact"/>
        <w:ind w:firstLine="480" w:firstLineChars="200"/>
        <w:rPr>
          <w:rFonts w:hint="eastAsia" w:ascii="宋体" w:hAnsi="宋体" w:cs="宋体"/>
          <w:color w:val="auto"/>
          <w:sz w:val="24"/>
          <w:szCs w:val="24"/>
          <w:highlight w:val="none"/>
        </w:rPr>
      </w:pPr>
      <w:r>
        <w:rPr>
          <w:rFonts w:ascii="宋体" w:hAnsi="宋体" w:eastAsia="宋体" w:cs="宋体"/>
          <w:color w:val="auto"/>
          <w:kern w:val="2"/>
          <w:sz w:val="24"/>
          <w:szCs w:val="24"/>
          <w:highlight w:val="none"/>
        </w:rPr>
        <w:t>5.5 递交投标文件截止时间及开标时间是否有变化，请密切留意</w:t>
      </w:r>
      <w:r>
        <w:rPr>
          <w:rFonts w:ascii="宋体" w:hAnsi="宋体" w:eastAsia="宋体" w:cs="宋体"/>
          <w:color w:val="auto"/>
          <w:kern w:val="2"/>
          <w:sz w:val="24"/>
          <w:szCs w:val="24"/>
          <w:highlight w:val="none"/>
          <w:u w:val="single"/>
        </w:rPr>
        <w:t>广州交易集团有限公司（广州公共资源交易中心）</w:t>
      </w:r>
      <w:r>
        <w:rPr>
          <w:rFonts w:ascii="宋体" w:hAnsi="宋体" w:eastAsia="宋体" w:cs="宋体"/>
          <w:color w:val="auto"/>
          <w:kern w:val="2"/>
          <w:sz w:val="24"/>
          <w:szCs w:val="24"/>
          <w:highlight w:val="none"/>
        </w:rPr>
        <w:t>网站中的相关信息。递交投标文件截止时间后，投标文件评审时间因故推迟的，相关资审信息仍以原递交投标文件截止时间的信息为准。本项目各项投标活动具体可通过</w:t>
      </w:r>
      <w:r>
        <w:rPr>
          <w:rFonts w:ascii="宋体" w:hAnsi="宋体" w:eastAsia="宋体" w:cs="宋体"/>
          <w:color w:val="auto"/>
          <w:kern w:val="2"/>
          <w:sz w:val="24"/>
          <w:szCs w:val="24"/>
          <w:highlight w:val="none"/>
          <w:u w:val="single"/>
        </w:rPr>
        <w:t>广州交易集团有限公司（广州公共资源交易中心）</w:t>
      </w:r>
      <w:r>
        <w:rPr>
          <w:rFonts w:ascii="宋体" w:hAnsi="宋体" w:eastAsia="宋体" w:cs="宋体"/>
          <w:color w:val="auto"/>
          <w:kern w:val="2"/>
          <w:sz w:val="24"/>
          <w:szCs w:val="24"/>
          <w:highlight w:val="none"/>
        </w:rPr>
        <w:t>网站查询具体的时间和场地安排。</w:t>
      </w:r>
    </w:p>
    <w:p w14:paraId="6B5FCD32">
      <w:pPr>
        <w:pStyle w:val="4"/>
        <w:spacing w:before="312" w:beforeLines="100" w:line="360" w:lineRule="auto"/>
        <w:rPr>
          <w:color w:val="auto"/>
          <w:highlight w:val="none"/>
        </w:rPr>
      </w:pPr>
      <w:r>
        <w:rPr>
          <w:rFonts w:hint="eastAsia"/>
          <w:color w:val="auto"/>
          <w:highlight w:val="none"/>
        </w:rPr>
        <w:t>6.</w:t>
      </w:r>
      <w:bookmarkEnd w:id="16"/>
      <w:bookmarkStart w:id="17" w:name="_Toc535938701"/>
      <w:r>
        <w:rPr>
          <w:rFonts w:hint="eastAsia"/>
          <w:color w:val="auto"/>
          <w:highlight w:val="none"/>
        </w:rPr>
        <w:t>发布公告的媒介</w:t>
      </w:r>
      <w:bookmarkEnd w:id="17"/>
    </w:p>
    <w:p w14:paraId="554FDB5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本次招标公告同时在广州交易集团有限公司（广州公共资源交易中心）网站（网址：http://www.gzggzy.cn/）、广东省招标投标监管网（网址：http://zbtb.gd.gov.cn/）和中国招标投标公共服务平台（网址：http：//www.cebpubservice.com/）等媒体上发布，本公告的修改、补充，在广州交易集团有限公司（广州公共资源交易中心）网站上发布。</w:t>
      </w:r>
    </w:p>
    <w:p w14:paraId="739E9343">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3"/>
    <w:bookmarkEnd w:id="4"/>
    <w:p w14:paraId="25845871">
      <w:pPr>
        <w:pStyle w:val="4"/>
        <w:spacing w:before="312" w:beforeLines="100" w:line="360" w:lineRule="auto"/>
        <w:rPr>
          <w:color w:val="auto"/>
          <w:highlight w:val="none"/>
        </w:rPr>
      </w:pPr>
      <w:bookmarkStart w:id="18" w:name="_Toc511557031"/>
      <w:bookmarkStart w:id="19" w:name="_Toc529196510"/>
      <w:bookmarkStart w:id="20" w:name="_Toc516170523"/>
      <w:bookmarkStart w:id="21" w:name="_Toc535938702"/>
      <w:bookmarkStart w:id="22" w:name="_Toc247527537"/>
      <w:bookmarkStart w:id="23" w:name="_Toc361508564"/>
      <w:bookmarkStart w:id="24" w:name="_Toc300834931"/>
      <w:bookmarkStart w:id="25" w:name="_Toc152042290"/>
      <w:bookmarkStart w:id="26" w:name="_Toc247513936"/>
      <w:bookmarkStart w:id="27" w:name="_Toc369531499"/>
      <w:bookmarkStart w:id="28" w:name="_Toc2312"/>
      <w:bookmarkStart w:id="29" w:name="_Toc384308189"/>
      <w:bookmarkStart w:id="30" w:name="_Toc352691457"/>
      <w:bookmarkStart w:id="31" w:name="_Toc152045514"/>
      <w:bookmarkStart w:id="32" w:name="_Toc144974482"/>
      <w:r>
        <w:rPr>
          <w:rFonts w:hint="eastAsia"/>
          <w:color w:val="auto"/>
          <w:highlight w:val="none"/>
        </w:rPr>
        <w:t>7.联系方式</w:t>
      </w:r>
      <w:bookmarkEnd w:id="18"/>
      <w:bookmarkEnd w:id="19"/>
      <w:bookmarkEnd w:id="20"/>
      <w:bookmarkEnd w:id="21"/>
    </w:p>
    <w:bookmarkEnd w:id="22"/>
    <w:bookmarkEnd w:id="23"/>
    <w:bookmarkEnd w:id="24"/>
    <w:bookmarkEnd w:id="25"/>
    <w:bookmarkEnd w:id="26"/>
    <w:bookmarkEnd w:id="27"/>
    <w:bookmarkEnd w:id="28"/>
    <w:bookmarkEnd w:id="29"/>
    <w:bookmarkEnd w:id="30"/>
    <w:bookmarkEnd w:id="31"/>
    <w:bookmarkEnd w:id="32"/>
    <w:p w14:paraId="6141BE7E">
      <w:pPr>
        <w:topLinePunct/>
        <w:spacing w:line="360" w:lineRule="auto"/>
        <w:ind w:left="120" w:right="360" w:hanging="120" w:hangingChars="5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招标人名称：</w:t>
      </w:r>
      <w:r>
        <w:rPr>
          <w:rFonts w:hint="eastAsia" w:ascii="宋体" w:hAnsi="宋体"/>
          <w:color w:val="auto"/>
          <w:sz w:val="24"/>
          <w:szCs w:val="24"/>
          <w:highlight w:val="none"/>
          <w:u w:val="single"/>
          <w:lang w:eastAsia="zh-CN"/>
        </w:rPr>
        <w:t>广州增城智通投资发展有限公司</w:t>
      </w:r>
    </w:p>
    <w:p w14:paraId="3235C0A4">
      <w:pPr>
        <w:topLinePunct/>
        <w:spacing w:line="360" w:lineRule="auto"/>
        <w:ind w:left="120" w:right="360" w:hanging="120" w:hangingChars="50"/>
        <w:jc w:val="left"/>
        <w:rPr>
          <w:rFonts w:hint="eastAsia" w:ascii="宋体" w:hAnsi="宋体"/>
          <w:color w:val="auto"/>
          <w:sz w:val="24"/>
          <w:szCs w:val="24"/>
          <w:highlight w:val="none"/>
        </w:rPr>
      </w:pPr>
      <w:r>
        <w:rPr>
          <w:rFonts w:hint="eastAsia" w:ascii="宋体" w:hAnsi="宋体"/>
          <w:color w:val="auto"/>
          <w:sz w:val="24"/>
          <w:szCs w:val="24"/>
          <w:highlight w:val="none"/>
        </w:rPr>
        <w:t>邮政编码、地址：</w:t>
      </w:r>
      <w:r>
        <w:rPr>
          <w:rFonts w:hint="eastAsia" w:ascii="宋体" w:hAnsi="宋体"/>
          <w:color w:val="auto"/>
          <w:sz w:val="24"/>
          <w:szCs w:val="24"/>
          <w:highlight w:val="none"/>
          <w:u w:val="single"/>
          <w:lang w:val="zh-CN"/>
        </w:rPr>
        <w:t>51000</w:t>
      </w:r>
      <w:r>
        <w:rPr>
          <w:rFonts w:hint="eastAsia" w:ascii="宋体" w:hAnsi="宋体"/>
          <w:color w:val="auto"/>
          <w:sz w:val="24"/>
          <w:szCs w:val="24"/>
          <w:highlight w:val="none"/>
          <w:u w:val="single"/>
        </w:rPr>
        <w:t>0</w:t>
      </w:r>
      <w:r>
        <w:rPr>
          <w:rFonts w:hint="eastAsia" w:ascii="宋体" w:hAnsi="宋体"/>
          <w:color w:val="auto"/>
          <w:sz w:val="24"/>
          <w:szCs w:val="24"/>
          <w:highlight w:val="none"/>
          <w:u w:val="single"/>
          <w:lang w:val="zh-CN"/>
        </w:rPr>
        <w:t>、广州市增城区荔湖街云曦街4号碧桂园中心3901室</w:t>
      </w:r>
    </w:p>
    <w:p w14:paraId="532C1763">
      <w:pPr>
        <w:topLinePunct/>
        <w:spacing w:line="360" w:lineRule="auto"/>
        <w:ind w:left="7198" w:right="480" w:hanging="7197" w:hangingChars="2999"/>
        <w:jc w:val="left"/>
        <w:rPr>
          <w:rFonts w:hint="eastAsia" w:ascii="宋体" w:hAnsi="宋体"/>
          <w:color w:val="auto"/>
          <w:sz w:val="24"/>
          <w:szCs w:val="24"/>
          <w:highlight w:val="none"/>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olor w:val="auto"/>
          <w:sz w:val="24"/>
          <w:szCs w:val="24"/>
          <w:highlight w:val="none"/>
          <w:u w:val="single"/>
          <w:lang w:eastAsia="zh-CN"/>
        </w:rPr>
        <w:t>李工</w:t>
      </w:r>
      <w:r>
        <w:rPr>
          <w:rFonts w:hint="eastAsia" w:ascii="宋体" w:hAnsi="宋体" w:cs="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szCs w:val="24"/>
          <w:highlight w:val="none"/>
          <w:u w:val="single"/>
        </w:rPr>
        <w:t>020-82617826</w:t>
      </w:r>
    </w:p>
    <w:p w14:paraId="5D8A1990">
      <w:pPr>
        <w:topLinePunct/>
        <w:spacing w:line="360" w:lineRule="auto"/>
        <w:ind w:left="120" w:right="360" w:hanging="120" w:hangingChars="50"/>
        <w:jc w:val="left"/>
        <w:rPr>
          <w:rFonts w:hint="eastAsia" w:ascii="宋体" w:hAnsi="宋体"/>
          <w:color w:val="auto"/>
          <w:sz w:val="24"/>
          <w:szCs w:val="24"/>
          <w:highlight w:val="none"/>
        </w:rPr>
      </w:pPr>
      <w:r>
        <w:rPr>
          <w:rFonts w:hint="eastAsia" w:ascii="宋体" w:hAnsi="宋体"/>
          <w:color w:val="auto"/>
          <w:sz w:val="24"/>
          <w:szCs w:val="24"/>
          <w:highlight w:val="none"/>
        </w:rPr>
        <w:t xml:space="preserve">电子邮箱：/     </w:t>
      </w:r>
    </w:p>
    <w:p w14:paraId="16039909">
      <w:pPr>
        <w:spacing w:line="360" w:lineRule="auto"/>
        <w:ind w:right="360"/>
        <w:jc w:val="left"/>
        <w:rPr>
          <w:rFonts w:hint="eastAsia" w:ascii="宋体" w:hAnsi="宋体"/>
          <w:color w:val="auto"/>
          <w:sz w:val="24"/>
          <w:szCs w:val="24"/>
          <w:highlight w:val="none"/>
        </w:rPr>
      </w:pPr>
    </w:p>
    <w:p w14:paraId="23129B14">
      <w:pPr>
        <w:spacing w:line="360" w:lineRule="auto"/>
        <w:ind w:right="360"/>
        <w:jc w:val="left"/>
        <w:rPr>
          <w:rFonts w:hint="eastAsia" w:ascii="宋体" w:hAnsi="宋体" w:eastAsia="宋体" w:cs="宋体"/>
          <w:color w:val="auto"/>
          <w:sz w:val="24"/>
          <w:szCs w:val="24"/>
          <w:highlight w:val="none"/>
          <w:lang w:eastAsia="zh-CN"/>
        </w:rPr>
      </w:pPr>
      <w:r>
        <w:rPr>
          <w:rFonts w:ascii="宋体" w:hAnsi="宋体"/>
          <w:color w:val="auto"/>
          <w:sz w:val="24"/>
          <w:szCs w:val="24"/>
          <w:highlight w:val="none"/>
        </w:rPr>
        <w:t>招标代理机构：</w:t>
      </w:r>
      <w:r>
        <w:rPr>
          <w:rFonts w:hint="eastAsia" w:ascii="宋体" w:hAnsi="宋体"/>
          <w:color w:val="auto"/>
          <w:sz w:val="24"/>
          <w:szCs w:val="24"/>
          <w:highlight w:val="none"/>
          <w:u w:val="single"/>
          <w:lang w:eastAsia="zh-CN"/>
        </w:rPr>
        <w:t>广东省机电设备招标有限公司</w:t>
      </w:r>
    </w:p>
    <w:p w14:paraId="1BD41992">
      <w:pPr>
        <w:topLinePunct/>
        <w:spacing w:line="360" w:lineRule="auto"/>
        <w:jc w:val="left"/>
        <w:rPr>
          <w:rFonts w:hint="eastAsia" w:ascii="宋体" w:hAnsi="宋体"/>
          <w:color w:val="auto"/>
          <w:sz w:val="24"/>
          <w:szCs w:val="24"/>
          <w:highlight w:val="none"/>
          <w:u w:val="single"/>
        </w:rPr>
      </w:pPr>
      <w:r>
        <w:rPr>
          <w:rFonts w:hint="eastAsia" w:ascii="宋体" w:hAnsi="宋体"/>
          <w:color w:val="auto"/>
          <w:sz w:val="24"/>
          <w:szCs w:val="24"/>
          <w:highlight w:val="none"/>
        </w:rPr>
        <w:t>邮政编码、地址：</w:t>
      </w:r>
      <w:r>
        <w:rPr>
          <w:rFonts w:hint="eastAsia" w:ascii="宋体" w:hAnsi="宋体"/>
          <w:color w:val="auto"/>
          <w:sz w:val="24"/>
          <w:szCs w:val="24"/>
          <w:highlight w:val="none"/>
          <w:u w:val="single"/>
        </w:rPr>
        <w:t>510000、广州市</w:t>
      </w:r>
      <w:r>
        <w:rPr>
          <w:rFonts w:hint="eastAsia" w:ascii="宋体" w:hAnsi="宋体"/>
          <w:color w:val="auto"/>
          <w:sz w:val="24"/>
          <w:szCs w:val="24"/>
          <w:highlight w:val="none"/>
          <w:u w:val="single"/>
          <w:lang w:val="en-US" w:eastAsia="zh-CN"/>
        </w:rPr>
        <w:t>越秀区</w:t>
      </w:r>
      <w:r>
        <w:rPr>
          <w:rFonts w:hint="eastAsia" w:ascii="宋体" w:hAnsi="宋体"/>
          <w:color w:val="auto"/>
          <w:sz w:val="24"/>
          <w:szCs w:val="24"/>
          <w:highlight w:val="none"/>
          <w:u w:val="single"/>
        </w:rPr>
        <w:t>环市中路316号金鹰大厦</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u w:val="single"/>
        </w:rPr>
        <w:t>楼</w:t>
      </w:r>
    </w:p>
    <w:p w14:paraId="32E5BE92">
      <w:pPr>
        <w:topLinePunct/>
        <w:spacing w:line="360" w:lineRule="auto"/>
        <w:ind w:left="7486" w:hanging="7485" w:hangingChars="3119"/>
        <w:jc w:val="left"/>
        <w:rPr>
          <w:rFonts w:hint="eastAsia" w:ascii="宋体" w:hAnsi="宋体" w:eastAsia="宋体"/>
          <w:color w:val="auto"/>
          <w:sz w:val="24"/>
          <w:szCs w:val="24"/>
          <w:highlight w:val="none"/>
          <w:lang w:eastAsia="zh-CN" w:bidi="ar"/>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olor w:val="auto"/>
          <w:sz w:val="24"/>
          <w:szCs w:val="24"/>
          <w:highlight w:val="none"/>
          <w:u w:val="single"/>
        </w:rPr>
        <w:t>欧宇旻、罗乐勇、朱娇娇</w:t>
      </w:r>
      <w:r>
        <w:rPr>
          <w:rFonts w:hint="eastAsia" w:ascii="宋体" w:hAnsi="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szCs w:val="24"/>
          <w:highlight w:val="none"/>
          <w:u w:val="single"/>
          <w:lang w:eastAsia="zh-CN"/>
        </w:rPr>
        <w:t>020-83541707</w:t>
      </w:r>
    </w:p>
    <w:p w14:paraId="32CCBA49">
      <w:pPr>
        <w:topLinePunct/>
        <w:spacing w:line="360" w:lineRule="auto"/>
        <w:ind w:left="120" w:right="360" w:hanging="120" w:hangingChars="5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电子邮箱：</w:t>
      </w:r>
      <w:r>
        <w:rPr>
          <w:rFonts w:hint="eastAsia" w:ascii="宋体" w:hAnsi="宋体"/>
          <w:color w:val="auto"/>
          <w:sz w:val="24"/>
          <w:szCs w:val="24"/>
          <w:highlight w:val="none"/>
          <w:u w:val="single"/>
          <w:lang w:eastAsia="zh-CN"/>
        </w:rPr>
        <w:t>389077815@qq.com</w:t>
      </w:r>
    </w:p>
    <w:p w14:paraId="731354CA">
      <w:pPr>
        <w:spacing w:line="360" w:lineRule="auto"/>
        <w:ind w:right="360"/>
        <w:jc w:val="left"/>
        <w:rPr>
          <w:rFonts w:hint="eastAsia" w:ascii="宋体" w:hAnsi="宋体"/>
          <w:color w:val="auto"/>
          <w:sz w:val="24"/>
          <w:szCs w:val="24"/>
          <w:highlight w:val="none"/>
        </w:rPr>
      </w:pPr>
    </w:p>
    <w:p w14:paraId="47A8B428">
      <w:pPr>
        <w:shd w:val="clear" w:color="auto" w:fill="FFFFFF"/>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异议受理部门：</w:t>
      </w:r>
      <w:r>
        <w:rPr>
          <w:rFonts w:hint="eastAsia" w:ascii="宋体" w:hAnsi="宋体"/>
          <w:color w:val="auto"/>
          <w:sz w:val="24"/>
          <w:szCs w:val="24"/>
          <w:highlight w:val="none"/>
          <w:u w:val="single"/>
          <w:lang w:eastAsia="zh-CN"/>
        </w:rPr>
        <w:t>广州增城智通投资发展有限公司</w:t>
      </w:r>
      <w:r>
        <w:rPr>
          <w:rFonts w:hint="eastAsia" w:ascii="宋体" w:hAnsi="宋体"/>
          <w:color w:val="auto"/>
          <w:sz w:val="24"/>
          <w:szCs w:val="24"/>
          <w:highlight w:val="none"/>
        </w:rPr>
        <w:t xml:space="preserve"> </w:t>
      </w:r>
    </w:p>
    <w:p w14:paraId="2E14363A">
      <w:pPr>
        <w:spacing w:line="360" w:lineRule="auto"/>
        <w:rPr>
          <w:rFonts w:hint="eastAsia" w:ascii="宋体" w:hAnsi="宋体"/>
          <w:color w:val="auto"/>
          <w:sz w:val="24"/>
          <w:szCs w:val="24"/>
          <w:highlight w:val="none"/>
        </w:rPr>
      </w:pPr>
      <w:r>
        <w:rPr>
          <w:rFonts w:hint="eastAsia" w:ascii="宋体" w:hAnsi="宋体" w:cs="宋体"/>
          <w:color w:val="auto"/>
          <w:kern w:val="0"/>
          <w:sz w:val="24"/>
          <w:szCs w:val="24"/>
          <w:highlight w:val="none"/>
        </w:rPr>
        <w:t>地       址：</w:t>
      </w:r>
      <w:r>
        <w:rPr>
          <w:rFonts w:hint="eastAsia" w:ascii="宋体" w:hAnsi="宋体"/>
          <w:color w:val="auto"/>
          <w:sz w:val="24"/>
          <w:szCs w:val="24"/>
          <w:highlight w:val="none"/>
          <w:u w:val="single"/>
          <w:lang w:val="zh-CN"/>
        </w:rPr>
        <w:t>广州市增城区荔湖街云曦街4号碧桂园中心3901室</w:t>
      </w:r>
    </w:p>
    <w:p w14:paraId="587124CA">
      <w:pPr>
        <w:topLinePunct/>
        <w:spacing w:line="360" w:lineRule="auto"/>
        <w:ind w:left="7198" w:right="480" w:hanging="7197" w:hangingChars="2999"/>
        <w:jc w:val="left"/>
        <w:rPr>
          <w:rFonts w:hint="eastAsia" w:ascii="宋体" w:hAnsi="宋体"/>
          <w:color w:val="auto"/>
          <w:sz w:val="24"/>
          <w:szCs w:val="24"/>
          <w:highlight w:val="none"/>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系</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人：</w:t>
      </w:r>
      <w:r>
        <w:rPr>
          <w:rFonts w:hint="eastAsia" w:ascii="宋体" w:hAnsi="宋体"/>
          <w:color w:val="auto"/>
          <w:sz w:val="24"/>
          <w:szCs w:val="24"/>
          <w:highlight w:val="none"/>
          <w:u w:val="single"/>
          <w:lang w:eastAsia="zh-CN"/>
        </w:rPr>
        <w:t>李工</w:t>
      </w:r>
      <w:r>
        <w:rPr>
          <w:rFonts w:hint="eastAsia" w:ascii="宋体" w:hAnsi="宋体" w:cs="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szCs w:val="24"/>
          <w:highlight w:val="none"/>
          <w:u w:val="single"/>
        </w:rPr>
        <w:t>020-82617826</w:t>
      </w:r>
    </w:p>
    <w:p w14:paraId="079D2B6F">
      <w:pPr>
        <w:snapToGrid w:val="0"/>
        <w:spacing w:line="440" w:lineRule="exact"/>
        <w:ind w:firstLine="400" w:firstLineChars="200"/>
        <w:rPr>
          <w:color w:val="auto"/>
          <w:sz w:val="20"/>
          <w:szCs w:val="20"/>
          <w:highlight w:val="none"/>
        </w:rPr>
      </w:pPr>
    </w:p>
    <w:p w14:paraId="3397F0D4">
      <w:pPr>
        <w:snapToGrid w:val="0"/>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kern w:val="0"/>
          <w:sz w:val="24"/>
          <w:highlight w:val="none"/>
          <w:u w:val="single"/>
        </w:rPr>
        <w:t>广州市增城区建设工程招标管理办公室</w:t>
      </w:r>
    </w:p>
    <w:p w14:paraId="66FED4FF">
      <w:pPr>
        <w:snapToGrid w:val="0"/>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监 督 电 话：</w:t>
      </w:r>
      <w:r>
        <w:rPr>
          <w:rFonts w:hint="eastAsia" w:ascii="宋体" w:hAnsi="宋体" w:cs="宋体"/>
          <w:color w:val="auto"/>
          <w:sz w:val="24"/>
          <w:szCs w:val="24"/>
          <w:highlight w:val="none"/>
          <w:u w:val="single"/>
        </w:rPr>
        <w:t>020-32821156</w:t>
      </w:r>
    </w:p>
    <w:p w14:paraId="593E2EA0">
      <w:pPr>
        <w:widowControl/>
        <w:spacing w:line="440" w:lineRule="exact"/>
        <w:jc w:val="left"/>
        <w:outlineLvl w:val="1"/>
        <w:rPr>
          <w:rFonts w:hint="eastAsia" w:ascii="宋体" w:hAnsi="宋体"/>
          <w:color w:val="auto"/>
          <w:sz w:val="24"/>
          <w:highlight w:val="none"/>
          <w:u w:val="single"/>
        </w:rPr>
      </w:pPr>
      <w:r>
        <w:rPr>
          <w:rFonts w:hint="eastAsia" w:ascii="宋体" w:hAnsi="宋体" w:cs="宋体"/>
          <w:color w:val="auto"/>
          <w:sz w:val="24"/>
          <w:highlight w:val="none"/>
        </w:rPr>
        <w:t>地       址：</w:t>
      </w:r>
      <w:r>
        <w:rPr>
          <w:rFonts w:hint="eastAsia" w:ascii="宋体" w:hAnsi="宋体"/>
          <w:color w:val="auto"/>
          <w:sz w:val="24"/>
          <w:highlight w:val="none"/>
          <w:u w:val="single"/>
        </w:rPr>
        <w:t>广州市增城区荔城街挂绿路12号建设局4楼</w:t>
      </w:r>
    </w:p>
    <w:p w14:paraId="073598AE">
      <w:pPr>
        <w:widowControl/>
        <w:jc w:val="left"/>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14:paraId="3BB50E81">
      <w:pPr>
        <w:widowControl/>
        <w:spacing w:line="440" w:lineRule="exact"/>
        <w:jc w:val="left"/>
        <w:outlineLvl w:val="1"/>
        <w:rPr>
          <w:rFonts w:hint="eastAsia" w:ascii="宋体" w:hAnsi="宋体"/>
          <w:color w:val="auto"/>
          <w:highlight w:val="none"/>
        </w:rPr>
      </w:pPr>
      <w:r>
        <w:rPr>
          <w:rFonts w:hint="eastAsia" w:ascii="宋体" w:hAnsi="宋体" w:cs="宋体"/>
          <w:b/>
          <w:color w:val="auto"/>
          <w:kern w:val="0"/>
          <w:sz w:val="28"/>
          <w:szCs w:val="28"/>
          <w:highlight w:val="none"/>
        </w:rPr>
        <w:t>附件一：</w:t>
      </w:r>
      <w:r>
        <w:rPr>
          <w:rFonts w:ascii="宋体" w:hAnsi="宋体"/>
          <w:color w:val="auto"/>
          <w:highlight w:val="none"/>
        </w:rPr>
        <w:t xml:space="preserve"> </w:t>
      </w:r>
    </w:p>
    <w:p w14:paraId="2BFA48C0">
      <w:pPr>
        <w:pStyle w:val="4"/>
        <w:spacing w:line="440" w:lineRule="exact"/>
        <w:jc w:val="center"/>
        <w:rPr>
          <w:color w:val="auto"/>
          <w:highlight w:val="none"/>
        </w:rPr>
      </w:pPr>
      <w:r>
        <w:rPr>
          <w:rFonts w:hint="eastAsia"/>
          <w:color w:val="auto"/>
          <w:highlight w:val="none"/>
        </w:rPr>
        <w:t>投标人声明</w:t>
      </w:r>
    </w:p>
    <w:p w14:paraId="3BC5B814">
      <w:pPr>
        <w:spacing w:line="44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广州市增城区住房和城乡建设局、本招标项目招标人及招标监管机构：</w:t>
      </w:r>
    </w:p>
    <w:p w14:paraId="2B33B84D">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rPr>
        <w:t>    （项目名称）     </w:t>
      </w:r>
      <w:r>
        <w:rPr>
          <w:rFonts w:hint="eastAsia" w:ascii="宋体" w:hAnsi="宋体" w:cs="宋体"/>
          <w:color w:val="auto"/>
          <w:kern w:val="0"/>
          <w:sz w:val="24"/>
          <w:szCs w:val="24"/>
          <w:highlight w:val="none"/>
        </w:rPr>
        <w:t>项目投标工作，作出郑重声明：</w:t>
      </w:r>
    </w:p>
    <w:p w14:paraId="7A321E10">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w:t>
      </w:r>
      <w:r>
        <w:rPr>
          <w:rFonts w:hint="eastAsia" w:ascii="宋体" w:hAnsi="宋体" w:cs="宋体"/>
          <w:color w:val="auto"/>
          <w:kern w:val="0"/>
          <w:sz w:val="24"/>
          <w:szCs w:val="24"/>
          <w:highlight w:val="none"/>
          <w:u w:val="single"/>
        </w:rPr>
        <w:t>登记</w:t>
      </w:r>
      <w:r>
        <w:rPr>
          <w:rFonts w:hint="eastAsia" w:ascii="宋体" w:hAnsi="宋体" w:cs="宋体"/>
          <w:color w:val="auto"/>
          <w:kern w:val="0"/>
          <w:sz w:val="24"/>
          <w:szCs w:val="24"/>
          <w:highlight w:val="none"/>
        </w:rPr>
        <w:t>材料及其后提供的一切材料都是真实的。如我司成为本项目中标候选人，我司同意并授权招标人将我司投标文件商务部分的人员、业绩、奖项等资料进行公开。</w:t>
      </w:r>
    </w:p>
    <w:p w14:paraId="6FB83F93">
      <w:pPr>
        <w:spacing w:line="44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让监理业务。</w:t>
      </w:r>
    </w:p>
    <w:p w14:paraId="0A6BDCAC">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14:paraId="66FD661C">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14:paraId="22431FC8">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14:paraId="04270CCF">
      <w:pP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六、与本公司单位负责人为同一人或者与本公司存在控股、管理关系的其他单位包括：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。（注：本条由投标人如实填写，如有，应列出全部满足招标公告资质要求的相关单位的名称；如无，则填写“无”。）</w:t>
      </w:r>
    </w:p>
    <w:p w14:paraId="692309CF">
      <w:pPr>
        <w:spacing w:line="440" w:lineRule="exact"/>
        <w:ind w:firstLine="482" w:firstLineChars="200"/>
        <w:rPr>
          <w:rFonts w:hint="eastAsia" w:ascii="宋体" w:hAnsi="宋体" w:cs="宋体"/>
          <w:color w:val="auto"/>
          <w:kern w:val="0"/>
          <w:sz w:val="24"/>
          <w:szCs w:val="24"/>
          <w:highlight w:val="none"/>
        </w:rPr>
      </w:pPr>
      <w:r>
        <w:rPr>
          <w:rFonts w:hint="eastAsia" w:ascii="宋体" w:hAnsi="宋体" w:cs="宋体"/>
          <w:b/>
          <w:color w:val="auto"/>
          <w:kern w:val="0"/>
          <w:sz w:val="24"/>
          <w:szCs w:val="24"/>
          <w:highlight w:val="none"/>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color w:val="auto"/>
          <w:kern w:val="0"/>
          <w:sz w:val="24"/>
          <w:szCs w:val="24"/>
          <w:highlight w:val="none"/>
        </w:rPr>
        <w:t>承担由此带来的一切后果，并自愿停止参加广州市行政辖区内的招标投标活动三个月。</w:t>
      </w:r>
    </w:p>
    <w:p w14:paraId="003C3547">
      <w:pPr>
        <w:widowControl/>
        <w:shd w:val="clear" w:color="auto" w:fill="FFFFFF"/>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20D48790">
      <w:pPr>
        <w:snapToGrid w:val="0"/>
        <w:spacing w:line="440" w:lineRule="exact"/>
        <w:ind w:firstLine="4320" w:firstLineChars="18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声明企业：            (企业公章)</w:t>
      </w:r>
    </w:p>
    <w:p w14:paraId="14615D95">
      <w:pPr>
        <w:snapToGrid w:val="0"/>
        <w:spacing w:line="440" w:lineRule="exact"/>
        <w:ind w:firstLine="4320" w:firstLineChars="18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总监理工程师：         （签字）</w:t>
      </w:r>
    </w:p>
    <w:p w14:paraId="764FDCD1">
      <w:pPr>
        <w:snapToGrid w:val="0"/>
        <w:spacing w:line="440" w:lineRule="exact"/>
        <w:ind w:firstLine="4252" w:firstLineChars="177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法定代表人签字：</w:t>
      </w:r>
    </w:p>
    <w:p w14:paraId="70D726E6">
      <w:pPr>
        <w:spacing w:line="440" w:lineRule="exact"/>
        <w:ind w:firstLine="4920" w:firstLineChars="2050"/>
        <w:rPr>
          <w:rFonts w:hint="eastAsia"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年   月   日</w:t>
      </w:r>
    </w:p>
    <w:p w14:paraId="08FC31D4">
      <w:pPr>
        <w:spacing w:line="360" w:lineRule="auto"/>
        <w:outlineLvl w:val="2"/>
        <w:rPr>
          <w:rFonts w:hint="eastAsia" w:ascii="宋体" w:hAnsi="宋体"/>
          <w:b/>
          <w:color w:val="auto"/>
          <w:sz w:val="28"/>
          <w:szCs w:val="28"/>
          <w:highlight w:val="none"/>
        </w:rPr>
      </w:pPr>
      <w:r>
        <w:rPr>
          <w:rFonts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附件二：</w:t>
      </w:r>
    </w:p>
    <w:p w14:paraId="4E1057A0">
      <w:pPr>
        <w:pStyle w:val="4"/>
        <w:jc w:val="center"/>
        <w:rPr>
          <w:color w:val="auto"/>
          <w:highlight w:val="none"/>
        </w:rPr>
      </w:pPr>
      <w:r>
        <w:rPr>
          <w:rFonts w:hint="eastAsia"/>
          <w:color w:val="auto"/>
          <w:highlight w:val="none"/>
        </w:rPr>
        <w:t>监理项目管理团队人员信息表</w:t>
      </w:r>
    </w:p>
    <w:tbl>
      <w:tblPr>
        <w:tblStyle w:val="17"/>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45"/>
        <w:gridCol w:w="2918"/>
        <w:gridCol w:w="887"/>
        <w:gridCol w:w="3049"/>
      </w:tblGrid>
      <w:tr w14:paraId="5FF3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53" w:type="dxa"/>
            <w:tcBorders>
              <w:top w:val="single" w:color="auto" w:sz="4" w:space="0"/>
              <w:left w:val="single" w:color="auto" w:sz="4" w:space="0"/>
              <w:bottom w:val="single" w:color="auto" w:sz="4" w:space="0"/>
              <w:right w:val="single" w:color="auto" w:sz="4" w:space="0"/>
            </w:tcBorders>
            <w:vAlign w:val="center"/>
          </w:tcPr>
          <w:p w14:paraId="63FE6526">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317B3C58">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姓名</w:t>
            </w:r>
          </w:p>
        </w:tc>
        <w:tc>
          <w:tcPr>
            <w:tcW w:w="2918" w:type="dxa"/>
            <w:tcBorders>
              <w:top w:val="single" w:color="auto" w:sz="4" w:space="0"/>
              <w:left w:val="single" w:color="auto" w:sz="4" w:space="0"/>
              <w:bottom w:val="single" w:color="auto" w:sz="4" w:space="0"/>
              <w:right w:val="single" w:color="auto" w:sz="4" w:space="0"/>
            </w:tcBorders>
            <w:vAlign w:val="center"/>
          </w:tcPr>
          <w:p w14:paraId="5FC6D821">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岗位</w:t>
            </w:r>
          </w:p>
        </w:tc>
        <w:tc>
          <w:tcPr>
            <w:tcW w:w="887" w:type="dxa"/>
            <w:tcBorders>
              <w:top w:val="single" w:color="auto" w:sz="4" w:space="0"/>
              <w:left w:val="single" w:color="auto" w:sz="4" w:space="0"/>
              <w:bottom w:val="single" w:color="auto" w:sz="4" w:space="0"/>
              <w:right w:val="single" w:color="auto" w:sz="4" w:space="0"/>
            </w:tcBorders>
            <w:vAlign w:val="center"/>
          </w:tcPr>
          <w:p w14:paraId="6A5E53DC">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职称</w:t>
            </w:r>
          </w:p>
        </w:tc>
        <w:tc>
          <w:tcPr>
            <w:tcW w:w="3049" w:type="dxa"/>
            <w:tcBorders>
              <w:top w:val="single" w:color="auto" w:sz="4" w:space="0"/>
              <w:left w:val="single" w:color="auto" w:sz="4" w:space="0"/>
              <w:bottom w:val="single" w:color="auto" w:sz="4" w:space="0"/>
              <w:right w:val="single" w:color="auto" w:sz="4" w:space="0"/>
            </w:tcBorders>
            <w:vAlign w:val="center"/>
          </w:tcPr>
          <w:p w14:paraId="3FC41203">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职称证书或资格证书编号</w:t>
            </w:r>
          </w:p>
        </w:tc>
      </w:tr>
      <w:tr w14:paraId="7AEA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28893A22">
            <w:pPr>
              <w:pStyle w:val="21"/>
              <w:numPr>
                <w:ilvl w:val="0"/>
                <w:numId w:val="0"/>
              </w:numPr>
              <w:spacing w:line="360" w:lineRule="auto"/>
              <w:ind w:left="420" w:hanging="420" w:firstLineChars="0"/>
              <w:jc w:val="center"/>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w:t>
            </w:r>
          </w:p>
        </w:tc>
        <w:tc>
          <w:tcPr>
            <w:tcW w:w="1245" w:type="dxa"/>
            <w:tcBorders>
              <w:top w:val="single" w:color="auto" w:sz="4" w:space="0"/>
              <w:left w:val="single" w:color="auto" w:sz="4" w:space="0"/>
              <w:bottom w:val="single" w:color="auto" w:sz="4" w:space="0"/>
              <w:right w:val="single" w:color="auto" w:sz="4" w:space="0"/>
            </w:tcBorders>
            <w:vAlign w:val="center"/>
          </w:tcPr>
          <w:p w14:paraId="338803BE">
            <w:pPr>
              <w:spacing w:line="360" w:lineRule="auto"/>
              <w:rPr>
                <w:rFonts w:hint="eastAsia" w:ascii="宋体" w:hAnsi="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045E41">
            <w:pPr>
              <w:adjustRightInd w:val="0"/>
              <w:snapToGrid w:val="0"/>
              <w:jc w:val="center"/>
              <w:rPr>
                <w:rFonts w:hint="eastAsia" w:ascii="宋体" w:hAnsi="宋体"/>
                <w:color w:val="auto"/>
                <w:szCs w:val="21"/>
                <w:highlight w:val="none"/>
              </w:rPr>
            </w:pPr>
            <w:r>
              <w:rPr>
                <w:rFonts w:hint="eastAsia" w:ascii="宋体"/>
                <w:color w:val="auto"/>
                <w:szCs w:val="21"/>
                <w:highlight w:val="none"/>
                <w:lang w:bidi="ar"/>
              </w:rPr>
              <w:t>土建专业监理工程师（兼任测量专业监理工程师）</w:t>
            </w:r>
          </w:p>
        </w:tc>
        <w:tc>
          <w:tcPr>
            <w:tcW w:w="887" w:type="dxa"/>
            <w:tcBorders>
              <w:top w:val="single" w:color="auto" w:sz="4" w:space="0"/>
              <w:left w:val="single" w:color="auto" w:sz="4" w:space="0"/>
              <w:bottom w:val="single" w:color="auto" w:sz="4" w:space="0"/>
              <w:right w:val="single" w:color="auto" w:sz="4" w:space="0"/>
            </w:tcBorders>
            <w:vAlign w:val="center"/>
          </w:tcPr>
          <w:p w14:paraId="36A08901">
            <w:pPr>
              <w:spacing w:line="360" w:lineRule="auto"/>
              <w:rPr>
                <w:rFonts w:hint="eastAsia" w:ascii="宋体" w:hAnsi="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tcPr>
          <w:p w14:paraId="47B4B757">
            <w:pPr>
              <w:spacing w:line="360" w:lineRule="auto"/>
              <w:rPr>
                <w:rFonts w:hint="eastAsia" w:ascii="宋体" w:hAnsi="宋体"/>
                <w:color w:val="auto"/>
                <w:szCs w:val="21"/>
                <w:highlight w:val="none"/>
              </w:rPr>
            </w:pPr>
          </w:p>
        </w:tc>
      </w:tr>
      <w:tr w14:paraId="60BB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C5B147A">
            <w:pPr>
              <w:pStyle w:val="21"/>
              <w:numPr>
                <w:ilvl w:val="0"/>
                <w:numId w:val="0"/>
              </w:numPr>
              <w:spacing w:line="360" w:lineRule="auto"/>
              <w:ind w:left="420" w:leftChars="0" w:hanging="42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p>
        </w:tc>
        <w:tc>
          <w:tcPr>
            <w:tcW w:w="1245" w:type="dxa"/>
            <w:tcBorders>
              <w:top w:val="single" w:color="auto" w:sz="4" w:space="0"/>
              <w:left w:val="single" w:color="auto" w:sz="4" w:space="0"/>
              <w:bottom w:val="single" w:color="auto" w:sz="4" w:space="0"/>
              <w:right w:val="single" w:color="auto" w:sz="4" w:space="0"/>
            </w:tcBorders>
            <w:vAlign w:val="center"/>
          </w:tcPr>
          <w:p w14:paraId="0BA84D2D">
            <w:pPr>
              <w:spacing w:line="360" w:lineRule="auto"/>
              <w:rPr>
                <w:rFonts w:hint="eastAsia" w:ascii="宋体" w:hAnsi="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2C0C1A">
            <w:pPr>
              <w:adjustRightInd w:val="0"/>
              <w:snapToGrid w:val="0"/>
              <w:jc w:val="center"/>
              <w:rPr>
                <w:rFonts w:hint="eastAsia" w:ascii="宋体"/>
                <w:color w:val="auto"/>
                <w:szCs w:val="21"/>
                <w:highlight w:val="none"/>
                <w:lang w:bidi="ar"/>
              </w:rPr>
            </w:pPr>
            <w:r>
              <w:rPr>
                <w:rFonts w:hint="eastAsia" w:ascii="宋体"/>
                <w:color w:val="auto"/>
                <w:szCs w:val="21"/>
                <w:highlight w:val="none"/>
                <w:lang w:bidi="ar"/>
              </w:rPr>
              <w:t>土建专业监理工程师</w:t>
            </w:r>
          </w:p>
        </w:tc>
        <w:tc>
          <w:tcPr>
            <w:tcW w:w="887" w:type="dxa"/>
            <w:tcBorders>
              <w:top w:val="single" w:color="auto" w:sz="4" w:space="0"/>
              <w:left w:val="single" w:color="auto" w:sz="4" w:space="0"/>
              <w:bottom w:val="single" w:color="auto" w:sz="4" w:space="0"/>
              <w:right w:val="single" w:color="auto" w:sz="4" w:space="0"/>
            </w:tcBorders>
            <w:vAlign w:val="center"/>
          </w:tcPr>
          <w:p w14:paraId="7BD7F25A">
            <w:pPr>
              <w:spacing w:line="360" w:lineRule="auto"/>
              <w:rPr>
                <w:rFonts w:hint="eastAsia" w:ascii="宋体" w:hAnsi="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tcPr>
          <w:p w14:paraId="748B3AC1">
            <w:pPr>
              <w:spacing w:line="360" w:lineRule="auto"/>
              <w:rPr>
                <w:rFonts w:hint="eastAsia" w:ascii="宋体" w:hAnsi="宋体"/>
                <w:color w:val="auto"/>
                <w:szCs w:val="21"/>
                <w:highlight w:val="none"/>
              </w:rPr>
            </w:pPr>
          </w:p>
        </w:tc>
      </w:tr>
      <w:tr w14:paraId="344B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D4440EF">
            <w:pPr>
              <w:pStyle w:val="21"/>
              <w:numPr>
                <w:ilvl w:val="0"/>
                <w:numId w:val="0"/>
              </w:numPr>
              <w:spacing w:line="360" w:lineRule="auto"/>
              <w:ind w:left="420" w:leftChars="0" w:hanging="42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p>
        </w:tc>
        <w:tc>
          <w:tcPr>
            <w:tcW w:w="1245" w:type="dxa"/>
            <w:tcBorders>
              <w:top w:val="single" w:color="auto" w:sz="4" w:space="0"/>
              <w:left w:val="single" w:color="auto" w:sz="4" w:space="0"/>
              <w:bottom w:val="single" w:color="auto" w:sz="4" w:space="0"/>
              <w:right w:val="single" w:color="auto" w:sz="4" w:space="0"/>
            </w:tcBorders>
            <w:vAlign w:val="center"/>
          </w:tcPr>
          <w:p w14:paraId="0E7BC01B">
            <w:pPr>
              <w:spacing w:line="360" w:lineRule="auto"/>
              <w:rPr>
                <w:rFonts w:hint="eastAsia" w:ascii="宋体" w:hAnsi="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8596E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机电专业监理工程师</w:t>
            </w:r>
          </w:p>
        </w:tc>
        <w:tc>
          <w:tcPr>
            <w:tcW w:w="887" w:type="dxa"/>
            <w:tcBorders>
              <w:top w:val="single" w:color="auto" w:sz="4" w:space="0"/>
              <w:left w:val="single" w:color="auto" w:sz="4" w:space="0"/>
              <w:bottom w:val="single" w:color="auto" w:sz="4" w:space="0"/>
              <w:right w:val="single" w:color="auto" w:sz="4" w:space="0"/>
            </w:tcBorders>
            <w:vAlign w:val="center"/>
          </w:tcPr>
          <w:p w14:paraId="6BFA5C74">
            <w:pPr>
              <w:spacing w:line="360" w:lineRule="auto"/>
              <w:rPr>
                <w:rFonts w:hint="eastAsia" w:ascii="宋体" w:hAnsi="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tcPr>
          <w:p w14:paraId="7EB9ADBF">
            <w:pPr>
              <w:spacing w:line="360" w:lineRule="auto"/>
              <w:rPr>
                <w:rFonts w:hint="eastAsia" w:ascii="宋体" w:hAnsi="宋体"/>
                <w:color w:val="auto"/>
                <w:szCs w:val="21"/>
                <w:highlight w:val="none"/>
              </w:rPr>
            </w:pPr>
          </w:p>
        </w:tc>
      </w:tr>
      <w:tr w14:paraId="169E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4D10999B">
            <w:pPr>
              <w:pStyle w:val="21"/>
              <w:numPr>
                <w:ilvl w:val="0"/>
                <w:numId w:val="0"/>
              </w:numPr>
              <w:spacing w:line="360" w:lineRule="auto"/>
              <w:ind w:left="420" w:leftChars="0" w:hanging="42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p>
        </w:tc>
        <w:tc>
          <w:tcPr>
            <w:tcW w:w="1245" w:type="dxa"/>
            <w:tcBorders>
              <w:top w:val="single" w:color="auto" w:sz="4" w:space="0"/>
              <w:left w:val="single" w:color="auto" w:sz="4" w:space="0"/>
              <w:bottom w:val="single" w:color="auto" w:sz="4" w:space="0"/>
              <w:right w:val="single" w:color="auto" w:sz="4" w:space="0"/>
            </w:tcBorders>
            <w:vAlign w:val="center"/>
          </w:tcPr>
          <w:p w14:paraId="10E19AFD">
            <w:pPr>
              <w:spacing w:line="360" w:lineRule="auto"/>
              <w:rPr>
                <w:rFonts w:hint="eastAsia" w:ascii="宋体" w:hAnsi="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03A0EB">
            <w:pPr>
              <w:adjustRightInd w:val="0"/>
              <w:snapToGrid w:val="0"/>
              <w:jc w:val="center"/>
              <w:rPr>
                <w:rFonts w:hint="eastAsia" w:ascii="宋体" w:hAnsi="宋体"/>
                <w:color w:val="auto"/>
                <w:szCs w:val="21"/>
                <w:highlight w:val="none"/>
              </w:rPr>
            </w:pPr>
            <w:r>
              <w:rPr>
                <w:rFonts w:hint="eastAsia" w:ascii="宋体"/>
                <w:color w:val="auto"/>
                <w:szCs w:val="21"/>
                <w:highlight w:val="none"/>
                <w:lang w:bidi="ar"/>
              </w:rPr>
              <w:t>安全监理工程师</w:t>
            </w:r>
          </w:p>
        </w:tc>
        <w:tc>
          <w:tcPr>
            <w:tcW w:w="887" w:type="dxa"/>
            <w:tcBorders>
              <w:top w:val="single" w:color="auto" w:sz="4" w:space="0"/>
              <w:left w:val="single" w:color="auto" w:sz="4" w:space="0"/>
              <w:bottom w:val="single" w:color="auto" w:sz="4" w:space="0"/>
              <w:right w:val="single" w:color="auto" w:sz="4" w:space="0"/>
            </w:tcBorders>
            <w:vAlign w:val="center"/>
          </w:tcPr>
          <w:p w14:paraId="38413C60">
            <w:pPr>
              <w:spacing w:line="360" w:lineRule="auto"/>
              <w:rPr>
                <w:rFonts w:hint="eastAsia" w:ascii="宋体" w:hAnsi="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tcPr>
          <w:p w14:paraId="39B60305">
            <w:pPr>
              <w:spacing w:line="360" w:lineRule="auto"/>
              <w:rPr>
                <w:rFonts w:hint="eastAsia" w:ascii="宋体" w:hAnsi="宋体"/>
                <w:color w:val="auto"/>
                <w:szCs w:val="21"/>
                <w:highlight w:val="none"/>
              </w:rPr>
            </w:pPr>
          </w:p>
        </w:tc>
      </w:tr>
      <w:tr w14:paraId="120C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60D20FDE">
            <w:pPr>
              <w:pStyle w:val="21"/>
              <w:numPr>
                <w:ilvl w:val="-1"/>
                <w:numId w:val="0"/>
              </w:numPr>
              <w:spacing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5</w:t>
            </w:r>
          </w:p>
        </w:tc>
        <w:tc>
          <w:tcPr>
            <w:tcW w:w="1245" w:type="dxa"/>
            <w:tcBorders>
              <w:top w:val="single" w:color="auto" w:sz="4" w:space="0"/>
              <w:left w:val="single" w:color="auto" w:sz="4" w:space="0"/>
              <w:bottom w:val="single" w:color="auto" w:sz="4" w:space="0"/>
              <w:right w:val="single" w:color="auto" w:sz="4" w:space="0"/>
            </w:tcBorders>
            <w:vAlign w:val="center"/>
          </w:tcPr>
          <w:p w14:paraId="27B94406">
            <w:pPr>
              <w:spacing w:line="360" w:lineRule="auto"/>
              <w:rPr>
                <w:rFonts w:hint="eastAsia" w:ascii="宋体" w:hAnsi="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B1C9B8">
            <w:pPr>
              <w:adjustRightInd w:val="0"/>
              <w:snapToGrid w:val="0"/>
              <w:jc w:val="center"/>
              <w:rPr>
                <w:rFonts w:hint="eastAsia" w:ascii="宋体"/>
                <w:color w:val="auto"/>
                <w:szCs w:val="21"/>
                <w:highlight w:val="none"/>
                <w:lang w:bidi="ar"/>
              </w:rPr>
            </w:pPr>
            <w:r>
              <w:rPr>
                <w:rFonts w:hint="eastAsia" w:ascii="宋体"/>
                <w:color w:val="auto"/>
                <w:szCs w:val="21"/>
                <w:highlight w:val="none"/>
                <w:lang w:val="en-US" w:eastAsia="zh-CN" w:bidi="ar"/>
              </w:rPr>
              <w:t>造价工程师（不要求驻场）</w:t>
            </w:r>
          </w:p>
        </w:tc>
        <w:tc>
          <w:tcPr>
            <w:tcW w:w="887" w:type="dxa"/>
            <w:tcBorders>
              <w:top w:val="single" w:color="auto" w:sz="4" w:space="0"/>
              <w:left w:val="single" w:color="auto" w:sz="4" w:space="0"/>
              <w:bottom w:val="single" w:color="auto" w:sz="4" w:space="0"/>
              <w:right w:val="single" w:color="auto" w:sz="4" w:space="0"/>
            </w:tcBorders>
            <w:vAlign w:val="center"/>
          </w:tcPr>
          <w:p w14:paraId="312E85BC">
            <w:pPr>
              <w:spacing w:line="360" w:lineRule="auto"/>
              <w:rPr>
                <w:rFonts w:hint="eastAsia" w:ascii="宋体" w:hAnsi="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tcPr>
          <w:p w14:paraId="2E23FEB8">
            <w:pPr>
              <w:spacing w:line="360" w:lineRule="auto"/>
              <w:rPr>
                <w:rFonts w:hint="eastAsia" w:ascii="宋体" w:hAnsi="宋体"/>
                <w:color w:val="auto"/>
                <w:szCs w:val="21"/>
                <w:highlight w:val="none"/>
              </w:rPr>
            </w:pPr>
          </w:p>
        </w:tc>
      </w:tr>
      <w:tr w14:paraId="108F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4937BF15">
            <w:pPr>
              <w:pStyle w:val="21"/>
              <w:numPr>
                <w:ilvl w:val="-1"/>
                <w:numId w:val="0"/>
              </w:numPr>
              <w:spacing w:line="360" w:lineRule="auto"/>
              <w:ind w:left="0" w:firstLine="0" w:firstLineChars="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1245" w:type="dxa"/>
            <w:tcBorders>
              <w:top w:val="single" w:color="auto" w:sz="4" w:space="0"/>
              <w:left w:val="single" w:color="auto" w:sz="4" w:space="0"/>
              <w:bottom w:val="single" w:color="auto" w:sz="4" w:space="0"/>
              <w:right w:val="single" w:color="auto" w:sz="4" w:space="0"/>
            </w:tcBorders>
            <w:vAlign w:val="center"/>
          </w:tcPr>
          <w:p w14:paraId="7AAA6144">
            <w:pPr>
              <w:spacing w:line="360" w:lineRule="auto"/>
              <w:rPr>
                <w:rFonts w:hint="eastAsia" w:ascii="宋体" w:hAnsi="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62695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监理员（兼资料员与见证员）</w:t>
            </w:r>
          </w:p>
        </w:tc>
        <w:tc>
          <w:tcPr>
            <w:tcW w:w="887" w:type="dxa"/>
            <w:tcBorders>
              <w:top w:val="single" w:color="auto" w:sz="4" w:space="0"/>
              <w:left w:val="single" w:color="auto" w:sz="4" w:space="0"/>
              <w:bottom w:val="single" w:color="auto" w:sz="4" w:space="0"/>
              <w:right w:val="single" w:color="auto" w:sz="4" w:space="0"/>
            </w:tcBorders>
            <w:vAlign w:val="center"/>
          </w:tcPr>
          <w:p w14:paraId="5B6FD6FE">
            <w:pPr>
              <w:spacing w:line="360" w:lineRule="auto"/>
              <w:jc w:val="center"/>
              <w:rPr>
                <w:rFonts w:hint="eastAsia" w:ascii="宋体" w:hAnsi="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tcPr>
          <w:p w14:paraId="6C97A483">
            <w:pPr>
              <w:spacing w:line="360" w:lineRule="auto"/>
              <w:jc w:val="center"/>
              <w:rPr>
                <w:rFonts w:hint="eastAsia" w:ascii="宋体" w:hAnsi="宋体"/>
                <w:color w:val="auto"/>
                <w:szCs w:val="21"/>
                <w:highlight w:val="none"/>
              </w:rPr>
            </w:pPr>
          </w:p>
        </w:tc>
      </w:tr>
      <w:tr w14:paraId="2FF4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091760D4">
            <w:pPr>
              <w:spacing w:line="360" w:lineRule="auto"/>
              <w:rPr>
                <w:rFonts w:hint="eastAsia" w:ascii="宋体" w:hAnsi="宋体"/>
                <w:color w:val="auto"/>
                <w:highlight w:val="none"/>
              </w:rPr>
            </w:pPr>
            <w:r>
              <w:rPr>
                <w:rFonts w:hint="eastAsia" w:ascii="宋体" w:hAnsi="宋体"/>
                <w:color w:val="auto"/>
                <w:szCs w:val="21"/>
                <w:highlight w:val="none"/>
              </w:rPr>
              <w:t>……</w:t>
            </w:r>
          </w:p>
        </w:tc>
        <w:tc>
          <w:tcPr>
            <w:tcW w:w="1245" w:type="dxa"/>
            <w:tcBorders>
              <w:top w:val="single" w:color="auto" w:sz="4" w:space="0"/>
              <w:left w:val="single" w:color="auto" w:sz="4" w:space="0"/>
              <w:bottom w:val="single" w:color="auto" w:sz="4" w:space="0"/>
              <w:right w:val="single" w:color="auto" w:sz="4" w:space="0"/>
            </w:tcBorders>
            <w:vAlign w:val="center"/>
          </w:tcPr>
          <w:p w14:paraId="60EA659A">
            <w:pPr>
              <w:spacing w:line="360" w:lineRule="auto"/>
              <w:rPr>
                <w:rFonts w:hint="eastAsia" w:ascii="宋体" w:hAnsi="宋体"/>
                <w:color w:val="auto"/>
                <w:highlight w:val="none"/>
              </w:rPr>
            </w:pPr>
          </w:p>
        </w:tc>
        <w:tc>
          <w:tcPr>
            <w:tcW w:w="2918" w:type="dxa"/>
            <w:tcBorders>
              <w:top w:val="single" w:color="auto" w:sz="4" w:space="0"/>
              <w:left w:val="single" w:color="auto" w:sz="4" w:space="0"/>
              <w:bottom w:val="single" w:color="auto" w:sz="4" w:space="0"/>
              <w:right w:val="single" w:color="auto" w:sz="4" w:space="0"/>
            </w:tcBorders>
            <w:vAlign w:val="center"/>
          </w:tcPr>
          <w:p w14:paraId="1B48B4D1">
            <w:pPr>
              <w:spacing w:line="360" w:lineRule="auto"/>
              <w:jc w:val="center"/>
              <w:rPr>
                <w:rFonts w:hint="eastAsia" w:ascii="仿宋" w:hAnsi="仿宋"/>
                <w:bCs/>
                <w:color w:val="auto"/>
                <w:kern w:val="44"/>
                <w:szCs w:val="21"/>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4F4D70AB">
            <w:pPr>
              <w:spacing w:line="360" w:lineRule="auto"/>
              <w:jc w:val="center"/>
              <w:rPr>
                <w:rFonts w:hint="eastAsia" w:ascii="宋体" w:hAnsi="宋体"/>
                <w:color w:val="auto"/>
                <w:highlight w:val="none"/>
              </w:rPr>
            </w:pPr>
          </w:p>
        </w:tc>
        <w:tc>
          <w:tcPr>
            <w:tcW w:w="3049" w:type="dxa"/>
            <w:tcBorders>
              <w:top w:val="single" w:color="auto" w:sz="4" w:space="0"/>
              <w:left w:val="single" w:color="auto" w:sz="4" w:space="0"/>
              <w:bottom w:val="single" w:color="auto" w:sz="4" w:space="0"/>
              <w:right w:val="single" w:color="auto" w:sz="4" w:space="0"/>
            </w:tcBorders>
          </w:tcPr>
          <w:p w14:paraId="68E8398B">
            <w:pPr>
              <w:spacing w:line="360" w:lineRule="auto"/>
              <w:jc w:val="center"/>
              <w:rPr>
                <w:rFonts w:hint="eastAsia" w:ascii="宋体" w:hAnsi="宋体"/>
                <w:color w:val="auto"/>
                <w:highlight w:val="none"/>
              </w:rPr>
            </w:pPr>
          </w:p>
        </w:tc>
      </w:tr>
      <w:tr w14:paraId="6241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852" w:type="dxa"/>
            <w:gridSpan w:val="5"/>
            <w:tcBorders>
              <w:top w:val="single" w:color="auto" w:sz="4" w:space="0"/>
              <w:left w:val="single" w:color="auto" w:sz="4" w:space="0"/>
              <w:bottom w:val="single" w:color="auto" w:sz="4" w:space="0"/>
              <w:right w:val="single" w:color="auto" w:sz="4" w:space="0"/>
            </w:tcBorders>
            <w:vAlign w:val="center"/>
          </w:tcPr>
          <w:p w14:paraId="50D82648">
            <w:pPr>
              <w:spacing w:line="360" w:lineRule="auto"/>
              <w:rPr>
                <w:rFonts w:hint="eastAsia" w:ascii="宋体" w:hAnsi="宋体"/>
                <w:color w:val="auto"/>
                <w:highlight w:val="none"/>
              </w:rPr>
            </w:pPr>
            <w:r>
              <w:rPr>
                <w:rFonts w:hint="eastAsia" w:ascii="宋体" w:hAnsi="宋体"/>
                <w:color w:val="auto"/>
                <w:highlight w:val="none"/>
              </w:rPr>
              <w:t>备注：</w:t>
            </w:r>
          </w:p>
          <w:p w14:paraId="0F416795">
            <w:pPr>
              <w:spacing w:line="360" w:lineRule="auto"/>
              <w:rPr>
                <w:rFonts w:hint="eastAsia" w:ascii="宋体" w:hAnsi="宋体"/>
                <w:color w:val="auto"/>
                <w:highlight w:val="none"/>
              </w:rPr>
            </w:pPr>
            <w:r>
              <w:rPr>
                <w:rFonts w:hint="eastAsia" w:ascii="宋体" w:hAnsi="宋体"/>
                <w:color w:val="auto"/>
                <w:highlight w:val="none"/>
              </w:rPr>
              <w:t>1、“岗位”要求（总监理工程师除外）由招标人根据项目管理需要在本表备注中明确提出，如：拟派驻施工现场的专业监理工程师、监理员等。以上项目管理团队人员信息将由交易系统提取后供各相关单位在履约时比对、查核。</w:t>
            </w:r>
          </w:p>
          <w:p w14:paraId="5B2F8749">
            <w:pPr>
              <w:spacing w:line="360" w:lineRule="auto"/>
              <w:rPr>
                <w:rFonts w:hint="eastAsia" w:ascii="宋体" w:hAnsi="宋体"/>
                <w:color w:val="auto"/>
                <w:highlight w:val="none"/>
              </w:rPr>
            </w:pPr>
            <w:r>
              <w:rPr>
                <w:rFonts w:hint="eastAsia" w:ascii="宋体" w:hAnsi="宋体"/>
                <w:color w:val="auto"/>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4965D249">
            <w:pPr>
              <w:spacing w:line="360" w:lineRule="auto"/>
              <w:rPr>
                <w:rFonts w:hint="eastAsia" w:ascii="宋体" w:hAnsi="宋体"/>
                <w:color w:val="auto"/>
                <w:highlight w:val="none"/>
              </w:rPr>
            </w:pPr>
            <w:r>
              <w:rPr>
                <w:rFonts w:hint="eastAsia" w:ascii="宋体" w:hAnsi="宋体"/>
                <w:color w:val="auto"/>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69117942">
      <w:pPr>
        <w:spacing w:line="360" w:lineRule="auto"/>
        <w:rPr>
          <w:rFonts w:hint="eastAsia" w:ascii="宋体" w:hAnsi="宋体" w:cs="宋体"/>
          <w:b/>
          <w:color w:val="auto"/>
          <w:sz w:val="32"/>
          <w:szCs w:val="32"/>
          <w:highlight w:val="none"/>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AAB5">
    <w:pPr>
      <w:pStyle w:val="10"/>
      <w:jc w:val="center"/>
    </w:pPr>
  </w:p>
  <w:p w14:paraId="46DCBE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EFDF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8EF15">
    <w:pPr>
      <w:pStyle w:val="1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2FBE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902FBE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79C9">
    <w:pPr>
      <w:pStyle w:val="13"/>
      <w:ind w:left="420"/>
      <w:jc w:val="right"/>
      <w:rPr>
        <w:b/>
        <w:bCs/>
        <w:sz w:val="24"/>
        <w:szCs w:val="24"/>
      </w:rPr>
    </w:pPr>
  </w:p>
  <w:p w14:paraId="2C8200E4">
    <w:pPr>
      <w:pStyle w:val="13"/>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4F8F">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1F348">
    <w:pPr>
      <w:pBdr>
        <w:bottom w:val="none" w:color="auto" w:sz="0" w:space="1"/>
      </w:pBdr>
      <w:tabs>
        <w:tab w:val="center" w:pos="4153"/>
        <w:tab w:val="right" w:pos="8306"/>
      </w:tabs>
      <w:snapToGrid w:val="0"/>
      <w:jc w:val="center"/>
      <w:rPr>
        <w:kern w:val="0"/>
        <w:sz w:val="18"/>
        <w:szCs w:val="18"/>
      </w:rP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3CA1A">
    <w:pPr>
      <w:pStyle w:val="13"/>
      <w:ind w:left="0" w:leftChars="0"/>
      <w:jc w:val="both"/>
      <w:rPr>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2YjU4M2MwMzE1OGQ0MDc2MzNlNmIyNjRhZWU2MDYifQ=="/>
  </w:docVars>
  <w:rsids>
    <w:rsidRoot w:val="1B6137CD"/>
    <w:rsid w:val="001C6B78"/>
    <w:rsid w:val="0032064C"/>
    <w:rsid w:val="003706CA"/>
    <w:rsid w:val="003C0C73"/>
    <w:rsid w:val="0047651E"/>
    <w:rsid w:val="00687BAA"/>
    <w:rsid w:val="00E56A07"/>
    <w:rsid w:val="024D279F"/>
    <w:rsid w:val="02ED1C6E"/>
    <w:rsid w:val="03A66B69"/>
    <w:rsid w:val="05793C8D"/>
    <w:rsid w:val="05962A91"/>
    <w:rsid w:val="073F2733"/>
    <w:rsid w:val="09063A89"/>
    <w:rsid w:val="09BD644F"/>
    <w:rsid w:val="09ED4C49"/>
    <w:rsid w:val="0CF12CA2"/>
    <w:rsid w:val="0D466B4A"/>
    <w:rsid w:val="10232828"/>
    <w:rsid w:val="103C4234"/>
    <w:rsid w:val="13961EAE"/>
    <w:rsid w:val="141259D8"/>
    <w:rsid w:val="14186D67"/>
    <w:rsid w:val="145002AE"/>
    <w:rsid w:val="14F82861"/>
    <w:rsid w:val="161D70CE"/>
    <w:rsid w:val="17B22467"/>
    <w:rsid w:val="181E3167"/>
    <w:rsid w:val="199433D3"/>
    <w:rsid w:val="1B6137CD"/>
    <w:rsid w:val="1C3615B0"/>
    <w:rsid w:val="1E14234D"/>
    <w:rsid w:val="1E2F4A21"/>
    <w:rsid w:val="1E300E0B"/>
    <w:rsid w:val="1EB1403F"/>
    <w:rsid w:val="1F3405BE"/>
    <w:rsid w:val="1F3F5AEF"/>
    <w:rsid w:val="1F7E958F"/>
    <w:rsid w:val="1FF05338"/>
    <w:rsid w:val="1FFFE58D"/>
    <w:rsid w:val="22F64717"/>
    <w:rsid w:val="23207FEE"/>
    <w:rsid w:val="23B95E70"/>
    <w:rsid w:val="265A3977"/>
    <w:rsid w:val="26FD2518"/>
    <w:rsid w:val="27416DEE"/>
    <w:rsid w:val="275C47A5"/>
    <w:rsid w:val="283A32F8"/>
    <w:rsid w:val="29167350"/>
    <w:rsid w:val="291D29FD"/>
    <w:rsid w:val="2A4B4255"/>
    <w:rsid w:val="2AEF7860"/>
    <w:rsid w:val="2BAD0A0C"/>
    <w:rsid w:val="2BFB57E5"/>
    <w:rsid w:val="2D2D342B"/>
    <w:rsid w:val="2D404F0C"/>
    <w:rsid w:val="2EDB3EB1"/>
    <w:rsid w:val="2F2EEED5"/>
    <w:rsid w:val="302C1778"/>
    <w:rsid w:val="351153E0"/>
    <w:rsid w:val="3830584D"/>
    <w:rsid w:val="3D3FF68B"/>
    <w:rsid w:val="3DC65BE7"/>
    <w:rsid w:val="3E24017F"/>
    <w:rsid w:val="3E5D5765"/>
    <w:rsid w:val="3E793146"/>
    <w:rsid w:val="3E7A8392"/>
    <w:rsid w:val="3F3B1003"/>
    <w:rsid w:val="3FD3B9C8"/>
    <w:rsid w:val="3FDA4B92"/>
    <w:rsid w:val="3FFE57A5"/>
    <w:rsid w:val="44710F19"/>
    <w:rsid w:val="463E75C2"/>
    <w:rsid w:val="470E79D1"/>
    <w:rsid w:val="472254A6"/>
    <w:rsid w:val="47F966CB"/>
    <w:rsid w:val="4AAB5968"/>
    <w:rsid w:val="4AF315BD"/>
    <w:rsid w:val="4B9506C1"/>
    <w:rsid w:val="4BF058F8"/>
    <w:rsid w:val="4FE4110A"/>
    <w:rsid w:val="4FFF1B1A"/>
    <w:rsid w:val="545C3B2A"/>
    <w:rsid w:val="554A132E"/>
    <w:rsid w:val="5697074C"/>
    <w:rsid w:val="56D60F95"/>
    <w:rsid w:val="57134EAE"/>
    <w:rsid w:val="5C223D22"/>
    <w:rsid w:val="5C3F7CAE"/>
    <w:rsid w:val="5DBF3B0B"/>
    <w:rsid w:val="5DDE5786"/>
    <w:rsid w:val="5DEFFE3B"/>
    <w:rsid w:val="5EDFFEBA"/>
    <w:rsid w:val="5F5FC63E"/>
    <w:rsid w:val="600428D3"/>
    <w:rsid w:val="601E05C2"/>
    <w:rsid w:val="60285208"/>
    <w:rsid w:val="61AD00BB"/>
    <w:rsid w:val="63374A8A"/>
    <w:rsid w:val="64F211FC"/>
    <w:rsid w:val="65637000"/>
    <w:rsid w:val="66742F55"/>
    <w:rsid w:val="66860EDB"/>
    <w:rsid w:val="685272C6"/>
    <w:rsid w:val="68930FAA"/>
    <w:rsid w:val="69AE6B86"/>
    <w:rsid w:val="6A282E2A"/>
    <w:rsid w:val="6A777800"/>
    <w:rsid w:val="6B126460"/>
    <w:rsid w:val="6BB67524"/>
    <w:rsid w:val="6BFF09A0"/>
    <w:rsid w:val="6CBC11B2"/>
    <w:rsid w:val="6EDC4D9D"/>
    <w:rsid w:val="6EE12B01"/>
    <w:rsid w:val="6F0357BE"/>
    <w:rsid w:val="6F08033E"/>
    <w:rsid w:val="6F7741CF"/>
    <w:rsid w:val="71BA0D35"/>
    <w:rsid w:val="743B1B45"/>
    <w:rsid w:val="74430AF8"/>
    <w:rsid w:val="75A0590A"/>
    <w:rsid w:val="75B793D5"/>
    <w:rsid w:val="76B47894"/>
    <w:rsid w:val="77F058F2"/>
    <w:rsid w:val="77F8A00D"/>
    <w:rsid w:val="77FF09BE"/>
    <w:rsid w:val="79FFCF1E"/>
    <w:rsid w:val="7A4EA44A"/>
    <w:rsid w:val="7BAC4AE8"/>
    <w:rsid w:val="7BEFEB02"/>
    <w:rsid w:val="7CD36A49"/>
    <w:rsid w:val="7CDB1C53"/>
    <w:rsid w:val="7E5971A9"/>
    <w:rsid w:val="7E8CFCCF"/>
    <w:rsid w:val="7EBE53B6"/>
    <w:rsid w:val="7F9FCBD1"/>
    <w:rsid w:val="7FAEF442"/>
    <w:rsid w:val="7FBF908C"/>
    <w:rsid w:val="7FDEBAB3"/>
    <w:rsid w:val="7FEB54B7"/>
    <w:rsid w:val="7FF753E0"/>
    <w:rsid w:val="7FF85BC6"/>
    <w:rsid w:val="7FFB117A"/>
    <w:rsid w:val="7FFE34BE"/>
    <w:rsid w:val="7FFF85BE"/>
    <w:rsid w:val="B7274F5D"/>
    <w:rsid w:val="B7EF8388"/>
    <w:rsid w:val="BFBEBCB8"/>
    <w:rsid w:val="C9D6AF13"/>
    <w:rsid w:val="D3FB463C"/>
    <w:rsid w:val="D5F5D903"/>
    <w:rsid w:val="DD9F2E80"/>
    <w:rsid w:val="DF79221A"/>
    <w:rsid w:val="DFC27887"/>
    <w:rsid w:val="DFDF5B90"/>
    <w:rsid w:val="DFFC9BED"/>
    <w:rsid w:val="EAFF582C"/>
    <w:rsid w:val="EDD5539C"/>
    <w:rsid w:val="EEEEDA79"/>
    <w:rsid w:val="EF4F6B28"/>
    <w:rsid w:val="EFE56440"/>
    <w:rsid w:val="F3FF2DC2"/>
    <w:rsid w:val="F5EFD683"/>
    <w:rsid w:val="F65FB414"/>
    <w:rsid w:val="F8FB9855"/>
    <w:rsid w:val="F9DC69C8"/>
    <w:rsid w:val="FEED216B"/>
    <w:rsid w:val="FF6BB122"/>
    <w:rsid w:val="FFAF982B"/>
    <w:rsid w:val="FFD86F97"/>
    <w:rsid w:val="FFFDA743"/>
    <w:rsid w:val="FFFF9F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4">
    <w:name w:val="heading 2"/>
    <w:basedOn w:val="1"/>
    <w:next w:val="1"/>
    <w:qFormat/>
    <w:uiPriority w:val="0"/>
    <w:pPr>
      <w:jc w:val="left"/>
      <w:outlineLvl w:val="1"/>
    </w:pPr>
    <w:rPr>
      <w:rFonts w:ascii="Arial" w:hAnsi="Arial" w:eastAsia="黑体"/>
      <w:b/>
      <w:bCs/>
      <w:color w:val="000000"/>
      <w:kern w:val="0"/>
      <w:sz w:val="36"/>
      <w:szCs w:val="32"/>
    </w:rPr>
  </w:style>
  <w:style w:type="paragraph" w:styleId="5">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pPr>
    <w:rPr>
      <w:szCs w:val="20"/>
    </w:rPr>
  </w:style>
  <w:style w:type="paragraph" w:styleId="6">
    <w:name w:val="annotation text"/>
    <w:basedOn w:val="1"/>
    <w:qFormat/>
    <w:uiPriority w:val="0"/>
    <w:pPr>
      <w:jc w:val="left"/>
    </w:pPr>
  </w:style>
  <w:style w:type="paragraph" w:styleId="7">
    <w:name w:val="Body Text"/>
    <w:basedOn w:val="1"/>
    <w:qFormat/>
    <w:uiPriority w:val="99"/>
    <w:pPr>
      <w:spacing w:after="120"/>
    </w:pPr>
  </w:style>
  <w:style w:type="paragraph" w:styleId="8">
    <w:name w:val="Body Text Indent"/>
    <w:basedOn w:val="1"/>
    <w:next w:val="9"/>
    <w:qFormat/>
    <w:uiPriority w:val="0"/>
    <w:pPr>
      <w:ind w:firstLine="560" w:firstLineChars="200"/>
    </w:pPr>
    <w:rPr>
      <w:rFonts w:ascii="Times New Roman" w:hAnsi="Times New Roman"/>
      <w:kern w:val="0"/>
      <w:sz w:val="28"/>
      <w:szCs w:val="24"/>
    </w:rPr>
  </w:style>
  <w:style w:type="paragraph" w:styleId="9">
    <w:name w:val="envelope return"/>
    <w:basedOn w:val="1"/>
    <w:qFormat/>
    <w:uiPriority w:val="0"/>
    <w:pPr>
      <w:snapToGrid w:val="0"/>
    </w:pPr>
    <w:rPr>
      <w:rFonts w:ascii="Arial" w:hAnsi="Arial"/>
      <w:szCs w:val="24"/>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link w:val="36"/>
    <w:qFormat/>
    <w:uiPriority w:val="0"/>
    <w:pP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Body Text Indent 3"/>
    <w:basedOn w:val="1"/>
    <w:qFormat/>
    <w:uiPriority w:val="0"/>
    <w:pPr>
      <w:spacing w:after="120"/>
      <w:ind w:left="200" w:leftChars="200"/>
    </w:pPr>
    <w:rPr>
      <w:kern w:val="0"/>
      <w:sz w:val="16"/>
      <w:szCs w:val="16"/>
    </w:rPr>
  </w:style>
  <w:style w:type="paragraph" w:styleId="14">
    <w:name w:val="Normal (Web)"/>
    <w:basedOn w:val="1"/>
    <w:qFormat/>
    <w:uiPriority w:val="99"/>
    <w:rPr>
      <w:rFonts w:ascii="微软雅黑" w:hAnsi="微软雅黑" w:eastAsia="微软雅黑"/>
      <w:kern w:val="0"/>
      <w:sz w:val="20"/>
      <w:szCs w:val="20"/>
    </w:rPr>
  </w:style>
  <w:style w:type="paragraph" w:styleId="15">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paragraph" w:styleId="16">
    <w:name w:val="Body Text First Indent 2"/>
    <w:basedOn w:val="8"/>
    <w:qFormat/>
    <w:uiPriority w:val="0"/>
    <w:pPr>
      <w:spacing w:line="420" w:lineRule="exact"/>
      <w:ind w:firstLine="420"/>
      <w:jc w:val="left"/>
    </w:pPr>
    <w:rPr>
      <w:rFonts w:ascii="宋体" w:hAnsi="宋体"/>
      <w:color w:val="000000"/>
      <w:sz w:val="24"/>
      <w:szCs w:val="18"/>
    </w:rPr>
  </w:style>
  <w:style w:type="character" w:styleId="19">
    <w:name w:val="Hyperlink"/>
    <w:unhideWhenUsed/>
    <w:qFormat/>
    <w:uiPriority w:val="99"/>
    <w:rPr>
      <w:rFonts w:hint="default" w:ascii="Calibri" w:hAnsi="Calibri" w:eastAsia="宋体" w:cs="Calibri"/>
      <w:color w:val="0000FF"/>
      <w:u w:val="single"/>
    </w:rPr>
  </w:style>
  <w:style w:type="paragraph" w:customStyle="1" w:styleId="2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1">
    <w:name w:val="列表段落1"/>
    <w:basedOn w:val="1"/>
    <w:qFormat/>
    <w:uiPriority w:val="0"/>
    <w:pPr>
      <w:ind w:firstLine="420" w:firstLineChars="200"/>
    </w:pPr>
    <w:rPr>
      <w:rFonts w:ascii="Times New Roman" w:hAnsi="Times New Roman"/>
    </w:rPr>
  </w:style>
  <w:style w:type="paragraph" w:customStyle="1" w:styleId="22">
    <w:name w:val="自定表格内容"/>
    <w:basedOn w:val="7"/>
    <w:qFormat/>
    <w:uiPriority w:val="0"/>
    <w:pPr>
      <w:spacing w:after="0" w:line="360" w:lineRule="auto"/>
    </w:pPr>
  </w:style>
  <w:style w:type="paragraph" w:customStyle="1" w:styleId="23">
    <w:name w:val="表格文字"/>
    <w:basedOn w:val="1"/>
    <w:qFormat/>
    <w:uiPriority w:val="0"/>
    <w:pPr>
      <w:adjustRightInd w:val="0"/>
      <w:spacing w:line="420" w:lineRule="atLeast"/>
      <w:jc w:val="left"/>
    </w:pPr>
    <w:rPr>
      <w:rFonts w:ascii="Times New Roman" w:hAnsi="Times New Roman" w:cs="Calibri"/>
      <w:kern w:val="0"/>
      <w:szCs w:val="20"/>
    </w:rPr>
  </w:style>
  <w:style w:type="paragraph" w:customStyle="1" w:styleId="24">
    <w:name w:val="自定义正文"/>
    <w:basedOn w:val="1"/>
    <w:next w:val="1"/>
    <w:qFormat/>
    <w:uiPriority w:val="0"/>
    <w:pPr>
      <w:spacing w:line="360" w:lineRule="auto"/>
      <w:ind w:firstLine="200" w:firstLineChars="200"/>
    </w:pPr>
    <w:rPr>
      <w:sz w:val="24"/>
    </w:rPr>
  </w:style>
  <w:style w:type="paragraph" w:customStyle="1" w:styleId="25">
    <w:name w:val="文二"/>
    <w:basedOn w:val="1"/>
    <w:qFormat/>
    <w:uiPriority w:val="0"/>
    <w:rPr>
      <w:rFonts w:ascii="宋体" w:hAnsi="宋体" w:cs="Calibri"/>
      <w:szCs w:val="21"/>
    </w:rPr>
  </w:style>
  <w:style w:type="paragraph" w:customStyle="1" w:styleId="26">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27">
    <w:name w:val="正题"/>
    <w:basedOn w:val="28"/>
    <w:next w:val="28"/>
    <w:qFormat/>
    <w:uiPriority w:val="0"/>
    <w:pPr>
      <w:ind w:firstLine="0" w:firstLineChars="0"/>
      <w:jc w:val="center"/>
    </w:pPr>
    <w:rPr>
      <w:rFonts w:ascii="Calibri" w:hAnsi="Calibri" w:eastAsia="黑体"/>
      <w:b/>
      <w:sz w:val="36"/>
      <w:szCs w:val="36"/>
    </w:rPr>
  </w:style>
  <w:style w:type="paragraph" w:customStyle="1" w:styleId="28">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rPr>
  </w:style>
  <w:style w:type="paragraph" w:customStyle="1" w:styleId="29">
    <w:name w:val="自定义1级"/>
    <w:basedOn w:val="3"/>
    <w:qFormat/>
    <w:uiPriority w:val="0"/>
    <w:pPr>
      <w:spacing w:before="0" w:after="0" w:line="360" w:lineRule="auto"/>
    </w:pPr>
    <w:rPr>
      <w:b/>
      <w:color w:val="auto"/>
      <w:sz w:val="36"/>
    </w:rPr>
  </w:style>
  <w:style w:type="paragraph" w:customStyle="1" w:styleId="30">
    <w:name w:val="自定义2级"/>
    <w:basedOn w:val="4"/>
    <w:qFormat/>
    <w:uiPriority w:val="0"/>
    <w:pPr>
      <w:spacing w:line="360" w:lineRule="auto"/>
    </w:pPr>
    <w:rPr>
      <w:color w:val="auto"/>
      <w:sz w:val="32"/>
      <w:lang w:eastAsia="zh-Hans"/>
    </w:rPr>
  </w:style>
  <w:style w:type="paragraph" w:customStyle="1" w:styleId="31">
    <w:name w:val="自定表格标题"/>
    <w:basedOn w:val="12"/>
    <w:qFormat/>
    <w:uiPriority w:val="0"/>
    <w:pPr>
      <w:spacing w:line="360" w:lineRule="auto"/>
      <w:ind w:left="0" w:firstLine="0" w:firstLineChars="0"/>
      <w:jc w:val="center"/>
    </w:pPr>
    <w:rPr>
      <w:b/>
      <w:lang w:eastAsia="zh-Hans"/>
    </w:rPr>
  </w:style>
  <w:style w:type="paragraph" w:customStyle="1" w:styleId="32">
    <w:name w:val="自定义要点"/>
    <w:basedOn w:val="24"/>
    <w:qFormat/>
    <w:uiPriority w:val="0"/>
    <w:pPr>
      <w:tabs>
        <w:tab w:val="right" w:leader="dot" w:pos="9184"/>
      </w:tabs>
    </w:pPr>
    <w:rPr>
      <w:rFonts w:ascii="宋体" w:hAnsi="宋体"/>
      <w:b/>
      <w:bCs/>
      <w:caps/>
      <w:smallCaps/>
      <w:szCs w:val="26"/>
    </w:rPr>
  </w:style>
  <w:style w:type="paragraph" w:customStyle="1" w:styleId="33">
    <w:name w:val="自定义3级"/>
    <w:basedOn w:val="5"/>
    <w:qFormat/>
    <w:uiPriority w:val="0"/>
    <w:pPr>
      <w:spacing w:before="0" w:after="0" w:line="360" w:lineRule="auto"/>
    </w:pPr>
    <w:rPr>
      <w:b/>
      <w:color w:val="auto"/>
      <w:sz w:val="30"/>
      <w:lang w:eastAsia="zh-Hans"/>
    </w:rPr>
  </w:style>
  <w:style w:type="paragraph" w:customStyle="1" w:styleId="34">
    <w:name w:val="章节三"/>
    <w:basedOn w:val="28"/>
    <w:next w:val="28"/>
    <w:qFormat/>
    <w:uiPriority w:val="0"/>
    <w:pPr>
      <w:spacing w:beforeLines="50" w:afterLines="50" w:line="240" w:lineRule="auto"/>
      <w:ind w:firstLine="0" w:firstLineChars="0"/>
      <w:jc w:val="left"/>
      <w:outlineLvl w:val="2"/>
    </w:pPr>
    <w:rPr>
      <w:rFonts w:ascii="黑体" w:hAnsi="宋体" w:eastAsia="黑体"/>
      <w:b/>
    </w:rPr>
  </w:style>
  <w:style w:type="paragraph" w:customStyle="1" w:styleId="35">
    <w:name w:val="Revision"/>
    <w:hidden/>
    <w:unhideWhenUsed/>
    <w:qFormat/>
    <w:uiPriority w:val="99"/>
    <w:rPr>
      <w:rFonts w:ascii="Calibri" w:hAnsi="Calibri" w:eastAsia="宋体" w:cs="Times New Roman"/>
      <w:kern w:val="2"/>
      <w:sz w:val="21"/>
      <w:szCs w:val="22"/>
      <w:lang w:val="en-US" w:eastAsia="zh-CN" w:bidi="ar-SA"/>
    </w:rPr>
  </w:style>
  <w:style w:type="character" w:customStyle="1" w:styleId="36">
    <w:name w:val="页眉 字符"/>
    <w:basedOn w:val="18"/>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85</Words>
  <Characters>89</Characters>
  <Lines>48</Lines>
  <Paragraphs>13</Paragraphs>
  <TotalTime>0</TotalTime>
  <ScaleCrop>false</ScaleCrop>
  <LinksUpToDate>false</LinksUpToDate>
  <CharactersWithSpaces>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2024-11-14T11:30:00Z</dcterms:created>
  <dc:creator>07</dc:creator>
  <cp:lastModifiedBy>省机电</cp:lastModifiedBy>
  <dcterms:modified xsi:type="dcterms:W3CDTF">2025-12-02T10:46:45Z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422A2B14395640C6B7BE094A4604C483_13</vt:lpwstr>
  </property>
  <property fmtid="{D5CDD505-2E9C-101B-9397-08002B2CF9AE}" pid="4" name="KSOTemplateDocerSaveRecord">
    <vt:lpwstr>eyJoZGlkIjoiYjM3ZTdhZTIwNjQwOTUwZjczMTg3NTM1YzE2MTJhMTEiLCJ1c2VySWQiOiIzMzMxNDIzMTgifQ==</vt:lpwstr>
  </property>
</Properties>
</file>