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auto"/>
          <w:sz w:val="32"/>
          <w:szCs w:val="32"/>
          <w:highlight w:val="none"/>
        </w:rPr>
      </w:pPr>
      <w:r>
        <w:rPr>
          <w:rFonts w:hint="eastAsia" w:ascii="宋体" w:hAnsi="宋体" w:eastAsia="宋体" w:cs="宋体"/>
          <w:b/>
          <w:color w:val="auto"/>
          <w:sz w:val="32"/>
          <w:szCs w:val="32"/>
          <w:highlight w:val="none"/>
          <w:lang w:eastAsia="zh-CN"/>
        </w:rPr>
        <w:t>揭阳大南海石化工业区广大化工公共罐区工程项目库外管廊工程施工</w:t>
      </w:r>
      <w:r>
        <w:rPr>
          <w:rStyle w:val="9"/>
          <w:rFonts w:hint="eastAsia" w:ascii="宋体" w:hAnsi="宋体" w:eastAsia="宋体" w:cs="宋体"/>
          <w:b/>
          <w:color w:val="auto"/>
          <w:sz w:val="32"/>
          <w:szCs w:val="32"/>
          <w:highlight w:val="none"/>
          <w:u w:val="none"/>
        </w:rPr>
        <w:t>招标公告</w:t>
      </w:r>
    </w:p>
    <w:p>
      <w:pPr>
        <w:pStyle w:val="3"/>
        <w:pageBreakBefore w:val="0"/>
        <w:numPr>
          <w:ilvl w:val="0"/>
          <w:numId w:val="2"/>
        </w:numPr>
        <w:kinsoku/>
        <w:overflowPunct/>
        <w:topLinePunct w:val="0"/>
        <w:bidi w:val="0"/>
        <w:snapToGrid/>
        <w:spacing w:before="0" w:after="0" w:line="360" w:lineRule="auto"/>
        <w:ind w:left="0" w:firstLine="476" w:firstLineChars="200"/>
        <w:rPr>
          <w:rFonts w:hint="eastAsia" w:ascii="宋体" w:hAnsi="宋体" w:eastAsia="宋体" w:cs="宋体"/>
          <w:color w:val="auto"/>
          <w:w w:val="99"/>
          <w:kern w:val="0"/>
          <w:sz w:val="24"/>
          <w:highlight w:val="none"/>
        </w:rPr>
      </w:pPr>
      <w:bookmarkStart w:id="0" w:name="_Toc258354682"/>
      <w:bookmarkStart w:id="1" w:name="_Toc360714497"/>
      <w:r>
        <w:rPr>
          <w:rFonts w:hint="eastAsia" w:ascii="宋体" w:hAnsi="宋体" w:eastAsia="宋体" w:cs="宋体"/>
          <w:color w:val="auto"/>
          <w:w w:val="99"/>
          <w:kern w:val="0"/>
          <w:sz w:val="24"/>
          <w:highlight w:val="none"/>
        </w:rPr>
        <w:t>招标条件</w:t>
      </w:r>
      <w:bookmarkEnd w:id="0"/>
      <w:bookmarkEnd w:id="1"/>
    </w:p>
    <w:p>
      <w:pPr>
        <w:pageBreakBefore w:val="0"/>
        <w:tabs>
          <w:tab w:val="left" w:pos="1580"/>
        </w:tabs>
        <w:kinsoku/>
        <w:overflowPunct/>
        <w:topLinePunct w:val="0"/>
        <w:autoSpaceDE w:val="0"/>
        <w:autoSpaceDN w:val="0"/>
        <w:bidi w:val="0"/>
        <w:adjustRightInd w:val="0"/>
        <w:snapToGrid/>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揭阳大南海石化工业区广大化工公共罐区工程项目</w:t>
      </w:r>
      <w:r>
        <w:rPr>
          <w:rFonts w:hint="eastAsia" w:ascii="宋体" w:hAnsi="宋体" w:cs="宋体"/>
          <w:color w:val="auto"/>
          <w:sz w:val="24"/>
          <w:highlight w:val="none"/>
          <w:u w:val="single"/>
        </w:rPr>
        <w:t>（以下简称“本</w:t>
      </w:r>
      <w:r>
        <w:rPr>
          <w:rFonts w:hint="eastAsia" w:ascii="宋体" w:hAnsi="宋体" w:cs="宋体"/>
          <w:color w:val="auto"/>
          <w:sz w:val="24"/>
          <w:highlight w:val="none"/>
          <w:u w:val="single"/>
          <w:lang w:val="en-US" w:eastAsia="zh-CN"/>
        </w:rPr>
        <w:t>项目</w:t>
      </w:r>
      <w:r>
        <w:rPr>
          <w:rFonts w:hint="eastAsia" w:ascii="宋体" w:hAnsi="宋体" w:cs="宋体"/>
          <w:color w:val="auto"/>
          <w:sz w:val="24"/>
          <w:highlight w:val="none"/>
          <w:u w:val="single"/>
        </w:rPr>
        <w:t>”）</w:t>
      </w:r>
      <w:r>
        <w:rPr>
          <w:rFonts w:hint="eastAsia" w:ascii="宋体" w:hAnsi="宋体" w:cs="宋体"/>
          <w:color w:val="auto"/>
          <w:sz w:val="24"/>
          <w:highlight w:val="none"/>
        </w:rPr>
        <w:t>已由</w:t>
      </w:r>
      <w:r>
        <w:rPr>
          <w:rFonts w:hint="eastAsia" w:ascii="宋体" w:hAnsi="宋体" w:cs="宋体"/>
          <w:color w:val="auto"/>
          <w:sz w:val="24"/>
          <w:highlight w:val="none"/>
          <w:u w:val="single"/>
          <w:lang w:eastAsia="zh-CN"/>
        </w:rPr>
        <w:t>揭阳市发展和改革局</w:t>
      </w:r>
      <w:r>
        <w:rPr>
          <w:rFonts w:hint="eastAsia" w:ascii="宋体" w:hAnsi="宋体" w:cs="宋体"/>
          <w:color w:val="auto"/>
          <w:sz w:val="24"/>
          <w:highlight w:val="none"/>
        </w:rPr>
        <w:t>以</w:t>
      </w:r>
      <w:r>
        <w:rPr>
          <w:rFonts w:hint="eastAsia" w:ascii="宋体" w:hAnsi="宋体" w:cs="宋体"/>
          <w:color w:val="auto"/>
          <w:sz w:val="24"/>
          <w:highlight w:val="none"/>
          <w:u w:val="single"/>
          <w:lang w:val="en-US" w:eastAsia="zh-CN"/>
        </w:rPr>
        <w:t>广东省企业投资项目备案证（项目代码：</w:t>
      </w:r>
      <w:r>
        <w:rPr>
          <w:rFonts w:hint="eastAsia" w:ascii="宋体" w:hAnsi="宋体" w:cs="宋体"/>
          <w:color w:val="auto"/>
          <w:sz w:val="24"/>
          <w:highlight w:val="none"/>
          <w:u w:val="single"/>
          <w:lang w:eastAsia="zh-CN"/>
        </w:rPr>
        <w:t>2503-445200-04-01-389091）</w:t>
      </w:r>
      <w:r>
        <w:rPr>
          <w:rFonts w:hint="eastAsia" w:ascii="宋体" w:hAnsi="宋体" w:cs="宋体"/>
          <w:color w:val="auto"/>
          <w:sz w:val="24"/>
          <w:highlight w:val="none"/>
        </w:rPr>
        <w:t>批准建设，建设资金来自</w:t>
      </w:r>
      <w:r>
        <w:rPr>
          <w:rFonts w:hint="eastAsia" w:ascii="宋体" w:hAnsi="宋体" w:cs="宋体"/>
          <w:color w:val="auto"/>
          <w:sz w:val="24"/>
          <w:highlight w:val="none"/>
          <w:u w:val="single"/>
        </w:rPr>
        <w:t>企业自筹</w:t>
      </w:r>
      <w:r>
        <w:rPr>
          <w:rFonts w:hint="eastAsia" w:ascii="宋体" w:hAnsi="宋体" w:cs="宋体"/>
          <w:color w:val="auto"/>
          <w:sz w:val="24"/>
          <w:highlight w:val="none"/>
        </w:rPr>
        <w:t>，项目出资比例为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 xml:space="preserve"> ，招标人为</w:t>
      </w:r>
      <w:r>
        <w:rPr>
          <w:rFonts w:hint="eastAsia" w:ascii="宋体" w:hAnsi="宋体" w:cs="宋体"/>
          <w:color w:val="auto"/>
          <w:sz w:val="24"/>
          <w:highlight w:val="none"/>
          <w:u w:val="single"/>
          <w:lang w:eastAsia="zh-CN"/>
        </w:rPr>
        <w:t>揭阳广大化工储运有限公司</w:t>
      </w:r>
      <w:r>
        <w:rPr>
          <w:rFonts w:hint="eastAsia" w:ascii="宋体" w:hAnsi="宋体" w:cs="宋体"/>
          <w:color w:val="auto"/>
          <w:sz w:val="24"/>
          <w:highlight w:val="none"/>
        </w:rPr>
        <w:t>。项目已具备招标条件，现对该项目的施工进行公开招标。</w:t>
      </w:r>
    </w:p>
    <w:p>
      <w:pPr>
        <w:pStyle w:val="3"/>
        <w:pageBreakBefore w:val="0"/>
        <w:numPr>
          <w:ilvl w:val="0"/>
          <w:numId w:val="2"/>
        </w:numPr>
        <w:kinsoku/>
        <w:overflowPunct/>
        <w:topLinePunct w:val="0"/>
        <w:bidi w:val="0"/>
        <w:snapToGrid/>
        <w:spacing w:before="0" w:after="0" w:line="360" w:lineRule="auto"/>
        <w:ind w:left="0" w:firstLine="476" w:firstLineChars="200"/>
        <w:rPr>
          <w:rFonts w:hint="eastAsia" w:ascii="宋体" w:hAnsi="宋体" w:eastAsia="宋体" w:cs="宋体"/>
          <w:color w:val="auto"/>
          <w:w w:val="99"/>
          <w:kern w:val="0"/>
          <w:sz w:val="24"/>
          <w:highlight w:val="none"/>
        </w:rPr>
      </w:pPr>
      <w:bookmarkStart w:id="2" w:name="_Toc258354683"/>
      <w:bookmarkStart w:id="3" w:name="_Toc360714498"/>
      <w:r>
        <w:rPr>
          <w:rFonts w:hint="eastAsia" w:ascii="宋体" w:hAnsi="宋体" w:eastAsia="宋体" w:cs="宋体"/>
          <w:color w:val="auto"/>
          <w:w w:val="99"/>
          <w:kern w:val="0"/>
          <w:sz w:val="24"/>
          <w:highlight w:val="none"/>
        </w:rPr>
        <w:t>项目概况与招标范围</w:t>
      </w:r>
      <w:bookmarkEnd w:id="2"/>
      <w:bookmarkEnd w:id="3"/>
    </w:p>
    <w:p>
      <w:pPr>
        <w:pageBreakBefore w:val="0"/>
        <w:tabs>
          <w:tab w:val="left" w:pos="1580"/>
        </w:tabs>
        <w:kinsoku/>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工程名称：</w:t>
      </w:r>
      <w:r>
        <w:rPr>
          <w:rFonts w:hint="eastAsia" w:ascii="宋体" w:hAnsi="宋体" w:eastAsia="宋体" w:cs="宋体"/>
          <w:color w:val="auto"/>
          <w:sz w:val="24"/>
          <w:highlight w:val="none"/>
          <w:lang w:eastAsia="zh-CN"/>
        </w:rPr>
        <w:t>揭阳大南海石化工业区广大化工公共罐区工程项目库外管廊工程施工</w:t>
      </w:r>
    </w:p>
    <w:p>
      <w:pPr>
        <w:pageBreakBefore w:val="0"/>
        <w:tabs>
          <w:tab w:val="left" w:pos="1580"/>
        </w:tabs>
        <w:kinsoku/>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建设地点：</w:t>
      </w:r>
      <w:r>
        <w:rPr>
          <w:rFonts w:hint="eastAsia" w:ascii="宋体" w:hAnsi="宋体" w:eastAsia="宋体" w:cs="宋体"/>
          <w:color w:val="auto"/>
          <w:sz w:val="24"/>
          <w:highlight w:val="none"/>
          <w:lang w:eastAsia="zh-CN"/>
        </w:rPr>
        <w:t>揭阳大南海石化工业区</w:t>
      </w:r>
    </w:p>
    <w:p>
      <w:pPr>
        <w:pageBreakBefore w:val="0"/>
        <w:tabs>
          <w:tab w:val="left" w:pos="1580"/>
        </w:tabs>
        <w:kinsoku/>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lang w:eastAsia="zh-CN"/>
        </w:rPr>
      </w:pPr>
      <w:bookmarkStart w:id="4" w:name="_Toc258354684"/>
      <w:r>
        <w:rPr>
          <w:rFonts w:hint="eastAsia" w:ascii="宋体" w:hAnsi="宋体" w:eastAsia="宋体" w:cs="宋体"/>
          <w:color w:val="auto"/>
          <w:sz w:val="24"/>
          <w:highlight w:val="none"/>
        </w:rPr>
        <w:t>项目规模：</w:t>
      </w:r>
      <w:bookmarkStart w:id="5" w:name="OLE_LINK1"/>
      <w:r>
        <w:rPr>
          <w:rFonts w:hint="eastAsia" w:ascii="宋体" w:hAnsi="宋体" w:eastAsia="宋体" w:cs="宋体"/>
          <w:color w:val="auto"/>
          <w:sz w:val="24"/>
          <w:highlight w:val="none"/>
        </w:rPr>
        <w:t>揭阳大南海石化工业区广大化工公共罐区工程的建设规模为21.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vertAlign w:val="superscript"/>
        </w:rPr>
        <w:t>4</w:t>
      </w: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，共56台储罐，为一级商业储库。库内工程主要为化工品罐区、液氮设施、污水收集设施、事故水池、雨水监控池、汽车装卸车设施、灌装站（预留）、变电所、值班</w:t>
      </w:r>
      <w:r>
        <w:rPr>
          <w:rFonts w:hint="eastAsia" w:ascii="宋体" w:hAnsi="宋体" w:eastAsia="宋体" w:cs="宋体"/>
          <w:color w:val="auto"/>
          <w:sz w:val="24"/>
          <w:highlight w:val="none"/>
          <w:lang w:val="en-US" w:eastAsia="zh-CN"/>
        </w:rPr>
        <w:t>室</w:t>
      </w:r>
      <w:r>
        <w:rPr>
          <w:rFonts w:hint="eastAsia" w:ascii="宋体" w:hAnsi="宋体" w:eastAsia="宋体" w:cs="宋体"/>
          <w:color w:val="auto"/>
          <w:sz w:val="24"/>
          <w:highlight w:val="none"/>
        </w:rPr>
        <w:t>、中心控制室等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同时还包括库外管廊工程内容</w:t>
      </w:r>
      <w:r>
        <w:rPr>
          <w:rFonts w:hint="eastAsia" w:ascii="宋体" w:hAnsi="宋体" w:eastAsia="宋体" w:cs="宋体"/>
          <w:color w:val="auto"/>
          <w:sz w:val="24"/>
          <w:highlight w:val="none"/>
          <w:lang w:eastAsia="zh-CN"/>
        </w:rPr>
        <w:t>。</w:t>
      </w:r>
    </w:p>
    <w:bookmarkEnd w:id="5"/>
    <w:p>
      <w:pPr>
        <w:pageBreakBefore w:val="0"/>
        <w:tabs>
          <w:tab w:val="left" w:pos="1580"/>
        </w:tabs>
        <w:kinsoku/>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snapToGrid/>
          <w:color w:val="auto"/>
          <w:kern w:val="2"/>
          <w:sz w:val="24"/>
          <w:szCs w:val="24"/>
          <w:highlight w:val="none"/>
          <w:lang w:val="en-US" w:eastAsia="zh-CN"/>
        </w:rPr>
        <w:t>本项目为揭阳大南海石化工业区广大化工公共罐区工程的库外管廊部分，主要工作内容包含但不限于：预应力混凝土管桩、桩承台、基础联系梁及上部钢结构等施工。</w:t>
      </w:r>
    </w:p>
    <w:p>
      <w:pPr>
        <w:tabs>
          <w:tab w:val="left" w:pos="1580"/>
        </w:tabs>
        <w:autoSpaceDE w:val="0"/>
        <w:autoSpaceDN w:val="0"/>
        <w:adjustRightIn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本项目投资：约3</w:t>
      </w: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80</w:t>
      </w:r>
      <w:r>
        <w:rPr>
          <w:rFonts w:hint="eastAsia" w:ascii="宋体" w:hAnsi="宋体" w:eastAsia="宋体" w:cs="宋体"/>
          <w:color w:val="auto"/>
          <w:sz w:val="24"/>
          <w:highlight w:val="none"/>
        </w:rPr>
        <w:t>万元</w:t>
      </w:r>
      <w:r>
        <w:rPr>
          <w:rFonts w:hint="eastAsia" w:ascii="宋体" w:hAnsi="宋体" w:eastAsia="宋体" w:cs="宋体"/>
          <w:color w:val="auto"/>
          <w:sz w:val="24"/>
          <w:highlight w:val="none"/>
          <w:lang w:eastAsia="zh-CN"/>
        </w:rPr>
        <w:t>。</w:t>
      </w:r>
    </w:p>
    <w:p>
      <w:pPr>
        <w:pageBreakBefore w:val="0"/>
        <w:widowControl/>
        <w:kinsoku/>
        <w:overflowPunct/>
        <w:topLinePunct w:val="0"/>
        <w:bidi w:val="0"/>
        <w:snapToGrid/>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计划工期：</w:t>
      </w:r>
      <w:r>
        <w:rPr>
          <w:rFonts w:hint="eastAsia" w:ascii="宋体" w:hAnsi="宋体" w:cs="宋体"/>
          <w:color w:val="auto"/>
          <w:sz w:val="24"/>
          <w:highlight w:val="none"/>
          <w:lang w:val="en-US" w:eastAsia="zh-CN"/>
        </w:rPr>
        <w:t>105日历天</w:t>
      </w:r>
    </w:p>
    <w:p>
      <w:pPr>
        <w:pageBreakBefore w:val="0"/>
        <w:tabs>
          <w:tab w:val="left" w:pos="1580"/>
        </w:tabs>
        <w:kinsoku/>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招标范围：</w:t>
      </w:r>
      <w:r>
        <w:rPr>
          <w:rFonts w:hint="eastAsia" w:ascii="宋体" w:hAnsi="宋体" w:eastAsia="宋体" w:cs="宋体"/>
          <w:snapToGrid/>
          <w:color w:val="auto"/>
          <w:kern w:val="2"/>
          <w:sz w:val="24"/>
          <w:szCs w:val="24"/>
          <w:highlight w:val="none"/>
          <w:lang w:val="en-US" w:eastAsia="zh-CN"/>
        </w:rPr>
        <w:t>本项目为揭阳大南海石化工业区广大化工公共罐区工程的库外管廊施工，主要工作内容包含但不限于：预应力混凝土管桩、桩承台、基础联系梁及上部钢结构等施工。具体以施工图纸及工程量清单为准</w:t>
      </w:r>
      <w:r>
        <w:rPr>
          <w:rFonts w:hint="eastAsia" w:ascii="宋体" w:hAnsi="宋体" w:eastAsia="宋体" w:cs="宋体"/>
          <w:color w:val="auto"/>
          <w:sz w:val="24"/>
          <w:highlight w:val="none"/>
          <w:lang w:eastAsia="zh-CN"/>
        </w:rPr>
        <w:t>。</w:t>
      </w:r>
    </w:p>
    <w:bookmarkEnd w:id="4"/>
    <w:p>
      <w:pPr>
        <w:pStyle w:val="3"/>
        <w:pageBreakBefore w:val="0"/>
        <w:numPr>
          <w:ilvl w:val="0"/>
          <w:numId w:val="2"/>
        </w:numPr>
        <w:kinsoku/>
        <w:overflowPunct/>
        <w:topLinePunct w:val="0"/>
        <w:bidi w:val="0"/>
        <w:snapToGrid/>
        <w:spacing w:before="0" w:after="0" w:line="360" w:lineRule="auto"/>
        <w:ind w:left="0" w:firstLine="476" w:firstLineChars="200"/>
        <w:rPr>
          <w:rFonts w:hint="eastAsia" w:ascii="宋体" w:hAnsi="宋体" w:eastAsia="宋体" w:cs="宋体"/>
          <w:color w:val="auto"/>
          <w:w w:val="99"/>
          <w:kern w:val="0"/>
          <w:sz w:val="24"/>
          <w:highlight w:val="none"/>
        </w:rPr>
      </w:pPr>
      <w:bookmarkStart w:id="6" w:name="_Toc360714499"/>
      <w:r>
        <w:rPr>
          <w:rFonts w:hint="eastAsia" w:ascii="宋体" w:hAnsi="宋体" w:eastAsia="宋体" w:cs="宋体"/>
          <w:color w:val="auto"/>
          <w:w w:val="99"/>
          <w:kern w:val="0"/>
          <w:sz w:val="24"/>
          <w:highlight w:val="none"/>
        </w:rPr>
        <w:t>投标人资格要求</w:t>
      </w:r>
      <w:bookmarkEnd w:id="6"/>
    </w:p>
    <w:p>
      <w:pPr>
        <w:pageBreakBefore w:val="0"/>
        <w:tabs>
          <w:tab w:val="left" w:pos="1580"/>
        </w:tabs>
        <w:kinsoku/>
        <w:overflowPunct/>
        <w:topLinePunct w:val="0"/>
        <w:autoSpaceDE w:val="0"/>
        <w:autoSpaceDN w:val="0"/>
        <w:bidi w:val="0"/>
        <w:adjustRightInd w:val="0"/>
        <w:snapToGrid/>
        <w:spacing w:line="360" w:lineRule="auto"/>
        <w:ind w:firstLine="480" w:firstLineChars="200"/>
        <w:textAlignment w:val="baseline"/>
        <w:rPr>
          <w:rFonts w:hint="eastAsia" w:ascii="宋体" w:hAnsi="宋体" w:cs="宋体"/>
          <w:color w:val="auto"/>
          <w:sz w:val="24"/>
          <w:highlight w:val="none"/>
        </w:rPr>
      </w:pPr>
      <w:bookmarkStart w:id="7" w:name="_Toc258354686"/>
      <w:bookmarkStart w:id="8" w:name="_Toc360714500"/>
      <w:r>
        <w:rPr>
          <w:rFonts w:hint="eastAsia" w:ascii="宋体" w:hAnsi="宋体" w:cs="宋体"/>
          <w:color w:val="auto"/>
          <w:sz w:val="24"/>
          <w:highlight w:val="none"/>
        </w:rPr>
        <w:t>3.1 本次招标要求投标人在资质、业绩、人员、资金等方面具备相应的能力条件：</w:t>
      </w:r>
    </w:p>
    <w:p>
      <w:pPr>
        <w:pageBreakBefore w:val="0"/>
        <w:kinsoku/>
        <w:overflowPunct/>
        <w:topLinePunct w:val="0"/>
        <w:bidi w:val="0"/>
        <w:snapToGri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（1）投标人具有独立法人资格，持有</w:t>
      </w:r>
      <w:r>
        <w:rPr>
          <w:rFonts w:hint="eastAsia" w:ascii="宋体" w:hAnsi="宋体" w:cs="宋体"/>
          <w:color w:val="auto"/>
          <w:sz w:val="24"/>
          <w:highlight w:val="none"/>
          <w:lang w:val="en-US" w:eastAsia="zh-CN"/>
        </w:rPr>
        <w:t>合法有效</w:t>
      </w:r>
      <w:r>
        <w:rPr>
          <w:rFonts w:hint="eastAsia" w:ascii="宋体" w:hAnsi="宋体" w:cs="宋体"/>
          <w:color w:val="auto"/>
          <w:sz w:val="24"/>
          <w:highlight w:val="none"/>
        </w:rPr>
        <w:t>的法人营业执照，按国家法律经营</w:t>
      </w:r>
      <w:r>
        <w:rPr>
          <w:rFonts w:hint="eastAsia" w:ascii="宋体" w:hAnsi="宋体" w:cs="宋体"/>
          <w:color w:val="auto"/>
          <w:sz w:val="24"/>
          <w:highlight w:val="none"/>
          <w:lang w:eastAsia="zh-CN"/>
        </w:rPr>
        <w:t>。</w:t>
      </w:r>
      <w:r>
        <w:rPr>
          <w:rFonts w:hint="eastAsia" w:ascii="宋体" w:hAnsi="宋体"/>
          <w:color w:val="auto"/>
          <w:sz w:val="24"/>
          <w:szCs w:val="16"/>
          <w:highlight w:val="none"/>
        </w:rPr>
        <w:t>与招标人存在利害关系可能影响招标公正性的法人、其他组织或者个人，不得参与投标。法定代表人（单位负责人）为同一人或者存在控股、管理关系的不同单位，不得参加本招标项目投标。</w:t>
      </w:r>
    </w:p>
    <w:p>
      <w:pPr>
        <w:pageBreakBefore w:val="0"/>
        <w:kinsoku/>
        <w:overflowPunct/>
        <w:topLinePunct w:val="0"/>
        <w:bidi w:val="0"/>
        <w:snapToGri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（2）投标人持有建设行政主管部门颁发的有效企业资质证书及有效安全生产许可证</w:t>
      </w:r>
      <w:r>
        <w:rPr>
          <w:rFonts w:hint="eastAsia" w:ascii="宋体" w:hAnsi="宋体" w:cs="宋体"/>
          <w:color w:val="auto"/>
          <w:sz w:val="24"/>
          <w:highlight w:val="none"/>
          <w:lang w:eastAsia="zh-CN"/>
        </w:rPr>
        <w:t>。</w:t>
      </w:r>
    </w:p>
    <w:p>
      <w:pPr>
        <w:pageBreakBefore w:val="0"/>
        <w:kinsoku/>
        <w:overflowPunct/>
        <w:topLinePunct w:val="0"/>
        <w:bidi w:val="0"/>
        <w:snapToGri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（3）投标人具有</w:t>
      </w:r>
      <w:r>
        <w:rPr>
          <w:rFonts w:hint="eastAsia" w:ascii="宋体" w:hAnsi="宋体" w:cs="宋体"/>
          <w:color w:val="auto"/>
          <w:sz w:val="24"/>
          <w:highlight w:val="none"/>
          <w:lang w:val="en-US" w:eastAsia="zh-CN"/>
        </w:rPr>
        <w:t>建筑工程施工总承包三</w:t>
      </w:r>
      <w:r>
        <w:rPr>
          <w:rFonts w:hint="eastAsia" w:ascii="宋体" w:hAnsi="宋体" w:cs="宋体"/>
          <w:color w:val="auto"/>
          <w:sz w:val="24"/>
          <w:highlight w:val="none"/>
        </w:rPr>
        <w:t>级</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以上资质；</w:t>
      </w:r>
    </w:p>
    <w:p>
      <w:pPr>
        <w:pageBreakBefore w:val="0"/>
        <w:numPr>
          <w:ilvl w:val="0"/>
          <w:numId w:val="0"/>
        </w:numPr>
        <w:kinsoku/>
        <w:overflowPunct/>
        <w:topLinePunct w:val="0"/>
        <w:bidi w:val="0"/>
        <w:snapToGrid/>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）投标人拟担任本工程项目负责人（项目经理）的人员为：建筑工程专业二级或以上注册建造师，</w:t>
      </w:r>
      <w:r>
        <w:rPr>
          <w:rFonts w:hint="eastAsia" w:ascii="宋体" w:hAnsi="宋体" w:cs="宋体"/>
          <w:color w:val="auto"/>
          <w:sz w:val="24"/>
          <w:highlight w:val="none"/>
          <w:lang w:val="en-US" w:eastAsia="zh-CN"/>
        </w:rPr>
        <w:t>且</w:t>
      </w:r>
      <w:r>
        <w:rPr>
          <w:rFonts w:ascii="宋体" w:hAnsi="宋体" w:eastAsia="宋体" w:cs="宋体"/>
          <w:color w:val="auto"/>
          <w:sz w:val="24"/>
          <w:szCs w:val="24"/>
          <w:highlight w:val="none"/>
        </w:rPr>
        <w:t>持有安全</w:t>
      </w:r>
      <w:r>
        <w:rPr>
          <w:rFonts w:hint="eastAsia" w:ascii="宋体" w:hAnsi="宋体" w:eastAsia="宋体" w:cs="宋体"/>
          <w:color w:val="auto"/>
          <w:sz w:val="24"/>
          <w:szCs w:val="24"/>
          <w:highlight w:val="none"/>
        </w:rPr>
        <w:t>生产</w:t>
      </w:r>
      <w:r>
        <w:rPr>
          <w:rFonts w:ascii="宋体" w:hAnsi="宋体" w:eastAsia="宋体" w:cs="宋体"/>
          <w:color w:val="auto"/>
          <w:sz w:val="24"/>
          <w:szCs w:val="24"/>
          <w:highlight w:val="none"/>
        </w:rPr>
        <w:t>考核合格证（B类）</w:t>
      </w:r>
      <w:r>
        <w:rPr>
          <w:rFonts w:hint="eastAsia" w:ascii="宋体" w:hAnsi="宋体" w:eastAsia="宋体" w:cs="宋体"/>
          <w:color w:val="auto"/>
          <w:sz w:val="24"/>
          <w:szCs w:val="24"/>
          <w:highlight w:val="none"/>
        </w:rPr>
        <w:t>或建筑施工企业项目负责人安全生产考核合格证书</w:t>
      </w:r>
      <w:r>
        <w:rPr>
          <w:rFonts w:hint="eastAsia" w:ascii="宋体" w:hAnsi="宋体" w:cs="宋体"/>
          <w:color w:val="auto"/>
          <w:sz w:val="24"/>
          <w:highlight w:val="none"/>
          <w:lang w:eastAsia="zh-CN"/>
        </w:rPr>
        <w:t>。</w:t>
      </w:r>
    </w:p>
    <w:p>
      <w:pPr>
        <w:pageBreakBefore w:val="0"/>
        <w:numPr>
          <w:ilvl w:val="0"/>
          <w:numId w:val="0"/>
        </w:numPr>
        <w:kinsoku/>
        <w:overflowPunct/>
        <w:topLinePunct w:val="0"/>
        <w:bidi w:val="0"/>
        <w:snapToGrid/>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注：</w:t>
      </w:r>
      <w:r>
        <w:rPr>
          <w:rFonts w:hint="eastAsia" w:ascii="宋体" w:hAnsi="宋体" w:cs="宋体"/>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ageBreakBefore w:val="0"/>
        <w:kinsoku/>
        <w:overflowPunct/>
        <w:topLinePunct w:val="0"/>
        <w:bidi w:val="0"/>
        <w:snapToGri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（5）投标人拟担任本工程技术负责人的资格要求为：</w:t>
      </w:r>
      <w:r>
        <w:rPr>
          <w:rFonts w:hint="eastAsia" w:ascii="宋体" w:hAnsi="宋体" w:eastAsia="宋体" w:cs="宋体"/>
          <w:color w:val="auto"/>
          <w:sz w:val="24"/>
          <w:szCs w:val="24"/>
          <w:highlight w:val="none"/>
          <w:u w:val="single"/>
        </w:rPr>
        <w:t>建筑工程相关专业中级或以上职称，技术负责人和项目负责人不为同一人</w:t>
      </w:r>
      <w:r>
        <w:rPr>
          <w:rFonts w:hint="eastAsia" w:ascii="宋体" w:hAnsi="宋体" w:eastAsia="宋体" w:cs="宋体"/>
          <w:color w:val="auto"/>
          <w:sz w:val="24"/>
          <w:szCs w:val="24"/>
          <w:highlight w:val="none"/>
          <w:u w:val="single"/>
          <w:lang w:eastAsia="zh-CN"/>
        </w:rPr>
        <w:t>。</w:t>
      </w:r>
    </w:p>
    <w:p>
      <w:pPr>
        <w:pageBreakBefore w:val="0"/>
        <w:kinsoku/>
        <w:overflowPunct/>
        <w:topLinePunct w:val="0"/>
        <w:bidi w:val="0"/>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投标人拟担任本工程</w:t>
      </w:r>
      <w:r>
        <w:rPr>
          <w:rFonts w:hint="eastAsia" w:ascii="宋体" w:hAnsi="宋体" w:eastAsia="宋体" w:cs="宋体"/>
          <w:color w:val="auto"/>
          <w:sz w:val="24"/>
          <w:highlight w:val="none"/>
          <w:lang w:eastAsia="zh-CN"/>
        </w:rPr>
        <w:t>专职安全员</w:t>
      </w:r>
      <w:r>
        <w:rPr>
          <w:rFonts w:hint="eastAsia" w:ascii="宋体" w:hAnsi="宋体" w:eastAsia="宋体" w:cs="宋体"/>
          <w:color w:val="auto"/>
          <w:sz w:val="24"/>
          <w:highlight w:val="none"/>
          <w:lang w:val="en-US" w:eastAsia="zh-CN"/>
        </w:rPr>
        <w:t>的资格要求为：</w:t>
      </w:r>
      <w:r>
        <w:rPr>
          <w:rFonts w:hint="eastAsia" w:ascii="宋体" w:hAnsi="宋体" w:eastAsia="宋体" w:cs="宋体"/>
          <w:color w:val="auto"/>
          <w:sz w:val="24"/>
          <w:highlight w:val="none"/>
        </w:rPr>
        <w:t>专职安全员须具有在有效期内的安全生产考核合格证（C类）或建筑施工企业专职安全生产管理人员安全生产考核合格证书（C3）。</w:t>
      </w:r>
    </w:p>
    <w:p>
      <w:pPr>
        <w:pageBreakBefore w:val="0"/>
        <w:kinsoku/>
        <w:overflowPunct/>
        <w:topLinePunct w:val="0"/>
        <w:bidi w:val="0"/>
        <w:snapToGri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pPr>
        <w:pageBreakBefore w:val="0"/>
        <w:kinsoku/>
        <w:overflowPunct/>
        <w:topLinePunct w:val="0"/>
        <w:bidi w:val="0"/>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年1月1日至今，投标人没有处于被责令停业的状态；没有处于被相关主管部门</w:t>
      </w:r>
      <w:r>
        <w:rPr>
          <w:rFonts w:hint="eastAsia" w:ascii="宋体" w:hAnsi="宋体" w:eastAsia="宋体" w:cs="宋体"/>
          <w:color w:val="auto"/>
          <w:sz w:val="24"/>
          <w:highlight w:val="none"/>
          <w:lang w:val="en-US" w:eastAsia="zh-CN"/>
        </w:rPr>
        <w:t>暂停或</w:t>
      </w:r>
      <w:r>
        <w:rPr>
          <w:rFonts w:hint="eastAsia" w:ascii="宋体" w:hAnsi="宋体" w:eastAsia="宋体" w:cs="宋体"/>
          <w:color w:val="auto"/>
          <w:sz w:val="24"/>
          <w:highlight w:val="none"/>
        </w:rPr>
        <w:t>取消投标资格的处罚期内；没有处于财产被接管、冻结、破产的状态；</w:t>
      </w:r>
      <w:r>
        <w:rPr>
          <w:rFonts w:hint="eastAsia" w:ascii="宋体" w:hAnsi="宋体" w:eastAsia="宋体" w:cs="宋体"/>
          <w:color w:val="auto"/>
          <w:sz w:val="24"/>
          <w:highlight w:val="none"/>
          <w:lang w:val="en-US" w:eastAsia="zh-CN"/>
        </w:rPr>
        <w:t>没有</w:t>
      </w:r>
      <w:r>
        <w:rPr>
          <w:rFonts w:hint="eastAsia" w:ascii="宋体" w:hAnsi="宋体" w:eastAsia="宋体" w:cs="宋体"/>
          <w:color w:val="auto"/>
          <w:sz w:val="24"/>
          <w:highlight w:val="none"/>
        </w:rPr>
        <w:t>被工商行政管理机关在全国企业信用信息公示系统中列入严重违法失信企业名单</w:t>
      </w:r>
      <w:r>
        <w:rPr>
          <w:rFonts w:hint="eastAsia" w:ascii="宋体" w:hAnsi="宋体" w:eastAsia="宋体" w:cs="宋体"/>
          <w:color w:val="auto"/>
          <w:sz w:val="24"/>
          <w:highlight w:val="none"/>
          <w:lang w:eastAsia="zh-CN"/>
        </w:rPr>
        <w:t>；</w:t>
      </w:r>
      <w:r>
        <w:rPr>
          <w:rFonts w:hint="eastAsia" w:ascii="宋体" w:hAnsi="宋体"/>
          <w:color w:val="auto"/>
          <w:sz w:val="24"/>
          <w:szCs w:val="24"/>
          <w:highlight w:val="none"/>
          <w:lang w:val="en-US" w:eastAsia="zh-CN"/>
        </w:rPr>
        <w:t>没有</w:t>
      </w:r>
      <w:r>
        <w:rPr>
          <w:rFonts w:hint="eastAsia" w:ascii="宋体" w:hAnsi="宋体"/>
          <w:color w:val="auto"/>
          <w:sz w:val="24"/>
          <w:szCs w:val="24"/>
          <w:highlight w:val="none"/>
        </w:rPr>
        <w:t>被最高人民法院在</w:t>
      </w:r>
      <w:r>
        <w:rPr>
          <w:rFonts w:ascii="宋体" w:hAnsi="宋体"/>
          <w:color w:val="auto"/>
          <w:sz w:val="24"/>
          <w:szCs w:val="24"/>
          <w:highlight w:val="none"/>
        </w:rPr>
        <w:t>“</w:t>
      </w:r>
      <w:r>
        <w:rPr>
          <w:rFonts w:hint="eastAsia" w:ascii="宋体" w:hAnsi="宋体"/>
          <w:color w:val="auto"/>
          <w:sz w:val="24"/>
          <w:szCs w:val="24"/>
          <w:highlight w:val="none"/>
          <w:lang w:val="en-US" w:eastAsia="zh-CN"/>
        </w:rPr>
        <w:t>中国执行信息公开网</w:t>
      </w:r>
      <w:r>
        <w:rPr>
          <w:rFonts w:ascii="宋体" w:hAnsi="宋体"/>
          <w:color w:val="auto"/>
          <w:sz w:val="24"/>
          <w:szCs w:val="24"/>
          <w:highlight w:val="none"/>
        </w:rPr>
        <w:t>”</w:t>
      </w:r>
      <w:r>
        <w:rPr>
          <w:rFonts w:hint="eastAsia" w:ascii="宋体" w:hAnsi="宋体"/>
          <w:color w:val="auto"/>
          <w:sz w:val="24"/>
          <w:szCs w:val="24"/>
          <w:highlight w:val="none"/>
        </w:rPr>
        <w:t>网站或各级信用信息共享平台中列入失信被执行人名单</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cs="宋体"/>
          <w:color w:val="auto"/>
          <w:sz w:val="24"/>
          <w:highlight w:val="none"/>
        </w:rPr>
        <w:t>3.2 本次</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u w:val="single"/>
          <w:lang w:val="en-US" w:eastAsia="zh-CN"/>
        </w:rPr>
        <w:t>不</w:t>
      </w:r>
      <w:r>
        <w:rPr>
          <w:rFonts w:hint="eastAsia" w:ascii="宋体" w:hAnsi="宋体" w:cs="宋体"/>
          <w:color w:val="auto"/>
          <w:sz w:val="24"/>
          <w:highlight w:val="none"/>
          <w:u w:val="single"/>
        </w:rPr>
        <w:t>接受</w:t>
      </w:r>
      <w:r>
        <w:rPr>
          <w:rFonts w:hint="eastAsia" w:ascii="宋体" w:hAnsi="宋体" w:cs="宋体"/>
          <w:color w:val="auto"/>
          <w:sz w:val="24"/>
          <w:highlight w:val="none"/>
        </w:rPr>
        <w:t>联合体投标。</w:t>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firstLine="476" w:firstLineChars="200"/>
        <w:textAlignment w:val="auto"/>
        <w:rPr>
          <w:rFonts w:hint="eastAsia" w:ascii="宋体" w:hAnsi="宋体" w:eastAsia="宋体" w:cs="宋体"/>
          <w:b/>
          <w:bCs/>
          <w:color w:val="auto"/>
          <w:w w:val="99"/>
          <w:kern w:val="0"/>
          <w:sz w:val="24"/>
          <w:highlight w:val="none"/>
        </w:rPr>
      </w:pPr>
      <w:r>
        <w:rPr>
          <w:rFonts w:hint="eastAsia" w:ascii="宋体" w:hAnsi="宋体" w:eastAsia="宋体" w:cs="宋体"/>
          <w:b/>
          <w:bCs/>
          <w:color w:val="auto"/>
          <w:w w:val="99"/>
          <w:kern w:val="0"/>
          <w:sz w:val="24"/>
          <w:highlight w:val="none"/>
        </w:rPr>
        <w:t>招标文件的获取</w:t>
      </w:r>
      <w:bookmarkEnd w:id="7"/>
      <w:bookmarkEnd w:id="8"/>
    </w:p>
    <w:p>
      <w:pPr>
        <w:adjustRightInd w:val="0"/>
        <w:snapToGrid w:val="0"/>
        <w:spacing w:line="34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凡有意参加投标者，请于 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日00时00分至 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9时00分（北京时间，下同），登录广州公共资源交易中心网站（http://www.gzggzy.cn）交易平台（即建设工程新交易系统，下同）选择对应招标项目进行投标登记，投标人提交投标登记信息后，可在广州公共资源交易中心交易平台自行下载招标文件等相关资料。</w:t>
      </w:r>
    </w:p>
    <w:p>
      <w:pPr>
        <w:pStyle w:val="3"/>
        <w:pageBreakBefore w:val="0"/>
        <w:numPr>
          <w:ilvl w:val="0"/>
          <w:numId w:val="2"/>
        </w:numPr>
        <w:kinsoku/>
        <w:overflowPunct/>
        <w:topLinePunct w:val="0"/>
        <w:bidi w:val="0"/>
        <w:snapToGrid/>
        <w:spacing w:before="0" w:after="0" w:line="360" w:lineRule="auto"/>
        <w:ind w:left="0" w:firstLine="476" w:firstLineChars="200"/>
        <w:rPr>
          <w:rFonts w:hint="eastAsia" w:ascii="宋体" w:hAnsi="宋体" w:eastAsia="宋体" w:cs="宋体"/>
          <w:color w:val="auto"/>
          <w:w w:val="99"/>
          <w:kern w:val="0"/>
          <w:sz w:val="24"/>
          <w:highlight w:val="none"/>
        </w:rPr>
      </w:pPr>
      <w:r>
        <w:rPr>
          <w:rFonts w:hint="eastAsia" w:ascii="宋体" w:hAnsi="宋体" w:eastAsia="宋体" w:cs="宋体"/>
          <w:color w:val="auto"/>
          <w:w w:val="99"/>
          <w:kern w:val="0"/>
          <w:sz w:val="24"/>
          <w:highlight w:val="none"/>
          <w:lang w:val="en-US" w:eastAsia="zh-CN"/>
        </w:rPr>
        <w:t>投标文件的递交</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bookmarkStart w:id="9" w:name="_Toc360714503"/>
      <w:bookmarkStart w:id="10" w:name="_Toc258354689"/>
      <w:r>
        <w:rPr>
          <w:rFonts w:hint="eastAsia" w:ascii="宋体" w:hAnsi="宋体" w:eastAsia="宋体" w:cs="宋体"/>
          <w:color w:val="auto"/>
          <w:sz w:val="24"/>
          <w:szCs w:val="24"/>
          <w:highlight w:val="none"/>
        </w:rPr>
        <w:t>5.1投标文件递交的截止时间（投标截止时间，下同）为2025年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9时00分</w:t>
      </w:r>
      <w:r>
        <w:rPr>
          <w:rFonts w:hint="eastAsia" w:ascii="宋体" w:hAnsi="宋体" w:eastAsia="宋体" w:cs="宋体"/>
          <w:color w:val="auto"/>
          <w:sz w:val="24"/>
          <w:szCs w:val="24"/>
          <w:highlight w:val="none"/>
        </w:rPr>
        <w:t>，投标人应在截止时间前通过</w:t>
      </w:r>
      <w:r>
        <w:rPr>
          <w:rFonts w:hint="eastAsia" w:ascii="宋体" w:hAnsi="宋体" w:eastAsia="宋体" w:cs="宋体"/>
          <w:color w:val="auto"/>
          <w:sz w:val="24"/>
          <w:szCs w:val="24"/>
          <w:highlight w:val="none"/>
          <w:u w:val="single"/>
        </w:rPr>
        <w:t>广州公共资源交易中心数字交易平台（网址：http：//www.gzggzy.cn/）</w:t>
      </w:r>
      <w:r>
        <w:rPr>
          <w:rFonts w:hint="eastAsia" w:ascii="宋体" w:hAnsi="宋体" w:eastAsia="宋体" w:cs="宋体"/>
          <w:color w:val="auto"/>
          <w:sz w:val="24"/>
          <w:szCs w:val="24"/>
          <w:highlight w:val="none"/>
        </w:rPr>
        <w:t>递交电子投标文件。</w:t>
      </w:r>
    </w:p>
    <w:p>
      <w:pPr>
        <w:keepNext w:val="0"/>
        <w:keepLines w:val="0"/>
        <w:pageBreakBefore w:val="0"/>
        <w:widowControl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投标人应按照</w:t>
      </w:r>
      <w:r>
        <w:rPr>
          <w:rFonts w:hint="eastAsia" w:ascii="宋体" w:hAnsi="宋体" w:eastAsia="宋体" w:cs="宋体"/>
          <w:b/>
          <w:bCs/>
          <w:color w:val="auto"/>
          <w:sz w:val="24"/>
          <w:szCs w:val="24"/>
          <w:highlight w:val="none"/>
          <w:u w:val="single"/>
        </w:rPr>
        <w:t>广州交易集团有限公司（广州公共资源交易中心）【建设工程】新数字交易平台操作指引进行操作</w:t>
      </w:r>
      <w:r>
        <w:rPr>
          <w:rFonts w:hint="eastAsia" w:ascii="宋体" w:hAnsi="宋体" w:eastAsia="宋体" w:cs="宋体"/>
          <w:b/>
          <w:bCs/>
          <w:color w:val="auto"/>
          <w:sz w:val="24"/>
          <w:szCs w:val="24"/>
          <w:highlight w:val="none"/>
        </w:rPr>
        <w:t>。投标人完成电子投标文件上传后，广州公共资源交易中心数字交易平台即时向投标人发出递交回执通知。递交时间以递交回执通知载明的传输时间为准。</w:t>
      </w:r>
    </w:p>
    <w:p>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5.2递交投标文件备用U盘的规定时间为：</w:t>
      </w:r>
      <w:r>
        <w:rPr>
          <w:rFonts w:hint="eastAsia" w:ascii="宋体" w:hAnsi="宋体" w:eastAsia="宋体" w:cs="宋体"/>
          <w:color w:val="auto"/>
          <w:sz w:val="24"/>
          <w:szCs w:val="24"/>
          <w:highlight w:val="none"/>
          <w:u w:val="single"/>
          <w:lang w:eastAsia="zh-CN"/>
        </w:rPr>
        <w:t>2025年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rPr>
        <w:t>8时45分至</w:t>
      </w:r>
      <w:r>
        <w:rPr>
          <w:rFonts w:hint="eastAsia" w:ascii="宋体" w:hAnsi="宋体" w:eastAsia="宋体" w:cs="宋体"/>
          <w:color w:val="auto"/>
          <w:sz w:val="24"/>
          <w:szCs w:val="24"/>
          <w:highlight w:val="none"/>
          <w:u w:val="single"/>
          <w:lang w:eastAsia="zh-CN"/>
        </w:rPr>
        <w:t>2025年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rPr>
        <w:t>9时00分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广州公共资源交易中心开标室（具体以交易中心公告的开标室为准）</w:t>
      </w:r>
      <w:r>
        <w:rPr>
          <w:rFonts w:hint="eastAsia" w:ascii="宋体" w:hAnsi="宋体" w:eastAsia="宋体" w:cs="宋体"/>
          <w:color w:val="auto"/>
          <w:sz w:val="24"/>
          <w:szCs w:val="24"/>
          <w:highlight w:val="none"/>
        </w:rPr>
        <w:t>。（如投标人选择</w:t>
      </w:r>
      <w:r>
        <w:rPr>
          <w:rFonts w:hint="eastAsia" w:ascii="宋体" w:hAnsi="宋体" w:eastAsia="宋体" w:cs="宋体"/>
          <w:color w:val="auto"/>
          <w:sz w:val="24"/>
          <w:szCs w:val="24"/>
          <w:highlight w:val="none"/>
          <w:lang w:val="en-US" w:eastAsia="zh-CN"/>
        </w:rPr>
        <w:t>递交投标文件备用U盘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以上规定的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和地点递交，也可选择不递交，不递交的风险提示详见投标人须知前附表“10.8电子招标投标”。</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备用U盘</w:t>
      </w:r>
      <w:r>
        <w:rPr>
          <w:rFonts w:hint="eastAsia" w:ascii="宋体" w:hAnsi="宋体" w:eastAsia="宋体" w:cs="宋体"/>
          <w:color w:val="auto"/>
          <w:sz w:val="24"/>
          <w:szCs w:val="24"/>
          <w:highlight w:val="none"/>
        </w:rPr>
        <w:t>需按规定封装，投标人将数据刻录到U盘之后，请于投标前自行检查文件是否可以读取）。投标文件解密时间为</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9时00分至</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9时30分，投标人应在截止时间前按照广州公共资源交易中心全流程电子化通用系统的相关指南进行操作。</w:t>
      </w:r>
    </w:p>
    <w:p>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本招标项目采用电子开标，在新交易平台上公开进行。开标开始时间：</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9时00分（与投标截止时间为同一时间）。邀请所有投标人准时在线参加开标。投标人参与电子开标的具体操作详见交易平台发布的相关操作指引。</w:t>
      </w:r>
    </w:p>
    <w:p>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投标截止时间与开标时间是否有变化，请密切留意招标答疑中的相关信息。截标后，开标时间因故推迟的，相关评标信息仍以原定的投标截止时间的信息为准。</w:t>
      </w:r>
    </w:p>
    <w:p>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5.3逾期送达的投标文件，电子招标投标交易平台将予以拒收。</w:t>
      </w:r>
    </w:p>
    <w:p>
      <w:pPr>
        <w:pStyle w:val="3"/>
        <w:pageBreakBefore w:val="0"/>
        <w:numPr>
          <w:ilvl w:val="0"/>
          <w:numId w:val="2"/>
        </w:numPr>
        <w:kinsoku/>
        <w:overflowPunct/>
        <w:topLinePunct w:val="0"/>
        <w:bidi w:val="0"/>
        <w:snapToGrid/>
        <w:spacing w:before="0" w:after="0" w:line="360" w:lineRule="auto"/>
        <w:ind w:left="0" w:firstLine="476" w:firstLineChars="200"/>
        <w:rPr>
          <w:rFonts w:hint="eastAsia" w:ascii="宋体" w:hAnsi="宋体" w:eastAsia="宋体" w:cs="宋体"/>
          <w:color w:val="auto"/>
          <w:w w:val="99"/>
          <w:kern w:val="0"/>
          <w:sz w:val="24"/>
          <w:highlight w:val="none"/>
        </w:rPr>
      </w:pPr>
      <w:r>
        <w:rPr>
          <w:rFonts w:hint="eastAsia" w:ascii="宋体" w:hAnsi="宋体" w:eastAsia="宋体" w:cs="宋体"/>
          <w:color w:val="auto"/>
          <w:w w:val="99"/>
          <w:kern w:val="0"/>
          <w:sz w:val="24"/>
          <w:highlight w:val="none"/>
        </w:rPr>
        <w:t>发布公告的媒介</w:t>
      </w:r>
    </w:p>
    <w:p>
      <w:pPr>
        <w:pStyle w:val="4"/>
        <w:pageBreakBefore w:val="0"/>
        <w:kinsoku/>
        <w:overflowPunct/>
        <w:topLinePunct w:val="0"/>
        <w:bidi w:val="0"/>
        <w:snapToGrid/>
        <w:spacing w:line="360" w:lineRule="auto"/>
        <w:ind w:firstLine="480" w:firstLineChars="200"/>
        <w:rPr>
          <w:rStyle w:val="9"/>
          <w:rFonts w:hint="eastAsia" w:ascii="Times New Roman" w:hAnsi="宋体" w:eastAsia="宋体" w:cs="宋体"/>
          <w:color w:val="auto"/>
          <w:highlight w:val="none"/>
          <w:u w:val="none"/>
        </w:rPr>
      </w:pPr>
      <w:r>
        <w:rPr>
          <w:rStyle w:val="9"/>
          <w:rFonts w:hint="eastAsia" w:ascii="Times New Roman" w:hAnsi="宋体" w:eastAsia="宋体" w:cs="宋体"/>
          <w:color w:val="auto"/>
          <w:highlight w:val="none"/>
          <w:u w:val="none"/>
        </w:rPr>
        <w:t>本次招标公告同时在广州公共资源交易中心网站、广东省招标投标监管网、中国招标投标公共服务平台、广州国企阳光采购信息发布平台上发布。</w:t>
      </w:r>
    </w:p>
    <w:p>
      <w:pPr>
        <w:pStyle w:val="3"/>
        <w:pageBreakBefore w:val="0"/>
        <w:numPr>
          <w:ilvl w:val="0"/>
          <w:numId w:val="2"/>
        </w:numPr>
        <w:kinsoku/>
        <w:overflowPunct/>
        <w:topLinePunct w:val="0"/>
        <w:bidi w:val="0"/>
        <w:snapToGrid/>
        <w:spacing w:before="0" w:after="0" w:line="360" w:lineRule="auto"/>
        <w:ind w:left="0" w:firstLine="476" w:firstLineChars="200"/>
        <w:rPr>
          <w:rFonts w:hint="eastAsia" w:ascii="宋体" w:hAnsi="宋体" w:eastAsia="宋体" w:cs="宋体"/>
          <w:color w:val="auto"/>
          <w:w w:val="99"/>
          <w:kern w:val="0"/>
          <w:sz w:val="24"/>
          <w:highlight w:val="none"/>
        </w:rPr>
      </w:pPr>
      <w:r>
        <w:rPr>
          <w:rFonts w:hint="eastAsia" w:ascii="宋体" w:hAnsi="宋体" w:eastAsia="宋体" w:cs="宋体"/>
          <w:color w:val="auto"/>
          <w:w w:val="99"/>
          <w:kern w:val="0"/>
          <w:sz w:val="24"/>
          <w:highlight w:val="none"/>
        </w:rPr>
        <w:t>联系方式</w:t>
      </w:r>
      <w:bookmarkEnd w:id="9"/>
      <w:bookmarkEnd w:id="10"/>
    </w:p>
    <w:p>
      <w:pPr>
        <w:pStyle w:val="2"/>
        <w:keepNext w:val="0"/>
        <w:numPr>
          <w:ilvl w:val="0"/>
          <w:numId w:val="0"/>
        </w:numPr>
        <w:spacing w:line="440" w:lineRule="exact"/>
        <w:ind w:leftChars="0"/>
        <w:jc w:val="left"/>
        <w:rPr>
          <w:rFonts w:hint="eastAsia" w:ascii="宋体" w:hAnsi="宋体" w:eastAsia="宋体" w:cs="宋体"/>
          <w:color w:val="auto"/>
          <w:sz w:val="36"/>
          <w:szCs w:val="36"/>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5"/>
        <w:gridCol w:w="4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tabs>
                <w:tab w:val="left" w:pos="7380"/>
              </w:tabs>
              <w:spacing w:line="360" w:lineRule="auto"/>
              <w:rPr>
                <w:rFonts w:hint="eastAsia" w:ascii="宋体" w:hAnsi="宋体" w:eastAsia="宋体" w:cs="宋体"/>
                <w:color w:val="auto"/>
                <w:sz w:val="24"/>
                <w:szCs w:val="22"/>
                <w:highlight w:val="none"/>
                <w:vertAlign w:val="baseline"/>
                <w:lang w:val="en-US" w:eastAsia="zh-CN"/>
              </w:rPr>
            </w:pPr>
            <w:r>
              <w:rPr>
                <w:rFonts w:hint="eastAsia" w:ascii="宋体" w:hAnsi="宋体" w:cs="宋体"/>
                <w:color w:val="auto"/>
                <w:sz w:val="24"/>
                <w:szCs w:val="22"/>
                <w:highlight w:val="none"/>
              </w:rPr>
              <w:t>招标人：</w:t>
            </w:r>
            <w:r>
              <w:rPr>
                <w:rFonts w:hint="eastAsia" w:ascii="宋体" w:hAnsi="宋体" w:cs="宋体"/>
                <w:color w:val="auto"/>
                <w:sz w:val="24"/>
                <w:szCs w:val="22"/>
                <w:highlight w:val="none"/>
                <w:lang w:eastAsia="zh-CN"/>
              </w:rPr>
              <w:t>揭阳广大化工储运有限公司</w:t>
            </w:r>
          </w:p>
        </w:tc>
        <w:tc>
          <w:tcPr>
            <w:tcW w:w="4852" w:type="dxa"/>
            <w:tcBorders>
              <w:tl2br w:val="nil"/>
              <w:tr2bl w:val="nil"/>
            </w:tcBorders>
            <w:noWrap w:val="0"/>
            <w:vAlign w:val="top"/>
          </w:tcPr>
          <w:p>
            <w:pPr>
              <w:tabs>
                <w:tab w:val="left" w:pos="7380"/>
              </w:tabs>
              <w:spacing w:line="360" w:lineRule="auto"/>
              <w:rPr>
                <w:rFonts w:hint="eastAsia" w:ascii="宋体" w:hAnsi="宋体" w:cs="宋体"/>
                <w:color w:val="auto"/>
                <w:sz w:val="24"/>
                <w:szCs w:val="22"/>
                <w:highlight w:val="none"/>
                <w:vertAlign w:val="baseline"/>
              </w:rPr>
            </w:pPr>
            <w:r>
              <w:rPr>
                <w:rFonts w:hint="eastAsia" w:ascii="宋体" w:hAnsi="宋体" w:cs="宋体"/>
                <w:color w:val="auto"/>
                <w:sz w:val="24"/>
                <w:szCs w:val="22"/>
                <w:highlight w:val="none"/>
              </w:rPr>
              <w:t>招标代理机构：广州港工程管理有限公司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tabs>
                <w:tab w:val="left" w:pos="7380"/>
              </w:tabs>
              <w:spacing w:line="360" w:lineRule="auto"/>
              <w:rPr>
                <w:rFonts w:hint="default" w:ascii="宋体" w:hAnsi="宋体" w:eastAsia="宋体" w:cs="宋体"/>
                <w:color w:val="auto"/>
                <w:sz w:val="24"/>
                <w:szCs w:val="22"/>
                <w:highlight w:val="none"/>
                <w:vertAlign w:val="baseline"/>
                <w:lang w:val="en-US" w:eastAsia="zh-CN"/>
              </w:rPr>
            </w:pPr>
            <w:r>
              <w:rPr>
                <w:rFonts w:hint="eastAsia" w:ascii="宋体" w:hAnsi="宋体" w:cs="宋体"/>
                <w:color w:val="auto"/>
                <w:sz w:val="24"/>
                <w:szCs w:val="22"/>
                <w:highlight w:val="none"/>
              </w:rPr>
              <w:t>地址：揭阳大南海石化工业区政务服务中心A120室</w:t>
            </w:r>
          </w:p>
        </w:tc>
        <w:tc>
          <w:tcPr>
            <w:tcW w:w="4852" w:type="dxa"/>
            <w:tcBorders>
              <w:tl2br w:val="nil"/>
              <w:tr2bl w:val="nil"/>
            </w:tcBorders>
            <w:noWrap w:val="0"/>
            <w:vAlign w:val="top"/>
          </w:tcPr>
          <w:p>
            <w:pPr>
              <w:tabs>
                <w:tab w:val="left" w:pos="7380"/>
              </w:tabs>
              <w:spacing w:line="360" w:lineRule="auto"/>
              <w:rPr>
                <w:rFonts w:hint="eastAsia" w:ascii="宋体" w:hAnsi="宋体" w:cs="宋体"/>
                <w:color w:val="auto"/>
                <w:sz w:val="24"/>
                <w:szCs w:val="22"/>
                <w:highlight w:val="none"/>
                <w:vertAlign w:val="baseline"/>
              </w:rPr>
            </w:pPr>
            <w:r>
              <w:rPr>
                <w:rFonts w:hint="eastAsia" w:ascii="宋体" w:hAnsi="宋体" w:cs="宋体"/>
                <w:color w:val="auto"/>
                <w:sz w:val="24"/>
                <w:szCs w:val="22"/>
                <w:highlight w:val="none"/>
              </w:rPr>
              <w:t>地址：</w:t>
            </w:r>
            <w:r>
              <w:rPr>
                <w:rFonts w:hint="eastAsia" w:ascii="宋体" w:hAnsi="宋体" w:cs="宋体"/>
                <w:color w:val="auto"/>
                <w:sz w:val="24"/>
                <w:szCs w:val="22"/>
                <w:highlight w:val="none"/>
                <w:lang w:val="en-US" w:eastAsia="zh-CN"/>
              </w:rPr>
              <w:t>广州经济技术开发区志诚大道331号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tabs>
                <w:tab w:val="left" w:pos="7380"/>
              </w:tabs>
              <w:spacing w:line="360" w:lineRule="auto"/>
              <w:rPr>
                <w:rFonts w:hint="default" w:ascii="宋体" w:hAnsi="宋体" w:eastAsia="宋体" w:cs="宋体"/>
                <w:color w:val="auto"/>
                <w:sz w:val="24"/>
                <w:szCs w:val="22"/>
                <w:highlight w:val="none"/>
                <w:vertAlign w:val="baseline"/>
                <w:lang w:val="en-US" w:eastAsia="zh-CN"/>
              </w:rPr>
            </w:pPr>
            <w:r>
              <w:rPr>
                <w:rFonts w:hint="eastAsia" w:ascii="宋体" w:hAnsi="宋体" w:cs="宋体"/>
                <w:color w:val="auto"/>
                <w:sz w:val="24"/>
                <w:szCs w:val="22"/>
                <w:highlight w:val="none"/>
              </w:rPr>
              <w:t>邮编：</w:t>
            </w:r>
            <w:r>
              <w:rPr>
                <w:rFonts w:hint="eastAsia" w:ascii="宋体" w:hAnsi="宋体" w:cs="宋体"/>
                <w:color w:val="auto"/>
                <w:sz w:val="24"/>
                <w:szCs w:val="22"/>
                <w:highlight w:val="none"/>
                <w:lang w:val="en-US" w:eastAsia="zh-CN"/>
              </w:rPr>
              <w:t>515232</w:t>
            </w:r>
          </w:p>
        </w:tc>
        <w:tc>
          <w:tcPr>
            <w:tcW w:w="4852" w:type="dxa"/>
            <w:tcBorders>
              <w:tl2br w:val="nil"/>
              <w:tr2bl w:val="nil"/>
            </w:tcBorders>
            <w:noWrap w:val="0"/>
            <w:vAlign w:val="top"/>
          </w:tcPr>
          <w:p>
            <w:pPr>
              <w:tabs>
                <w:tab w:val="left" w:pos="7380"/>
              </w:tabs>
              <w:spacing w:line="360" w:lineRule="auto"/>
              <w:rPr>
                <w:rFonts w:hint="eastAsia" w:ascii="宋体" w:hAnsi="宋体" w:cs="宋体"/>
                <w:color w:val="auto"/>
                <w:sz w:val="24"/>
                <w:szCs w:val="22"/>
                <w:highlight w:val="none"/>
                <w:vertAlign w:val="baseline"/>
              </w:rPr>
            </w:pPr>
            <w:r>
              <w:rPr>
                <w:rFonts w:hint="eastAsia" w:ascii="宋体" w:hAnsi="宋体" w:cs="宋体"/>
                <w:color w:val="auto"/>
                <w:sz w:val="24"/>
                <w:szCs w:val="22"/>
                <w:highlight w:val="none"/>
              </w:rPr>
              <w:t>邮编：</w:t>
            </w:r>
            <w:r>
              <w:rPr>
                <w:rFonts w:ascii="宋体" w:hAnsi="宋体" w:cs="宋体"/>
                <w:color w:val="auto"/>
                <w:sz w:val="24"/>
                <w:szCs w:val="22"/>
                <w:highlight w:val="none"/>
              </w:rPr>
              <w:t>510730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spacing w:line="360" w:lineRule="auto"/>
              <w:rPr>
                <w:rFonts w:hint="default" w:ascii="宋体" w:hAnsi="宋体" w:eastAsia="宋体" w:cs="宋体"/>
                <w:color w:val="auto"/>
                <w:sz w:val="24"/>
                <w:szCs w:val="22"/>
                <w:highlight w:val="none"/>
                <w:vertAlign w:val="baseline"/>
                <w:lang w:val="en-US" w:eastAsia="zh-CN"/>
              </w:rPr>
            </w:pPr>
            <w:r>
              <w:rPr>
                <w:rFonts w:hint="eastAsia" w:ascii="宋体" w:hAnsi="宋体" w:cs="宋体"/>
                <w:color w:val="auto"/>
                <w:sz w:val="24"/>
                <w:szCs w:val="22"/>
                <w:highlight w:val="none"/>
              </w:rPr>
              <w:t>联系人：</w:t>
            </w:r>
            <w:r>
              <w:rPr>
                <w:rFonts w:hint="eastAsia" w:ascii="宋体" w:hAnsi="宋体" w:cs="宋体"/>
                <w:color w:val="auto"/>
                <w:sz w:val="24"/>
                <w:szCs w:val="22"/>
                <w:highlight w:val="none"/>
                <w:lang w:val="en-US" w:eastAsia="zh-CN"/>
              </w:rPr>
              <w:t>徐</w:t>
            </w:r>
            <w:r>
              <w:rPr>
                <w:rFonts w:hint="eastAsia" w:ascii="宋体" w:hAnsi="宋体" w:cs="宋体"/>
                <w:color w:val="auto"/>
                <w:sz w:val="24"/>
                <w:szCs w:val="22"/>
                <w:highlight w:val="none"/>
              </w:rPr>
              <w:t>工</w:t>
            </w:r>
          </w:p>
        </w:tc>
        <w:tc>
          <w:tcPr>
            <w:tcW w:w="4852" w:type="dxa"/>
            <w:tcBorders>
              <w:tl2br w:val="nil"/>
              <w:tr2bl w:val="nil"/>
            </w:tcBorders>
            <w:noWrap w:val="0"/>
            <w:vAlign w:val="top"/>
          </w:tcPr>
          <w:p>
            <w:pPr>
              <w:tabs>
                <w:tab w:val="left" w:pos="7380"/>
              </w:tabs>
              <w:spacing w:line="360" w:lineRule="auto"/>
              <w:rPr>
                <w:rFonts w:hint="eastAsia" w:ascii="宋体" w:hAnsi="宋体" w:cs="宋体"/>
                <w:color w:val="auto"/>
                <w:sz w:val="24"/>
                <w:szCs w:val="22"/>
                <w:highlight w:val="none"/>
                <w:vertAlign w:val="baseline"/>
              </w:rPr>
            </w:pPr>
            <w:r>
              <w:rPr>
                <w:rFonts w:hint="eastAsia" w:ascii="宋体" w:hAnsi="宋体" w:cs="宋体"/>
                <w:color w:val="auto"/>
                <w:sz w:val="24"/>
                <w:szCs w:val="22"/>
                <w:highlight w:val="none"/>
              </w:rPr>
              <w:t>联系人：</w:t>
            </w:r>
            <w:r>
              <w:rPr>
                <w:rFonts w:hint="eastAsia" w:ascii="宋体" w:hAnsi="宋体" w:cs="宋体"/>
                <w:color w:val="auto"/>
                <w:sz w:val="24"/>
                <w:szCs w:val="22"/>
                <w:highlight w:val="none"/>
                <w:lang w:val="en-US" w:eastAsia="zh-CN"/>
              </w:rPr>
              <w:t>黄工、彭工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tabs>
                <w:tab w:val="left" w:pos="7380"/>
              </w:tabs>
              <w:spacing w:line="360" w:lineRule="auto"/>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电话：</w:t>
            </w:r>
            <w:r>
              <w:rPr>
                <w:rFonts w:hint="eastAsia" w:ascii="宋体" w:hAnsi="宋体" w:cs="宋体"/>
                <w:color w:val="auto"/>
                <w:sz w:val="24"/>
                <w:szCs w:val="22"/>
                <w:highlight w:val="none"/>
                <w:lang w:val="en-US" w:eastAsia="zh-CN"/>
              </w:rPr>
              <w:t>13632332136</w:t>
            </w:r>
          </w:p>
        </w:tc>
        <w:tc>
          <w:tcPr>
            <w:tcW w:w="4852" w:type="dxa"/>
            <w:tcBorders>
              <w:tl2br w:val="nil"/>
              <w:tr2bl w:val="nil"/>
            </w:tcBorders>
            <w:noWrap w:val="0"/>
            <w:vAlign w:val="top"/>
          </w:tcPr>
          <w:p>
            <w:pPr>
              <w:tabs>
                <w:tab w:val="left" w:pos="7380"/>
              </w:tabs>
              <w:spacing w:line="360" w:lineRule="auto"/>
              <w:rPr>
                <w:rFonts w:hint="eastAsia" w:ascii="宋体" w:hAnsi="宋体" w:eastAsia="宋体" w:cs="宋体"/>
                <w:color w:val="auto"/>
                <w:sz w:val="24"/>
                <w:szCs w:val="22"/>
                <w:highlight w:val="none"/>
                <w:vertAlign w:val="baseline"/>
                <w:lang w:eastAsia="zh-CN"/>
              </w:rPr>
            </w:pPr>
            <w:r>
              <w:rPr>
                <w:rFonts w:hint="eastAsia" w:ascii="宋体" w:hAnsi="宋体" w:cs="宋体"/>
                <w:color w:val="auto"/>
                <w:sz w:val="24"/>
                <w:szCs w:val="22"/>
                <w:highlight w:val="none"/>
              </w:rPr>
              <w:t>电话：</w:t>
            </w:r>
            <w:r>
              <w:rPr>
                <w:rFonts w:hint="eastAsia" w:ascii="宋体" w:hAnsi="宋体" w:cs="宋体"/>
                <w:color w:val="auto"/>
                <w:sz w:val="24"/>
                <w:szCs w:val="22"/>
                <w:highlight w:val="none"/>
                <w:lang w:eastAsia="zh-CN"/>
              </w:rPr>
              <w:t>020-82212731、020-82027239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tabs>
                <w:tab w:val="left" w:pos="7380"/>
              </w:tabs>
              <w:spacing w:line="360" w:lineRule="auto"/>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传真：/</w:t>
            </w:r>
          </w:p>
        </w:tc>
        <w:tc>
          <w:tcPr>
            <w:tcW w:w="4852" w:type="dxa"/>
            <w:tcBorders>
              <w:tl2br w:val="nil"/>
              <w:tr2bl w:val="nil"/>
            </w:tcBorders>
            <w:noWrap w:val="0"/>
            <w:vAlign w:val="top"/>
          </w:tcPr>
          <w:p>
            <w:pPr>
              <w:tabs>
                <w:tab w:val="left" w:pos="7380"/>
              </w:tabs>
              <w:spacing w:line="360" w:lineRule="auto"/>
              <w:rPr>
                <w:rFonts w:hint="eastAsia" w:ascii="宋体" w:hAnsi="宋体" w:cs="宋体"/>
                <w:color w:val="auto"/>
                <w:sz w:val="24"/>
                <w:szCs w:val="22"/>
                <w:highlight w:val="none"/>
                <w:vertAlign w:val="baseline"/>
              </w:rPr>
            </w:pPr>
            <w:r>
              <w:rPr>
                <w:rFonts w:hint="eastAsia" w:ascii="宋体" w:hAnsi="宋体" w:cs="宋体"/>
                <w:color w:val="auto"/>
                <w:sz w:val="24"/>
                <w:szCs w:val="22"/>
                <w:highlight w:val="none"/>
              </w:rPr>
              <w:t>传真：</w:t>
            </w:r>
            <w:r>
              <w:rPr>
                <w:rFonts w:ascii="宋体" w:hAnsi="宋体" w:cs="宋体"/>
                <w:color w:val="auto"/>
                <w:sz w:val="24"/>
                <w:szCs w:val="22"/>
                <w:highlight w:val="none"/>
              </w:rPr>
              <w:t>020-82212796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spacing w:line="360" w:lineRule="auto"/>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电子邮箱</w:t>
            </w:r>
            <w:r>
              <w:rPr>
                <w:rFonts w:ascii="宋体" w:hAnsi="宋体" w:cs="宋体"/>
                <w:color w:val="auto"/>
                <w:sz w:val="24"/>
                <w:szCs w:val="22"/>
                <w:highlight w:val="none"/>
              </w:rPr>
              <w:t xml:space="preserve">: </w:t>
            </w:r>
            <w:r>
              <w:rPr>
                <w:rFonts w:hint="eastAsia" w:ascii="宋体" w:hAnsi="宋体" w:cs="宋体"/>
                <w:color w:val="auto"/>
                <w:sz w:val="24"/>
                <w:szCs w:val="22"/>
                <w:highlight w:val="none"/>
                <w:lang w:val="en-US" w:eastAsia="zh-CN"/>
              </w:rPr>
              <w:t>xuzhihao01@gzport.com</w:t>
            </w:r>
          </w:p>
        </w:tc>
        <w:tc>
          <w:tcPr>
            <w:tcW w:w="4852" w:type="dxa"/>
            <w:tcBorders>
              <w:tl2br w:val="nil"/>
              <w:tr2bl w:val="nil"/>
            </w:tcBorders>
            <w:noWrap w:val="0"/>
            <w:vAlign w:val="top"/>
          </w:tcPr>
          <w:p>
            <w:pPr>
              <w:spacing w:line="360" w:lineRule="auto"/>
              <w:rPr>
                <w:rFonts w:hint="eastAsia" w:ascii="宋体" w:hAnsi="宋体" w:cs="宋体"/>
                <w:color w:val="auto"/>
                <w:sz w:val="24"/>
                <w:szCs w:val="22"/>
                <w:highlight w:val="none"/>
                <w:vertAlign w:val="baseline"/>
              </w:rPr>
            </w:pPr>
            <w:r>
              <w:rPr>
                <w:rFonts w:hint="eastAsia" w:ascii="宋体" w:hAnsi="宋体" w:cs="宋体"/>
                <w:color w:val="auto"/>
                <w:sz w:val="24"/>
                <w:szCs w:val="22"/>
                <w:highlight w:val="none"/>
              </w:rPr>
              <w:t>电子邮箱</w:t>
            </w:r>
            <w:r>
              <w:rPr>
                <w:rFonts w:ascii="宋体" w:hAnsi="宋体" w:cs="宋体"/>
                <w:color w:val="auto"/>
                <w:sz w:val="24"/>
                <w:szCs w:val="22"/>
                <w:highlight w:val="none"/>
              </w:rPr>
              <w:t xml:space="preserve">: </w:t>
            </w:r>
            <w:r>
              <w:rPr>
                <w:rFonts w:ascii="宋体" w:hAnsi="宋体"/>
                <w:color w:val="auto"/>
                <w:sz w:val="24"/>
                <w:szCs w:val="22"/>
                <w:highlight w:val="none"/>
                <w:u w:val="none"/>
              </w:rPr>
              <w:fldChar w:fldCharType="begin"/>
            </w:r>
            <w:r>
              <w:rPr>
                <w:rFonts w:ascii="宋体" w:hAnsi="宋体"/>
                <w:color w:val="auto"/>
                <w:sz w:val="24"/>
                <w:szCs w:val="22"/>
                <w:highlight w:val="none"/>
                <w:u w:val="none"/>
              </w:rPr>
              <w:instrText xml:space="preserve">HYPERLINK "mailto:zbdl2008@126.com"</w:instrText>
            </w:r>
            <w:r>
              <w:rPr>
                <w:rFonts w:ascii="宋体" w:hAnsi="宋体"/>
                <w:color w:val="auto"/>
                <w:sz w:val="24"/>
                <w:szCs w:val="22"/>
                <w:highlight w:val="none"/>
                <w:u w:val="none"/>
              </w:rPr>
              <w:fldChar w:fldCharType="separate"/>
            </w:r>
            <w:r>
              <w:rPr>
                <w:rStyle w:val="9"/>
                <w:rFonts w:ascii="宋体" w:hAnsi="宋体" w:cs="宋体"/>
                <w:color w:val="auto"/>
                <w:sz w:val="24"/>
                <w:szCs w:val="22"/>
                <w:highlight w:val="none"/>
                <w:u w:val="none"/>
              </w:rPr>
              <w:t>ZBDL2008@126.com</w:t>
            </w:r>
            <w:r>
              <w:rPr>
                <w:rFonts w:ascii="宋体" w:hAnsi="宋体"/>
                <w:color w:val="auto"/>
                <w:sz w:val="24"/>
                <w:szCs w:val="22"/>
                <w:highlight w:val="none"/>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35" w:type="dxa"/>
            <w:tcBorders>
              <w:tl2br w:val="nil"/>
              <w:tr2bl w:val="nil"/>
            </w:tcBorders>
            <w:noWrap w:val="0"/>
            <w:vAlign w:val="top"/>
          </w:tcPr>
          <w:p>
            <w:pPr>
              <w:spacing w:line="360" w:lineRule="auto"/>
              <w:rPr>
                <w:rFonts w:hint="eastAsia" w:ascii="宋体" w:hAnsi="宋体" w:cs="宋体"/>
                <w:color w:val="auto"/>
                <w:sz w:val="24"/>
                <w:szCs w:val="22"/>
                <w:highlight w:val="none"/>
              </w:rPr>
            </w:pPr>
          </w:p>
        </w:tc>
        <w:tc>
          <w:tcPr>
            <w:tcW w:w="4852" w:type="dxa"/>
            <w:tcBorders>
              <w:tl2br w:val="nil"/>
              <w:tr2bl w:val="nil"/>
            </w:tcBorders>
            <w:noWrap w:val="0"/>
            <w:vAlign w:val="top"/>
          </w:tcPr>
          <w:p>
            <w:pPr>
              <w:spacing w:line="360" w:lineRule="auto"/>
              <w:rPr>
                <w:rFonts w:hint="eastAsia" w:ascii="宋体" w:hAnsi="宋体" w:cs="宋体"/>
                <w:color w:val="auto"/>
                <w:sz w:val="24"/>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2"/>
            <w:tcBorders>
              <w:tl2br w:val="nil"/>
              <w:tr2bl w:val="nil"/>
            </w:tcBorders>
            <w:noWrap w:val="0"/>
            <w:vAlign w:val="top"/>
          </w:tcPr>
          <w:p>
            <w:pPr>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lang w:val="en-US" w:eastAsia="zh-CN"/>
              </w:rPr>
              <w:t>招标监督机构：揭阳大南海石化工业区建设管理局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2"/>
            <w:tcBorders>
              <w:tl2br w:val="nil"/>
              <w:tr2bl w:val="nil"/>
            </w:tcBorders>
            <w:noWrap w:val="0"/>
            <w:vAlign w:val="top"/>
          </w:tcPr>
          <w:p>
            <w:pPr>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lang w:val="en-US" w:eastAsia="zh-CN"/>
              </w:rPr>
              <w:t>地址：揭阳大南海石化工业区管理委员会办公大院二号楼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2"/>
            <w:tcBorders>
              <w:tl2br w:val="nil"/>
              <w:tr2bl w:val="nil"/>
            </w:tcBorders>
            <w:noWrap w:val="0"/>
            <w:vAlign w:val="top"/>
          </w:tcPr>
          <w:p>
            <w:pPr>
              <w:spacing w:line="360" w:lineRule="auto"/>
              <w:rPr>
                <w:rFonts w:hint="default" w:ascii="宋体" w:hAnsi="宋体" w:cs="宋体"/>
                <w:color w:val="auto"/>
                <w:sz w:val="24"/>
                <w:szCs w:val="22"/>
                <w:highlight w:val="none"/>
                <w:lang w:val="en-US" w:eastAsia="zh-CN"/>
              </w:rPr>
            </w:pPr>
            <w:r>
              <w:rPr>
                <w:rFonts w:hint="eastAsia" w:ascii="宋体" w:hAnsi="宋体" w:cs="宋体"/>
                <w:color w:val="auto"/>
                <w:sz w:val="24"/>
                <w:szCs w:val="22"/>
                <w:highlight w:val="none"/>
                <w:lang w:val="en-US" w:eastAsia="zh-CN"/>
              </w:rPr>
              <w:t>电话：0663-6208822</w:t>
            </w:r>
          </w:p>
        </w:tc>
      </w:tr>
    </w:tbl>
    <w:p>
      <w:pPr>
        <w:rPr>
          <w:rFonts w:hint="eastAsia"/>
          <w:color w:val="auto"/>
          <w:highlight w:val="none"/>
        </w:rPr>
        <w:sectPr>
          <w:footerReference r:id="rId3" w:type="default"/>
          <w:pgSz w:w="11920" w:h="16840"/>
          <w:pgMar w:top="1418" w:right="1418" w:bottom="1418" w:left="1418" w:header="720" w:footer="720" w:gutter="0"/>
          <w:pgNumType w:start="1"/>
          <w:cols w:space="720" w:num="1"/>
        </w:sectPr>
      </w:pP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375"/>
        </w:tabs>
        <w:ind w:left="375" w:hanging="3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630"/>
        </w:tabs>
        <w:ind w:left="63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630"/>
        </w:tabs>
        <w:ind w:left="63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4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sz w:val="52"/>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spacing w:line="520" w:lineRule="exact"/>
      <w:jc w:val="left"/>
    </w:pPr>
    <w:rPr>
      <w:rFonts w:eastAsia="仿宋_GB2312"/>
      <w:sz w:val="18"/>
      <w:szCs w:val="18"/>
    </w:rPr>
  </w:style>
  <w:style w:type="table" w:styleId="7">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rFonts w:eastAsia="仿宋_GB2312"/>
      <w:color w:val="0000FF"/>
      <w:sz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2025-12-02T08:33:17Z</dcterms:created>
  <dc:creator>61867</dc:creator>
  <cp:lastModifiedBy>GGB-HJY</cp:lastModifiedBy>
  <dcterms:modified xsi:type="dcterms:W3CDTF">2025-12-02T08:33:21Z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1E1E5C46D25841B1B79E1B8C5B485FF3</vt:lpwstr>
  </property>
</Properties>
</file>