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广东省工程建设项目</w:t>
      </w:r>
      <w:bookmarkStart w:id="0" w:name="_GoBack"/>
      <w:bookmarkEnd w:id="0"/>
      <w:r>
        <w:rPr>
          <w:rFonts w:hint="eastAsia"/>
        </w:rPr>
        <w:t>招标公告</w:t>
      </w:r>
    </w:p>
    <w:tbl>
      <w:tblPr>
        <w:tblStyle w:val="5"/>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0"/>
          <w:left w:type="dxa" w:w="108"/>
          <w:bottom w:type="dxa" w:w="0"/>
          <w:right w:type="dxa" w:w="108"/>
        </w:tblCellMar>
      </w:tblPr>
      <w:tblGrid>
        <w:gridCol w:w="1861"/>
        <w:gridCol w:w="1547"/>
        <w:gridCol w:w="118"/>
        <w:gridCol w:w="1473"/>
        <w:gridCol w:w="1737"/>
        <w:gridCol w:w="1786"/>
      </w:tblGrid>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94"/>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投资项目代码</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2015-441422-54-02-808463</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71"/>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投资项目名称</w:t>
            </w:r>
          </w:p>
        </w:tc>
        <w:tc>
          <w:tcPr>
            <w:tcW w:type="dxa" w:w="6661"/>
            <w:gridSpan w:val="5"/>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大埔至潮州高速公路（含大埔至漳州支线）三饶停车区尾工工程施工</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83"/>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招标项目名称</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大埔至潮州高速公路（含大埔至漳州支线）三饶停车区尾工工程施工</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929"/>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标段（包）名称</w:t>
            </w:r>
          </w:p>
        </w:tc>
        <w:tc>
          <w:tcPr>
            <w:tcW w:type="dxa" w:w="1547"/>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三饶停车区</w:t>
            </w:r>
          </w:p>
        </w:tc>
        <w:tc>
          <w:tcPr>
            <w:tcW w:type="dxa" w:w="1591"/>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公告性质</w:t>
            </w:r>
          </w:p>
        </w:tc>
        <w:tc>
          <w:tcPr>
            <w:tcW w:type="dxa" w:w="3523"/>
            <w:gridSpan w:val="2"/>
            <w:vAlign w:val="center"/>
          </w:tcPr>
          <w:p>
            <w:pPr>
              <w:jc w:val="center"/>
              <w:rPr>
                <w:rFonts w:ascii="宋体" w:cs="宋体" w:eastAsia="宋体" w:hAnsi="宋体" w:hint="eastAsia"/>
                <w:sz w:val="18"/>
                <w:szCs w:val="18"/>
                <w:vertAlign w:val="baseline"/>
                <w:lang w:eastAsia="zh-CN" w:val="en-US"/>
              </w:rPr>
            </w:pPr>
            <w:r>
              <w:rPr>
                <w:rFonts w:ascii="宋体" w:cs="宋体" w:eastAsia="宋体" w:hAnsi="宋体" w:hint="eastAsia"/>
                <w:sz w:val="18"/>
                <w:szCs w:val="18"/>
                <w:vertAlign w:val="baseline"/>
                <w:lang w:eastAsia="zh-CN" w:val="en-US"/>
              </w:rPr>
              <w:t>正常</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37"/>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资格审查方式</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资格后审</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7"/>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招标项目实施</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(交货)地点</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广东省潮州市饶平县</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60"/>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资金来源</w:t>
            </w:r>
          </w:p>
        </w:tc>
        <w:tc>
          <w:tcPr>
            <w:tcW w:type="dxa" w:w="1547"/>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项目业主自筹</w:t>
            </w:r>
          </w:p>
        </w:tc>
        <w:tc>
          <w:tcPr>
            <w:tcW w:type="dxa" w:w="1591"/>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资金来源构成</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100%</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74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招标范围及规模</w:t>
            </w:r>
          </w:p>
        </w:tc>
        <w:tc>
          <w:tcPr>
            <w:tcW w:type="dxa" w:w="6661"/>
            <w:gridSpan w:val="5"/>
            <w:vAlign w:val="top"/>
          </w:tcPr>
          <w:p>
            <w:pPr>
              <w:jc w:val="both"/>
              <w:rPr>
                <w:sz w:val="18"/>
              </w:rPr>
            </w:pPr>
            <w:r>
              <w:rPr>
                <w:rFonts w:ascii="宋体" w:hAnsi="宋体" w:cs="宋体" w:eastAsia="宋体"/>
                <w:color w:val=""/>
                <w:sz w:val="18"/>
                <w:u w:val="none"/>
              </w:rPr>
              <w:t xml:space="preserve">2.1 项目概况与招标范围                                                                                                              </w:t>
            </w:r>
          </w:p>
          <w:p>
            <w:pPr>
              <w:jc w:val="both"/>
              <w:rPr>
                <w:sz w:val="18"/>
              </w:rPr>
            </w:pPr>
            <w:r>
              <w:rPr>
                <w:rFonts w:ascii="宋体" w:hAnsi="宋体" w:cs="宋体" w:eastAsia="宋体"/>
                <w:color w:val=""/>
                <w:sz w:val="18"/>
                <w:u w:val="none"/>
              </w:rPr>
              <w:t>2.1.1 项目概况：</w:t>
            </w:r>
          </w:p>
          <w:p>
            <w:pPr>
              <w:jc w:val="both"/>
              <w:rPr>
                <w:sz w:val="18"/>
              </w:rPr>
            </w:pPr>
            <w:r>
              <w:rPr>
                <w:rFonts w:ascii="宋体" w:hAnsi="宋体" w:cs="宋体" w:eastAsia="宋体"/>
                <w:color w:val=""/>
                <w:sz w:val="18"/>
                <w:u w:val="none"/>
              </w:rPr>
              <w:t>三饶停车区位于潮州市饶平县新塘镇乌洋村，位于三饶收费站出口右侧，结合原收费站房按一对合建，停车区设有1栋服务楼、1栋垃圾房+污水处理间、1栋水电房。总用地面积：9116.15平方米，边坡面积：1240.32平方米，总建筑面积：808.23平方米（服务楼建筑面积：533.51平方米，水电房建筑面积：229.36平方米，垃圾房建筑面积：30.40平方米，设备房建筑面积14.96平方米），道路面积3556.40平方米，停车场面积：1441.76平方米，绿化面积：2873.22平方米，广场铺装面积：190平方米。本项目含房建建筑工程、室外景观工程、交通工程、室外机电工程等，交通工程包含标志、标线、彩色停车位等；室外机电工程含室外电缆敷设及排管系统、室外照明系统、室外弱电系统及排管等。</w:t>
            </w:r>
          </w:p>
          <w:p>
            <w:pPr>
              <w:jc w:val="both"/>
              <w:rPr>
                <w:sz w:val="18"/>
              </w:rPr>
            </w:pPr>
            <w:r>
              <w:rPr>
                <w:rFonts w:ascii="宋体" w:hAnsi="宋体" w:cs="宋体" w:eastAsia="宋体"/>
                <w:color w:val=""/>
                <w:sz w:val="18"/>
                <w:u w:val="none"/>
              </w:rPr>
              <w:t>2.1.2 建设地点：广东省潮州市饶平县</w:t>
            </w:r>
          </w:p>
          <w:p>
            <w:pPr>
              <w:jc w:val="both"/>
              <w:rPr>
                <w:sz w:val="18"/>
              </w:rPr>
            </w:pPr>
            <w:r>
              <w:rPr>
                <w:rFonts w:ascii="宋体" w:hAnsi="宋体" w:cs="宋体" w:eastAsia="宋体"/>
                <w:color w:val=""/>
                <w:sz w:val="18"/>
                <w:u w:val="none"/>
              </w:rPr>
              <w:t>2.1.3 招标范围</w:t>
            </w:r>
          </w:p>
          <w:p>
            <w:pPr>
              <w:jc w:val="both"/>
              <w:rPr>
                <w:sz w:val="18"/>
              </w:rPr>
            </w:pPr>
            <w:r>
              <w:rPr>
                <w:rFonts w:ascii="宋体" w:hAnsi="宋体" w:cs="宋体" w:eastAsia="宋体"/>
                <w:color w:val=""/>
                <w:sz w:val="18"/>
                <w:u w:val="none"/>
              </w:rPr>
              <w:t>本次招标为广东大潮高速公路有限公司管养路段大潮高速三饶尾工停车区工程施工，工程内容包括：场地整平、路面、绿化、交通安全设施、机电以及附属区房建等工程的施工。</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66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招标内容</w:t>
            </w:r>
          </w:p>
        </w:tc>
        <w:tc>
          <w:tcPr>
            <w:tcW w:type="dxa" w:w="6661"/>
            <w:gridSpan w:val="5"/>
            <w:vAlign w:val="top"/>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工期（交货期）</w:t>
            </w:r>
          </w:p>
        </w:tc>
        <w:tc>
          <w:tcPr>
            <w:tcW w:type="dxa" w:w="6661"/>
            <w:gridSpan w:val="5"/>
            <w:vAlign w:val="center"/>
          </w:tcPr>
          <w:p>
            <w:pPr>
              <w:jc w:val="center"/>
              <w:rPr>
                <w:sz w:val="18"/>
              </w:rPr>
            </w:pPr>
            <w:r>
              <w:rPr>
                <w:rFonts w:ascii="宋体" w:hAnsi="宋体" w:cs="宋体" w:eastAsia="宋体"/>
                <w:color w:val=""/>
                <w:sz w:val="18"/>
                <w:u w:val="none"/>
              </w:rPr>
              <w:t>计划工期：暂定为8个月。</w:t>
            </w:r>
          </w:p>
          <w:p>
            <w:pPr>
              <w:jc w:val="center"/>
              <w:rPr>
                <w:sz w:val="18"/>
              </w:rPr>
            </w:pPr>
            <w:r>
              <w:rPr>
                <w:rFonts w:ascii="宋体" w:hAnsi="宋体" w:cs="宋体" w:eastAsia="宋体"/>
                <w:color w:val=""/>
                <w:sz w:val="18"/>
                <w:u w:val="none"/>
              </w:rPr>
              <w:t>计划开工日期：具体以项目监理签发开工令为准。</w:t>
            </w:r>
          </w:p>
          <w:p>
            <w:pPr>
              <w:jc w:val="center"/>
              <w:rPr>
                <w:sz w:val="18"/>
              </w:rPr>
            </w:pPr>
            <w:r>
              <w:rPr>
                <w:rFonts w:ascii="宋体" w:hAnsi="宋体" w:cs="宋体" w:eastAsia="宋体"/>
                <w:color w:val=""/>
                <w:sz w:val="18"/>
                <w:u w:val="none"/>
              </w:rPr>
              <w:t>计划交工日期：根据工期确定。</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最高投标限价</w:t>
            </w:r>
          </w:p>
        </w:tc>
        <w:tc>
          <w:tcPr>
            <w:tcW w:type="dxa" w:w="6661"/>
            <w:gridSpan w:val="5"/>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本次招标：最高投标限价为         元；</w:t>
              <w:cr/>
              <w:t>（以补遗书形式发布，发布时间再投标截止时间15天前）。</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是否接受联合体投标</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否</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22"/>
        </w:trPr>
        <w:tc>
          <w:tcPr>
            <w:tcW w:type="dxa" w:w="1861"/>
            <w:vMerge w:val="restart"/>
            <w:vAlign w:val="center"/>
          </w:tcPr>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投标资格能力要求</w:t>
            </w:r>
          </w:p>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(包括但不限于资质</w:t>
            </w:r>
          </w:p>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人员、业绩等要求)</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投标人资格要求</w:t>
            </w:r>
          </w:p>
        </w:tc>
        <w:tc>
          <w:tcPr>
            <w:tcW w:type="dxa" w:w="4996"/>
            <w:gridSpan w:val="3"/>
            <w:vAlign w:val="center"/>
          </w:tcPr>
          <w:p>
            <w:pPr>
              <w:jc w:val="both"/>
              <w:rPr>
                <w:sz w:val="18"/>
              </w:rPr>
            </w:pPr>
            <w:r>
              <w:rPr>
                <w:rFonts w:ascii="宋体" w:hAnsi="宋体" w:cs="宋体" w:eastAsia="宋体"/>
                <w:color w:val=""/>
                <w:sz w:val="18"/>
                <w:u w:val="none"/>
              </w:rPr>
              <w:t>三饶停车区：1.具有独立法人资格，持有有效的营业执照。</w:t>
            </w:r>
          </w:p>
          <w:p>
            <w:pPr>
              <w:jc w:val="both"/>
              <w:rPr>
                <w:sz w:val="18"/>
              </w:rPr>
            </w:pPr>
            <w:r>
              <w:rPr>
                <w:rFonts w:ascii="宋体" w:hAnsi="宋体" w:cs="宋体" w:eastAsia="宋体"/>
                <w:color w:val=""/>
                <w:sz w:val="18"/>
                <w:u w:val="none"/>
              </w:rPr>
              <w:t>2.同时具备住房城乡建设主管部门核发的公路工程施工总承包一级或以上资质且建筑工程施工总承包二级或以上资质。</w:t>
            </w:r>
          </w:p>
          <w:p>
            <w:pPr>
              <w:jc w:val="both"/>
              <w:rPr>
                <w:sz w:val="18"/>
              </w:rPr>
            </w:pPr>
            <w:r>
              <w:rPr>
                <w:rFonts w:ascii="宋体" w:hAnsi="宋体" w:cs="宋体" w:eastAsia="宋体"/>
                <w:color w:val=""/>
                <w:sz w:val="18"/>
                <w:u w:val="none"/>
              </w:rPr>
              <w:t>3.具有合法有效的安全生产许可证。</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62"/>
        </w:trPr>
        <w:tc>
          <w:tcPr>
            <w:tcW w:type="dxa" w:w="1861"/>
            <w:vMerge w:val="continue"/>
            <w:vAlign w:val="center"/>
          </w:tcPr>
          <w:p>
            <w:pPr>
              <w:jc w:val="center"/>
              <w:rPr>
                <w:rFonts w:ascii="宋体" w:cs="宋体" w:eastAsia="宋体" w:hAnsi="宋体" w:hint="eastAsia"/>
                <w:b/>
                <w:bCs/>
                <w:sz w:val="18"/>
                <w:szCs w:val="18"/>
                <w:vertAlign w:val="baseline"/>
              </w:rPr>
            </w:pP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投标人业绩要求</w:t>
            </w:r>
          </w:p>
        </w:tc>
        <w:tc>
          <w:tcPr>
            <w:tcW w:type="dxa" w:w="4996"/>
            <w:gridSpan w:val="3"/>
            <w:vAlign w:val="center"/>
          </w:tcPr>
          <w:p>
            <w:pPr>
              <w:jc w:val="both"/>
              <w:rPr>
                <w:sz w:val="18"/>
              </w:rPr>
            </w:pPr>
            <w:r>
              <w:rPr>
                <w:rFonts w:ascii="宋体" w:hAnsi="宋体" w:cs="宋体" w:eastAsia="宋体"/>
                <w:color w:val=""/>
                <w:sz w:val="18"/>
                <w:u w:val="none"/>
              </w:rPr>
              <w:t>三饶停车区：近五年内，独立完成：</w:t>
            </w:r>
          </w:p>
          <w:p>
            <w:pPr>
              <w:jc w:val="both"/>
              <w:rPr>
                <w:sz w:val="18"/>
              </w:rPr>
            </w:pPr>
            <w:r>
              <w:rPr>
                <w:rFonts w:ascii="宋体" w:hAnsi="宋体" w:cs="宋体" w:eastAsia="宋体"/>
                <w:color w:val=""/>
                <w:sz w:val="18"/>
                <w:u w:val="none"/>
              </w:rPr>
              <w:t>（1）高速公路新建或改扩建路面工程至少1个标段；</w:t>
            </w:r>
          </w:p>
          <w:p>
            <w:pPr>
              <w:jc w:val="both"/>
              <w:rPr>
                <w:sz w:val="18"/>
              </w:rPr>
            </w:pPr>
            <w:r>
              <w:rPr>
                <w:rFonts w:ascii="宋体" w:hAnsi="宋体" w:cs="宋体" w:eastAsia="宋体"/>
                <w:color w:val=""/>
                <w:sz w:val="18"/>
                <w:u w:val="none"/>
              </w:rPr>
              <w:t>（2）建筑面积累计3000㎡以上的新建或改扩建房建工程（含本数）。</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1018"/>
        </w:trPr>
        <w:tc>
          <w:tcPr>
            <w:tcW w:type="dxa" w:w="1861"/>
            <w:vMerge w:val="restart"/>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是否采用电子</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招标投标方式</w:t>
            </w:r>
          </w:p>
        </w:tc>
        <w:tc>
          <w:tcPr>
            <w:tcW w:type="dxa" w:w="1665"/>
            <w:gridSpan w:val="2"/>
            <w:vMerge w:val="restart"/>
            <w:vAlign w:val="center"/>
          </w:tcPr>
          <w:p>
            <w:pPr>
              <w:jc w:val="center"/>
              <w:rPr>
                <w:rFonts w:ascii="宋体" w:cs="宋体" w:eastAsia="宋体" w:hAnsi="宋体" w:hint="eastAsia"/>
                <w:sz w:val="18"/>
                <w:szCs w:val="18"/>
                <w:vertAlign w:val="baseline"/>
                <w:lang w:eastAsia="zh-CN" w:val="en-US"/>
              </w:rPr>
            </w:pPr>
            <w:r>
              <w:rPr>
                <w:rFonts w:ascii="宋体" w:cs="宋体" w:eastAsia="宋体" w:hAnsi="宋体" w:hint="eastAsia"/>
                <w:sz w:val="18"/>
                <w:szCs w:val="18"/>
                <w:vertAlign w:val="baseline"/>
                <w:lang w:eastAsia="zh-CN" w:val="en-US"/>
              </w:rPr>
              <w:t>是</w:t>
            </w:r>
          </w:p>
        </w:tc>
        <w:tc>
          <w:tcPr>
            <w:tcW w:type="dxa" w:w="1473"/>
            <w:vMerge w:val="restart"/>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/招标文件的</w:t>
            </w:r>
          </w:p>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方式</w:t>
            </w:r>
          </w:p>
        </w:tc>
        <w:tc>
          <w:tcPr>
            <w:tcW w:type="dxa" w:w="1737"/>
            <w:vAlign w:val="center"/>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rPr>
              <w:t>下载资格预审/招标文件的网络地址</w:t>
            </w:r>
          </w:p>
        </w:tc>
        <w:tc>
          <w:tcPr>
            <w:tcW w:type="dxa" w:w="1786"/>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广东省公路水运工程建设项目电子招投标交易平台（https://gzjzjc.com.cn:30888/tenderlogin）</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Merge w:val="continue"/>
            <w:vAlign w:val="center"/>
          </w:tcPr>
          <w:p>
            <w:pPr>
              <w:jc w:val="center"/>
              <w:rPr>
                <w:rFonts w:ascii="宋体" w:cs="宋体" w:eastAsia="宋体" w:hAnsi="宋体" w:hint="eastAsia"/>
                <w:b/>
                <w:bCs/>
                <w:sz w:val="18"/>
                <w:szCs w:val="18"/>
                <w:vertAlign w:val="baseline"/>
              </w:rPr>
            </w:pPr>
          </w:p>
        </w:tc>
        <w:tc>
          <w:tcPr>
            <w:tcW w:type="dxa" w:w="1665"/>
            <w:gridSpan w:val="2"/>
            <w:vMerge w:val="continue"/>
            <w:vAlign w:val="center"/>
          </w:tcPr>
          <w:p>
            <w:pPr>
              <w:jc w:val="center"/>
              <w:rPr>
                <w:rFonts w:ascii="宋体" w:cs="宋体" w:eastAsia="宋体" w:hAnsi="宋体" w:hint="eastAsia"/>
                <w:sz w:val="18"/>
                <w:szCs w:val="18"/>
                <w:vertAlign w:val="baseline"/>
              </w:rPr>
            </w:pPr>
          </w:p>
        </w:tc>
        <w:tc>
          <w:tcPr>
            <w:tcW w:type="dxa" w:w="1473"/>
            <w:vMerge w:val="continue"/>
            <w:vAlign w:val="center"/>
          </w:tcPr>
          <w:p>
            <w:pPr>
              <w:jc w:val="center"/>
              <w:rPr>
                <w:rFonts w:ascii="宋体" w:cs="宋体" w:eastAsia="宋体" w:hAnsi="宋体" w:hint="eastAsia"/>
                <w:sz w:val="18"/>
                <w:szCs w:val="18"/>
                <w:vertAlign w:val="baseline"/>
              </w:rPr>
            </w:pPr>
          </w:p>
        </w:tc>
        <w:tc>
          <w:tcPr>
            <w:tcW w:type="dxa" w:w="1737"/>
            <w:vAlign w:val="center"/>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rPr>
              <w:t>获取纸质资格预审/招标文件的方式</w:t>
            </w:r>
          </w:p>
        </w:tc>
        <w:tc>
          <w:tcPr>
            <w:tcW w:type="dxa" w:w="1786"/>
            <w:vAlign w:val="center"/>
          </w:tcPr>
          <w:p>
            <w:pPr>
              <w:jc w:val="center"/>
              <w:rPr>
                <w:rFonts w:ascii="宋体" w:cs="宋体" w:eastAsia="宋体" w:hAnsi="宋体" w:hint="eastAsia"/>
                <w:sz w:val="18"/>
                <w:szCs w:val="18"/>
                <w:vertAlign w:val="baseline"/>
              </w:rPr>
            </w:pP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获取资格预审/招标文件开始时间</w:t>
            </w:r>
          </w:p>
        </w:tc>
        <w:tc>
          <w:tcPr>
            <w:tcW w:type="dxa" w:w="1665"/>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2025年12月03日</w:t>
            </w:r>
          </w:p>
        </w:tc>
        <w:tc>
          <w:tcPr>
            <w:tcW w:type="dxa" w:w="1473"/>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/招标文件截</w:t>
            </w:r>
          </w:p>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止时间</w:t>
            </w:r>
          </w:p>
        </w:tc>
        <w:tc>
          <w:tcPr>
            <w:tcW w:type="dxa" w:w="3523"/>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2025年12月09日</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递交资格预审/投标文件截止时间</w:t>
            </w:r>
          </w:p>
        </w:tc>
        <w:tc>
          <w:tcPr>
            <w:tcW w:type="dxa" w:w="1665"/>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2025年12月25日09时30分</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资格预审/投标文件递交方式</w:t>
            </w:r>
          </w:p>
        </w:tc>
        <w:tc>
          <w:tcPr>
            <w:tcW w:type="dxa" w:w="3523"/>
            <w:gridSpan w:val="2"/>
            <w:vAlign w:val="center"/>
          </w:tcPr>
          <w:p>
            <w:pPr>
              <w:jc w:val="both"/>
              <w:rPr>
                <w:sz w:val="18"/>
              </w:rPr>
            </w:pPr>
            <w:r>
              <w:rPr>
                <w:rFonts w:ascii="宋体" w:hAnsi="宋体" w:cs="宋体" w:eastAsia="宋体"/>
                <w:color w:val=""/>
                <w:sz w:val="18"/>
                <w:u w:val="none"/>
              </w:rPr>
              <w:t>投标文件电子文件统一采用网络上传的方式，投标人于2025年12月10日00时00分至2025年12月25日09时30分将电子文件完整上传。递交投标文件纸质文件截止时间为2025年12月25日9时30分，投标人应于2025年12月25日8时30分至2025年12月25日9时30分将投标文件纸质文件递交至广州公共资源交易中心相应的开标室，具体开标室见交易中心大厅公告（广州市天河区天润路333号）。</w:t>
            </w:r>
          </w:p>
          <w:p>
            <w:pPr>
              <w:jc w:val="both"/>
              <w:rPr>
                <w:sz w:val="18"/>
              </w:rPr>
            </w:pPr>
            <w:r>
              <w:rPr>
                <w:rFonts w:ascii="宋体" w:hAnsi="宋体" w:cs="宋体" w:eastAsia="宋体"/>
                <w:color w:val=""/>
                <w:sz w:val="18"/>
                <w:u w:val="none"/>
              </w:rPr>
              <w:t>逾期送达的、未送达指定地点的或不按照招标文件要求密封的投标文件，招标人将予以拒收。</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开标时间</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2025年12月25日09时30分</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开标地点</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广州公共资源交易中心</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7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发布公告媒介</w:t>
            </w:r>
          </w:p>
        </w:tc>
        <w:tc>
          <w:tcPr>
            <w:tcW w:type="dxa" w:w="6661"/>
            <w:gridSpan w:val="5"/>
            <w:vAlign w:val="center"/>
          </w:tcPr>
          <w:p>
            <w:pPr>
              <w:jc w:val="both"/>
              <w:rPr>
                <w:sz w:val="18"/>
              </w:rPr>
            </w:pPr>
            <w:r>
              <w:rPr>
                <w:rFonts w:ascii="宋体" w:hAnsi="宋体" w:cs="宋体" w:eastAsia="宋体"/>
                <w:color w:val=""/>
                <w:sz w:val="18"/>
                <w:u w:val="none"/>
              </w:rPr>
              <w:t>本次招标公告同时在广东省招标投标监管网、广州公共资源交易中心网站上发布。如公告详细内容不一致者，以广东省招标投标监管网公告为准。</w:t>
            </w:r>
          </w:p>
          <w:p>
            <w:pPr>
              <w:jc w:val="both"/>
              <w:rPr>
                <w:sz w:val="18"/>
              </w:rPr>
            </w:pPr>
            <w:r>
              <w:rPr>
                <w:rFonts w:ascii="宋体" w:hAnsi="宋体" w:cs="宋体" w:eastAsia="宋体"/>
                <w:color w:val=""/>
                <w:sz w:val="18"/>
                <w:u w:val="none"/>
              </w:rPr>
              <w:t>7、在规定的投标登记期间，如某个标段投标登记并购买招标文件的投标人不足3家时，招标人有权选择以下任一方式：（1）在广东省招标投标监管网及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广东大潮高速公路有限公司</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联系地址</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广东省梅州市大埔县高陂镇乌槎村大潮高速管理中心</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招标人联系人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吴伟军、梁晓琼</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18038553999、18200952667</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招标代理机构</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联系地址</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招标代理联系人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招标监督机构</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其他依法应当载明的内容</w:t>
            </w:r>
          </w:p>
        </w:tc>
        <w:tc>
          <w:tcPr>
            <w:tcW w:type="dxa" w:w="6661"/>
            <w:gridSpan w:val="5"/>
            <w:vAlign w:val="center"/>
          </w:tcPr>
          <w:p>
            <w:pPr>
              <w:jc w:val="center"/>
              <w:rPr>
                <w:rFonts w:ascii="宋体" w:cs="宋体" w:eastAsia="宋体" w:hAnsi="宋体" w:hint="eastAsia"/>
                <w:sz w:val="18"/>
                <w:szCs w:val="18"/>
                <w:vertAlign w:val="baseline"/>
              </w:rPr>
            </w:pPr>
          </w:p>
        </w:tc>
      </w:tr>
    </w:tbl>
    <w:p>
      <w:pPr>
        <w:rPr>
          <w:rFonts w:ascii="宋体" w:cs="宋体" w:eastAsia="宋体" w:hAnsi="宋体" w:hint="eastAsia"/>
        </w:rPr>
      </w:pPr>
    </w:p>
    <w:sectPr>
      <w:pgSz w:h="16838" w:w="11906"/>
      <w:pgMar w:bottom="1440" w:footer="992" w:gutter="0" w:header="851" w:left="1800" w:right="180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zBmYzViNmM1OWM4MGVhN2RmMzhiYTQ1MGQ4MTgifQ=="/>
  </w:docVars>
  <w:rsids>
    <w:rsidRoot w:val="00000000"/>
    <w:rsid w:val="028247F4"/>
    <w:rsid w:val="0396194E"/>
    <w:rsid w:val="04620439"/>
    <w:rsid w:val="05687A1E"/>
    <w:rsid w:val="05932FA0"/>
    <w:rsid w:val="072445B9"/>
    <w:rsid w:val="08B7634F"/>
    <w:rsid w:val="0A7B4003"/>
    <w:rsid w:val="0ADD625D"/>
    <w:rsid w:val="0B085689"/>
    <w:rsid w:val="0B66715B"/>
    <w:rsid w:val="0BEA32BC"/>
    <w:rsid w:val="0CC86D0F"/>
    <w:rsid w:val="11F8062F"/>
    <w:rsid w:val="133815F1"/>
    <w:rsid w:val="1424395D"/>
    <w:rsid w:val="151F6812"/>
    <w:rsid w:val="17BA3F9F"/>
    <w:rsid w:val="18FA3AAC"/>
    <w:rsid w:val="1903629F"/>
    <w:rsid w:val="1937087B"/>
    <w:rsid w:val="19BD16CC"/>
    <w:rsid w:val="1A8D6F59"/>
    <w:rsid w:val="1AE77ACD"/>
    <w:rsid w:val="1BA63D15"/>
    <w:rsid w:val="1E9A4F48"/>
    <w:rsid w:val="1F015BE8"/>
    <w:rsid w:val="1F6F644D"/>
    <w:rsid w:val="22240889"/>
    <w:rsid w:val="2288155B"/>
    <w:rsid w:val="244F43AD"/>
    <w:rsid w:val="24C5104D"/>
    <w:rsid w:val="25205A7B"/>
    <w:rsid w:val="25EF5485"/>
    <w:rsid w:val="26192901"/>
    <w:rsid w:val="26BB1EFF"/>
    <w:rsid w:val="27C844E7"/>
    <w:rsid w:val="2A3C3357"/>
    <w:rsid w:val="2AF66BF8"/>
    <w:rsid w:val="2BB24EAC"/>
    <w:rsid w:val="2C243739"/>
    <w:rsid w:val="2D1B36F8"/>
    <w:rsid w:val="2DAC7BED"/>
    <w:rsid w:val="2FBA5573"/>
    <w:rsid w:val="307C6264"/>
    <w:rsid w:val="32F5208D"/>
    <w:rsid w:val="33492641"/>
    <w:rsid w:val="33D47D4F"/>
    <w:rsid w:val="34BE7E51"/>
    <w:rsid w:val="358A56C2"/>
    <w:rsid w:val="35DF39AD"/>
    <w:rsid w:val="37CE29CF"/>
    <w:rsid w:val="385D5DEF"/>
    <w:rsid w:val="38E31CCA"/>
    <w:rsid w:val="396B18F5"/>
    <w:rsid w:val="3A0674A4"/>
    <w:rsid w:val="3ADC46EA"/>
    <w:rsid w:val="3CAF4612"/>
    <w:rsid w:val="3E972B6C"/>
    <w:rsid w:val="3FA50A7A"/>
    <w:rsid w:val="40185875"/>
    <w:rsid w:val="403666A1"/>
    <w:rsid w:val="40FD53A3"/>
    <w:rsid w:val="412F7925"/>
    <w:rsid w:val="42355B4F"/>
    <w:rsid w:val="43076734"/>
    <w:rsid w:val="4327700E"/>
    <w:rsid w:val="43AF4742"/>
    <w:rsid w:val="43ED593A"/>
    <w:rsid w:val="44093E52"/>
    <w:rsid w:val="44711472"/>
    <w:rsid w:val="450B3510"/>
    <w:rsid w:val="45F11042"/>
    <w:rsid w:val="46E719AA"/>
    <w:rsid w:val="473F6691"/>
    <w:rsid w:val="478F466E"/>
    <w:rsid w:val="485D29BF"/>
    <w:rsid w:val="48724017"/>
    <w:rsid w:val="49DC0844"/>
    <w:rsid w:val="4B1331CA"/>
    <w:rsid w:val="4BB26B7D"/>
    <w:rsid w:val="4C1A1186"/>
    <w:rsid w:val="4C235C4C"/>
    <w:rsid w:val="4EDF7A58"/>
    <w:rsid w:val="4F626994"/>
    <w:rsid w:val="4FAD422B"/>
    <w:rsid w:val="4FCD042A"/>
    <w:rsid w:val="50037A14"/>
    <w:rsid w:val="50C35086"/>
    <w:rsid w:val="50CD3B67"/>
    <w:rsid w:val="546E63A5"/>
    <w:rsid w:val="55F14746"/>
    <w:rsid w:val="57812F2D"/>
    <w:rsid w:val="587578B0"/>
    <w:rsid w:val="58B242BD"/>
    <w:rsid w:val="59E26240"/>
    <w:rsid w:val="5C321615"/>
    <w:rsid w:val="5C53318D"/>
    <w:rsid w:val="5CE9261B"/>
    <w:rsid w:val="5D301FF8"/>
    <w:rsid w:val="5DA84284"/>
    <w:rsid w:val="5ED93504"/>
    <w:rsid w:val="5F107065"/>
    <w:rsid w:val="60592C21"/>
    <w:rsid w:val="60EA79A6"/>
    <w:rsid w:val="612C2AD6"/>
    <w:rsid w:val="62944BFA"/>
    <w:rsid w:val="638D1ED6"/>
    <w:rsid w:val="63DA4A6C"/>
    <w:rsid w:val="65165D18"/>
    <w:rsid w:val="657C227E"/>
    <w:rsid w:val="65A2329F"/>
    <w:rsid w:val="676E4DB6"/>
    <w:rsid w:val="6779459B"/>
    <w:rsid w:val="686178A3"/>
    <w:rsid w:val="68BE495C"/>
    <w:rsid w:val="68CF4DBB"/>
    <w:rsid w:val="69C615E3"/>
    <w:rsid w:val="6A1B23CD"/>
    <w:rsid w:val="6A2230B3"/>
    <w:rsid w:val="6BDA0D35"/>
    <w:rsid w:val="6C1A459F"/>
    <w:rsid w:val="6C2E3313"/>
    <w:rsid w:val="6CA51AD2"/>
    <w:rsid w:val="6D01750D"/>
    <w:rsid w:val="6D747CDF"/>
    <w:rsid w:val="6E0F17B6"/>
    <w:rsid w:val="6E586D17"/>
    <w:rsid w:val="6F603095"/>
    <w:rsid w:val="706728F0"/>
    <w:rsid w:val="71CA611F"/>
    <w:rsid w:val="72AB7B7B"/>
    <w:rsid w:val="745B748A"/>
    <w:rsid w:val="74777E8B"/>
    <w:rsid w:val="751A73BE"/>
    <w:rsid w:val="764C2334"/>
    <w:rsid w:val="781B08C4"/>
    <w:rsid w:val="786170B2"/>
    <w:rsid w:val="7A276C5B"/>
    <w:rsid w:val="7A737ACF"/>
    <w:rsid w:val="7AB30DC5"/>
    <w:rsid w:val="7B0F7299"/>
    <w:rsid w:val="7B263107"/>
    <w:rsid w:val="7BE54F72"/>
    <w:rsid w:val="7C142DB9"/>
    <w:rsid w:val="7CBA4636"/>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imes New Roman" w:cs="Times New Roman" w:eastAsia="宋体" w:hAnsi="Times New Roman"/>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semiHidden="0"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qFormat="1" w:uiPriority="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qFormat="1" w:semiHidden="0" w:uiPriority="0" w:unhideWhenUsed="0"/>
    <w:lsdException w:name="Closing" w:semiHidden="0" w:uiPriority="0" w:unhideWhenUsed="0"/>
    <w:lsdException w:name="Signature" w:semiHidden="0" w:uiPriority="0" w:unhideWhenUsed="0"/>
    <w:lsdException w:name="Default Paragraph Font" w:qFormat="1"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qFormat="1"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qFormat="1" w:semiHidden="0" w:uiPriority="0" w:unhideWhenUsed="0"/>
    <w:lsdException w:name="Emphasis" w:qFormat="1"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qFormat="1"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default="1" w:styleId="1" w:type="paragraph">
    <w:name w:val="Normal"/>
    <w:qFormat/>
    <w:uiPriority w:val="0"/>
    <w:pPr>
      <w:widowControl w:val="0"/>
      <w:jc w:val="both"/>
    </w:pPr>
    <w:rPr>
      <w:rFonts w:asciiTheme="minorHAnsi" w:cstheme="minorBidi" w:eastAsiaTheme="minorEastAsia" w:hAnsiTheme="minorHAnsi"/>
      <w:kern w:val="2"/>
      <w:sz w:val="21"/>
      <w:szCs w:val="24"/>
      <w:lang w:bidi="ar-SA" w:eastAsia="zh-CN" w:val="en-US"/>
    </w:rPr>
  </w:style>
  <w:style w:styleId="2" w:type="paragraph">
    <w:name w:val="heading 2"/>
    <w:basedOn w:val="1"/>
    <w:next w:val="1"/>
    <w:unhideWhenUsed/>
    <w:qFormat/>
    <w:uiPriority w:val="0"/>
    <w:pPr>
      <w:keepNext/>
      <w:keepLines/>
      <w:spacing w:after="260" w:afterAutospacing="0" w:afterLines="0" w:before="260" w:beforeAutospacing="0" w:beforeLines="0" w:line="413" w:lineRule="auto"/>
      <w:outlineLvl w:val="1"/>
    </w:pPr>
    <w:rPr>
      <w:rFonts w:ascii="Arial" w:eastAsia="黑体" w:hAnsi="Arial"/>
      <w:b/>
      <w:sz w:val="32"/>
    </w:rPr>
  </w:style>
  <w:style w:default="1" w:styleId="6" w:type="character">
    <w:name w:val="Default Paragraph Font"/>
    <w:semiHidden/>
    <w:qFormat/>
    <w:uiPriority w:val="0"/>
  </w:style>
  <w:style w:default="1" w:styleId="4" w:type="table">
    <w:name w:val="Normal Table"/>
    <w:semiHidden/>
    <w:qFormat/>
    <w:uiPriority w:val="0"/>
    <w:tblPr>
      <w:tblCellMar>
        <w:top w:type="dxa" w:w="0"/>
        <w:left w:type="dxa" w:w="108"/>
        <w:bottom w:type="dxa" w:w="0"/>
        <w:right w:type="dxa" w:w="108"/>
      </w:tblCellMar>
    </w:tblPr>
  </w:style>
  <w:style w:styleId="3" w:type="paragraph">
    <w:name w:val="HTML Preformatted"/>
    <w:basedOn w:val="1"/>
    <w:uiPriority w:val="0"/>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left"/>
    </w:pPr>
    <w:rPr>
      <w:rFonts w:ascii="宋体" w:cs="宋体" w:eastAsia="宋体" w:hAnsi="宋体" w:hint="eastAsia"/>
      <w:kern w:val="0"/>
      <w:sz w:val="24"/>
      <w:szCs w:val="24"/>
      <w:lang w:bidi="ar" w:eastAsia="zh-CN" w:val="en-US"/>
    </w:rPr>
  </w:style>
  <w:style w:styleId="5" w:type="table">
    <w:name w:val="Table Grid"/>
    <w:basedOn w:val="4"/>
    <w:qFormat/>
    <w:uiPriority w:val="0"/>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2023-10-30T03:10:00Z</dcterms:created>
  <dc:creator>ct</dc:creator>
  <cp:lastModifiedBy>空白</cp:lastModifiedBy>
  <dcterms:modified xsi:type="dcterms:W3CDTF">2023-11-08T02:35:37Z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2052-12.1.0.15712</vt:lpwstr>
  </property>
  <property fmtid="{D5CDD505-2E9C-101B-9397-08002B2CF9AE}" name="ICV" pid="3">
    <vt:lpwstr>DE513D7F1DA64BA78ED3D63D32C30144_12</vt:lpwstr>
  </property>
</Properties>
</file>