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napToGrid w:val="0"/>
          <w:color w:val="auto"/>
          <w:kern w:val="0"/>
          <w:sz w:val="32"/>
          <w:szCs w:val="32"/>
          <w:highlight w:val="none"/>
          <w:u w:val="none"/>
          <w:lang w:val="en-US" w:eastAsia="zh-CN"/>
        </w:rPr>
      </w:pPr>
      <w:bookmarkStart w:id="0" w:name="_Toc8445"/>
      <w:r>
        <w:rPr>
          <w:rFonts w:hint="eastAsia" w:ascii="宋体" w:hAnsi="宋体" w:eastAsia="宋体" w:cs="宋体"/>
          <w:b/>
          <w:bCs/>
          <w:snapToGrid w:val="0"/>
          <w:color w:val="auto"/>
          <w:kern w:val="0"/>
          <w:sz w:val="32"/>
          <w:szCs w:val="32"/>
          <w:highlight w:val="none"/>
          <w:u w:val="none"/>
          <w:lang w:val="en-US" w:eastAsia="zh-CN"/>
        </w:rPr>
        <w:t>附件A-项目信息清单</w:t>
      </w:r>
    </w:p>
    <w:p>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auto"/>
          <w:kern w:val="0"/>
          <w:sz w:val="21"/>
          <w:szCs w:val="21"/>
          <w:highlight w:val="none"/>
          <w:u w:val="none"/>
          <w:lang w:val="en-US" w:eastAsia="zh-CN"/>
        </w:rPr>
      </w:pPr>
      <w:r>
        <w:rPr>
          <w:rFonts w:hint="eastAsia" w:ascii="宋体" w:hAnsi="宋体" w:eastAsia="宋体" w:cs="宋体"/>
          <w:b/>
          <w:bCs/>
          <w:snapToGrid w:val="0"/>
          <w:color w:val="auto"/>
          <w:kern w:val="0"/>
          <w:sz w:val="21"/>
          <w:szCs w:val="21"/>
          <w:highlight w:val="none"/>
          <w:u w:val="none"/>
          <w:lang w:val="en-US" w:eastAsia="zh-CN"/>
        </w:rPr>
        <w:t>标的名称：</w:t>
      </w:r>
      <w:r>
        <w:rPr>
          <w:rFonts w:hint="eastAsia" w:ascii="宋体" w:hAnsi="宋体" w:eastAsia="宋体" w:cs="宋体"/>
          <w:b/>
          <w:bCs/>
          <w:snapToGrid w:val="0"/>
          <w:color w:val="auto"/>
          <w:kern w:val="0"/>
          <w:sz w:val="21"/>
          <w:szCs w:val="21"/>
          <w:highlight w:val="none"/>
          <w:u w:val="single"/>
          <w:lang w:val="en-US" w:eastAsia="zh-CN"/>
        </w:rPr>
        <w:t xml:space="preserve"> </w:t>
      </w:r>
      <w:r>
        <w:rPr>
          <w:rFonts w:hint="eastAsia" w:hAnsi="宋体" w:cs="宋体"/>
          <w:b/>
          <w:bCs/>
          <w:snapToGrid w:val="0"/>
          <w:color w:val="auto"/>
          <w:kern w:val="0"/>
          <w:sz w:val="21"/>
          <w:szCs w:val="21"/>
          <w:highlight w:val="none"/>
          <w:u w:val="single"/>
          <w:lang w:val="en-US" w:eastAsia="zh-CN"/>
        </w:rPr>
        <w:t>广东电网有限责任公司佛山供电局南海供电局职工周转房建设项目施工</w:t>
      </w:r>
      <w:r>
        <w:rPr>
          <w:rFonts w:hint="eastAsia" w:ascii="宋体" w:hAnsi="宋体" w:eastAsia="宋体" w:cs="宋体"/>
          <w:b/>
          <w:bCs/>
          <w:snapToGrid w:val="0"/>
          <w:color w:val="auto"/>
          <w:kern w:val="0"/>
          <w:sz w:val="21"/>
          <w:szCs w:val="21"/>
          <w:highlight w:val="none"/>
          <w:u w:val="single"/>
          <w:lang w:val="en-US" w:eastAsia="zh-CN"/>
        </w:rPr>
        <w:t xml:space="preserve">  </w:t>
      </w:r>
      <w:r>
        <w:rPr>
          <w:rFonts w:hint="eastAsia" w:ascii="宋体" w:hAnsi="宋体" w:eastAsia="宋体" w:cs="宋体"/>
          <w:b/>
          <w:bCs/>
          <w:snapToGrid w:val="0"/>
          <w:color w:val="auto"/>
          <w:kern w:val="0"/>
          <w:sz w:val="21"/>
          <w:szCs w:val="21"/>
          <w:highlight w:val="none"/>
          <w:u w:val="none"/>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auto"/>
          <w:kern w:val="0"/>
          <w:sz w:val="21"/>
          <w:szCs w:val="21"/>
          <w:highlight w:val="none"/>
          <w:u w:val="none"/>
          <w:lang w:val="en-US" w:eastAsia="zh-CN"/>
        </w:rPr>
      </w:pPr>
      <w:r>
        <w:rPr>
          <w:rFonts w:hint="eastAsia" w:ascii="宋体" w:hAnsi="宋体" w:eastAsia="宋体" w:cs="宋体"/>
          <w:b/>
          <w:bCs/>
          <w:snapToGrid w:val="0"/>
          <w:color w:val="auto"/>
          <w:kern w:val="0"/>
          <w:sz w:val="21"/>
          <w:szCs w:val="21"/>
          <w:highlight w:val="none"/>
          <w:u w:val="none"/>
          <w:lang w:val="en-US" w:eastAsia="zh-CN"/>
        </w:rPr>
        <w:t>标段名称：</w:t>
      </w:r>
      <w:r>
        <w:rPr>
          <w:rFonts w:hint="eastAsia" w:hAnsi="宋体" w:cs="宋体"/>
          <w:b/>
          <w:bCs/>
          <w:snapToGrid w:val="0"/>
          <w:color w:val="auto"/>
          <w:kern w:val="0"/>
          <w:sz w:val="21"/>
          <w:szCs w:val="21"/>
          <w:highlight w:val="none"/>
          <w:u w:val="none"/>
          <w:lang w:val="en-US" w:eastAsia="zh-CN"/>
        </w:rPr>
        <w:t>广东电网有限责任公司佛山供电局南海供电局职工周转房建设项目施工</w:t>
      </w:r>
    </w:p>
    <w:p>
      <w:pPr>
        <w:pStyle w:val="9"/>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bCs/>
          <w:snapToGrid w:val="0"/>
          <w:color w:val="auto"/>
          <w:kern w:val="0"/>
          <w:sz w:val="21"/>
          <w:szCs w:val="21"/>
          <w:highlight w:val="none"/>
          <w:u w:val="none"/>
          <w:lang w:val="en-US" w:eastAsia="zh-CN"/>
        </w:rPr>
      </w:pPr>
      <w:r>
        <w:rPr>
          <w:rFonts w:hint="eastAsia" w:ascii="宋体" w:hAnsi="宋体" w:eastAsia="宋体" w:cs="宋体"/>
          <w:b/>
          <w:bCs/>
          <w:snapToGrid w:val="0"/>
          <w:color w:val="auto"/>
          <w:kern w:val="0"/>
          <w:sz w:val="21"/>
          <w:szCs w:val="21"/>
          <w:highlight w:val="none"/>
          <w:u w:val="none"/>
          <w:lang w:val="en-US" w:eastAsia="zh-CN"/>
        </w:rPr>
        <w:t>项目信息表</w:t>
      </w:r>
    </w:p>
    <w:tbl>
      <w:tblPr>
        <w:tblStyle w:val="13"/>
        <w:tblW w:w="24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2461"/>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iCs w:val="0"/>
                <w:snapToGrid w:val="0"/>
                <w:color w:val="auto"/>
                <w:kern w:val="0"/>
                <w:sz w:val="21"/>
                <w:szCs w:val="21"/>
                <w:highlight w:val="none"/>
                <w:u w:val="none"/>
                <w:vertAlign w:val="baseline"/>
                <w:lang w:val="en-US" w:eastAsia="zh-CN"/>
              </w:rPr>
            </w:pPr>
            <w:r>
              <w:rPr>
                <w:rFonts w:hint="eastAsia" w:ascii="宋体" w:hAnsi="宋体" w:eastAsia="宋体" w:cs="宋体"/>
                <w:b/>
                <w:bCs/>
                <w:i w:val="0"/>
                <w:iCs w:val="0"/>
                <w:snapToGrid w:val="0"/>
                <w:color w:val="auto"/>
                <w:kern w:val="0"/>
                <w:sz w:val="21"/>
                <w:szCs w:val="21"/>
                <w:highlight w:val="none"/>
                <w:u w:val="none"/>
                <w:vertAlign w:val="baseline"/>
                <w:lang w:val="en-US" w:eastAsia="zh-CN"/>
              </w:rPr>
              <w:t>序号</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i w:val="0"/>
                <w:iCs w:val="0"/>
                <w:snapToGrid w:val="0"/>
                <w:color w:val="auto"/>
                <w:kern w:val="0"/>
                <w:sz w:val="21"/>
                <w:szCs w:val="21"/>
                <w:highlight w:val="none"/>
                <w:u w:val="none"/>
                <w:vertAlign w:val="baseline"/>
                <w:lang w:val="en-US" w:eastAsia="zh-CN"/>
              </w:rPr>
            </w:pPr>
            <w:r>
              <w:rPr>
                <w:rFonts w:hint="eastAsia" w:ascii="宋体" w:hAnsi="宋体" w:eastAsia="宋体" w:cs="宋体"/>
                <w:b/>
                <w:bCs/>
                <w:i w:val="0"/>
                <w:iCs w:val="0"/>
                <w:snapToGrid w:val="0"/>
                <w:color w:val="auto"/>
                <w:kern w:val="0"/>
                <w:sz w:val="21"/>
                <w:szCs w:val="21"/>
                <w:highlight w:val="none"/>
                <w:u w:val="none"/>
                <w:vertAlign w:val="baseline"/>
                <w:lang w:val="en-US" w:eastAsia="zh-CN"/>
              </w:rPr>
              <w:t>条款名称</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i w:val="0"/>
                <w:iCs w:val="0"/>
                <w:snapToGrid w:val="0"/>
                <w:color w:val="auto"/>
                <w:kern w:val="0"/>
                <w:sz w:val="21"/>
                <w:szCs w:val="21"/>
                <w:highlight w:val="none"/>
                <w:u w:val="none"/>
                <w:vertAlign w:val="baseline"/>
                <w:lang w:val="en-US" w:eastAsia="zh-CN"/>
              </w:rPr>
            </w:pPr>
            <w:r>
              <w:rPr>
                <w:rFonts w:hint="eastAsia" w:ascii="宋体" w:hAnsi="宋体" w:eastAsia="宋体" w:cs="宋体"/>
                <w:b/>
                <w:bCs/>
                <w:i w:val="0"/>
                <w:iCs w:val="0"/>
                <w:snapToGrid w:val="0"/>
                <w:color w:val="auto"/>
                <w:kern w:val="0"/>
                <w:sz w:val="21"/>
                <w:szCs w:val="21"/>
                <w:highlight w:val="none"/>
                <w:u w:val="none"/>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1</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可研批复文号</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佛供电计〔2025〕50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2</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t>项目核准备案文号</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2509-440605-04-01-362969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3</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资金落实（投资计划）</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佛供电计〔2025〕62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4</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初设批复文号</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佛供电建〔2025〕154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bidi="ar-SA"/>
              </w:rPr>
              <w:t>5</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初设批复总投资</w:t>
            </w:r>
            <w:r>
              <w:rPr>
                <w:rFonts w:hint="eastAsia" w:hAnsi="宋体" w:cs="宋体"/>
                <w:color w:val="auto"/>
                <w:sz w:val="21"/>
                <w:szCs w:val="21"/>
                <w:highlight w:val="none"/>
                <w:lang w:eastAsia="zh-CN"/>
              </w:rPr>
              <w:t>（</w:t>
            </w:r>
            <w:r>
              <w:rPr>
                <w:rFonts w:hint="eastAsia" w:ascii="宋体" w:hAnsi="宋体" w:eastAsia="宋体" w:cs="宋体"/>
                <w:b w:val="0"/>
                <w:bCs w:val="0"/>
                <w:snapToGrid w:val="0"/>
                <w:color w:val="auto"/>
                <w:kern w:val="0"/>
                <w:sz w:val="21"/>
                <w:szCs w:val="21"/>
                <w:highlight w:val="none"/>
                <w:u w:val="none"/>
                <w:vertAlign w:val="baseline"/>
                <w:lang w:val="en-US" w:eastAsia="zh-CN"/>
              </w:rPr>
              <w:t>万元</w:t>
            </w:r>
            <w:r>
              <w:rPr>
                <w:rFonts w:hint="eastAsia" w:hAnsi="宋体" w:cs="宋体"/>
                <w:color w:val="auto"/>
                <w:sz w:val="21"/>
                <w:szCs w:val="21"/>
                <w:highlight w:val="none"/>
                <w:lang w:eastAsia="zh-CN"/>
              </w:rPr>
              <w:t>）</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bCs w:val="0"/>
                <w:i w:val="0"/>
                <w:iCs w:val="0"/>
                <w:color w:val="auto"/>
                <w:sz w:val="21"/>
                <w:szCs w:val="21"/>
                <w:highlight w:val="none"/>
                <w:u w:val="none"/>
                <w:vertAlign w:val="baseline"/>
                <w:lang w:val="en-US" w:eastAsia="zh-CN"/>
              </w:rPr>
            </w:pPr>
            <w:r>
              <w:rPr>
                <w:rFonts w:hint="eastAsia" w:hAnsi="宋体" w:cs="宋体"/>
                <w:b w:val="0"/>
                <w:bCs w:val="0"/>
                <w:snapToGrid w:val="0"/>
                <w:color w:val="auto"/>
                <w:kern w:val="0"/>
                <w:sz w:val="21"/>
                <w:szCs w:val="21"/>
                <w:highlight w:val="none"/>
                <w:u w:val="none"/>
                <w:vertAlign w:val="baseline"/>
                <w:lang w:val="en-US" w:eastAsia="zh-CN"/>
              </w:rPr>
              <w:t>995.68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6</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施工图设计批复文号</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hAnsi="宋体" w:cs="宋体"/>
                <w:b w:val="0"/>
                <w:bCs w:val="0"/>
                <w:snapToGrid w:val="0"/>
                <w:color w:val="auto"/>
                <w:kern w:val="0"/>
                <w:sz w:val="21"/>
                <w:szCs w:val="21"/>
                <w:highlight w:val="none"/>
                <w:u w:val="none"/>
                <w:vertAlign w:val="baseline"/>
                <w:lang w:val="en-US" w:eastAsia="zh-CN"/>
              </w:rPr>
              <w:t>佛供电建〔2025〕167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7</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招标类型</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施工图招标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8</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olor w:val="auto"/>
                <w:kern w:val="0"/>
                <w:sz w:val="21"/>
                <w:szCs w:val="21"/>
                <w:highlight w:val="none"/>
                <w:u w:val="none"/>
                <w:vertAlign w:val="baseline"/>
                <w:lang w:val="en-US" w:eastAsia="zh-CN" w:bidi="ar-SA"/>
              </w:rPr>
            </w:pPr>
            <w:r>
              <w:rPr>
                <w:rFonts w:hint="eastAsia" w:ascii="宋体" w:hAnsi="宋体" w:eastAsia="宋体" w:cs="宋体"/>
                <w:b w:val="0"/>
                <w:bCs w:val="0"/>
                <w:i w:val="0"/>
                <w:iCs w:val="0"/>
                <w:color w:val="auto"/>
                <w:sz w:val="21"/>
                <w:szCs w:val="21"/>
                <w:highlight w:val="none"/>
                <w:u w:val="none"/>
                <w:vertAlign w:val="baseline"/>
                <w:lang w:val="en-US" w:eastAsia="zh-CN"/>
              </w:rPr>
              <w:t>项目建设单位</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hAnsi="宋体" w:cs="宋体"/>
                <w:b w:val="0"/>
                <w:bCs w:val="0"/>
                <w:snapToGrid w:val="0"/>
                <w:color w:val="auto"/>
                <w:kern w:val="0"/>
                <w:sz w:val="21"/>
                <w:szCs w:val="21"/>
                <w:highlight w:val="none"/>
                <w:u w:val="none"/>
                <w:vertAlign w:val="baseline"/>
                <w:lang w:val="en-US" w:eastAsia="zh-CN"/>
              </w:rPr>
              <w:t>佛山</w:t>
            </w:r>
            <w:r>
              <w:rPr>
                <w:rFonts w:hint="eastAsia" w:ascii="宋体" w:hAnsi="宋体" w:eastAsia="宋体" w:cs="宋体"/>
                <w:b w:val="0"/>
                <w:bCs w:val="0"/>
                <w:snapToGrid w:val="0"/>
                <w:color w:val="auto"/>
                <w:kern w:val="0"/>
                <w:sz w:val="21"/>
                <w:szCs w:val="21"/>
                <w:highlight w:val="none"/>
                <w:u w:val="none"/>
                <w:vertAlign w:val="baseline"/>
                <w:lang w:val="en-US" w:eastAsia="zh-CN"/>
              </w:rPr>
              <w:t>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9</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项目建设地点</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hAnsi="宋体" w:cs="宋体"/>
                <w:b w:val="0"/>
                <w:bCs w:val="0"/>
                <w:snapToGrid w:val="0"/>
                <w:color w:val="auto"/>
                <w:kern w:val="0"/>
                <w:sz w:val="21"/>
                <w:szCs w:val="21"/>
                <w:highlight w:val="none"/>
                <w:u w:val="none"/>
                <w:vertAlign w:val="baseline"/>
                <w:lang w:val="en-US" w:eastAsia="zh-CN"/>
              </w:rPr>
              <w:t>佛山</w:t>
            </w:r>
            <w:r>
              <w:rPr>
                <w:rFonts w:hint="eastAsia" w:ascii="宋体" w:hAnsi="宋体" w:eastAsia="宋体" w:cs="宋体"/>
                <w:b w:val="0"/>
                <w:bCs w:val="0"/>
                <w:snapToGrid w:val="0"/>
                <w:color w:val="auto"/>
                <w:kern w:val="0"/>
                <w:sz w:val="21"/>
                <w:szCs w:val="21"/>
                <w:highlight w:val="none"/>
                <w:u w:val="none"/>
                <w:vertAlign w:val="baseline"/>
                <w:lang w:val="en-US"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10</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val="0"/>
              <w:spacing w:line="400" w:lineRule="atLeast"/>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工        期</w:t>
            </w:r>
          </w:p>
        </w:tc>
        <w:tc>
          <w:tcPr>
            <w:tcW w:w="2736"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val="0"/>
              <w:spacing w:line="400" w:lineRule="atLeast"/>
              <w:jc w:val="left"/>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计划工期：</w:t>
            </w:r>
            <w:r>
              <w:rPr>
                <w:rFonts w:hint="eastAsia" w:hAnsi="宋体" w:cs="宋体"/>
                <w:b w:val="0"/>
                <w:bCs w:val="0"/>
                <w:snapToGrid w:val="0"/>
                <w:color w:val="auto"/>
                <w:kern w:val="0"/>
                <w:sz w:val="21"/>
                <w:szCs w:val="21"/>
                <w:highlight w:val="none"/>
                <w:u w:val="none"/>
                <w:vertAlign w:val="baseline"/>
                <w:lang w:val="en-US" w:eastAsia="zh-CN"/>
              </w:rPr>
              <w:t>365</w:t>
            </w:r>
            <w:r>
              <w:rPr>
                <w:rFonts w:hint="eastAsia" w:ascii="宋体" w:hAnsi="宋体" w:eastAsia="宋体" w:cs="宋体"/>
                <w:b w:val="0"/>
                <w:bCs w:val="0"/>
                <w:snapToGrid w:val="0"/>
                <w:color w:val="auto"/>
                <w:kern w:val="0"/>
                <w:sz w:val="21"/>
                <w:szCs w:val="21"/>
                <w:highlight w:val="none"/>
                <w:u w:val="none"/>
                <w:vertAlign w:val="baseline"/>
                <w:lang w:val="en-US" w:eastAsia="zh-CN"/>
              </w:rPr>
              <w:t>日历天</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val="0"/>
              <w:spacing w:line="400" w:lineRule="atLeast"/>
              <w:jc w:val="left"/>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计划开工日期：20</w:t>
            </w:r>
            <w:r>
              <w:rPr>
                <w:rFonts w:hint="eastAsia" w:hAnsi="宋体" w:cs="宋体"/>
                <w:b w:val="0"/>
                <w:bCs w:val="0"/>
                <w:snapToGrid w:val="0"/>
                <w:color w:val="auto"/>
                <w:kern w:val="0"/>
                <w:sz w:val="21"/>
                <w:szCs w:val="21"/>
                <w:highlight w:val="none"/>
                <w:u w:val="none"/>
                <w:vertAlign w:val="baseline"/>
                <w:lang w:val="en-US" w:eastAsia="zh-CN"/>
              </w:rPr>
              <w:t>25</w:t>
            </w:r>
            <w:r>
              <w:rPr>
                <w:rFonts w:hint="eastAsia" w:ascii="宋体" w:hAnsi="宋体" w:eastAsia="宋体" w:cs="宋体"/>
                <w:b w:val="0"/>
                <w:bCs w:val="0"/>
                <w:snapToGrid w:val="0"/>
                <w:color w:val="auto"/>
                <w:kern w:val="0"/>
                <w:sz w:val="21"/>
                <w:szCs w:val="21"/>
                <w:highlight w:val="none"/>
                <w:u w:val="none"/>
                <w:vertAlign w:val="baseline"/>
                <w:lang w:val="en-US" w:eastAsia="zh-CN"/>
              </w:rPr>
              <w:t>年</w:t>
            </w:r>
            <w:r>
              <w:rPr>
                <w:rFonts w:hint="eastAsia" w:hAnsi="宋体" w:cs="宋体"/>
                <w:b w:val="0"/>
                <w:bCs w:val="0"/>
                <w:snapToGrid w:val="0"/>
                <w:color w:val="auto"/>
                <w:kern w:val="0"/>
                <w:sz w:val="21"/>
                <w:szCs w:val="21"/>
                <w:highlight w:val="none"/>
                <w:u w:val="none"/>
                <w:vertAlign w:val="baseline"/>
                <w:lang w:val="en-US" w:eastAsia="zh-CN"/>
              </w:rPr>
              <w:t>12</w:t>
            </w:r>
            <w:r>
              <w:rPr>
                <w:rFonts w:hint="eastAsia" w:ascii="宋体" w:hAnsi="宋体" w:eastAsia="宋体" w:cs="宋体"/>
                <w:b w:val="0"/>
                <w:bCs w:val="0"/>
                <w:snapToGrid w:val="0"/>
                <w:color w:val="auto"/>
                <w:kern w:val="0"/>
                <w:sz w:val="21"/>
                <w:szCs w:val="21"/>
                <w:highlight w:val="none"/>
                <w:u w:val="none"/>
                <w:vertAlign w:val="baseline"/>
                <w:lang w:val="en-US" w:eastAsia="zh-CN"/>
              </w:rPr>
              <w:t>月</w:t>
            </w:r>
            <w:r>
              <w:rPr>
                <w:rFonts w:hint="eastAsia" w:hAnsi="宋体" w:cs="宋体"/>
                <w:b w:val="0"/>
                <w:bCs w:val="0"/>
                <w:snapToGrid w:val="0"/>
                <w:color w:val="auto"/>
                <w:kern w:val="0"/>
                <w:sz w:val="21"/>
                <w:szCs w:val="21"/>
                <w:highlight w:val="none"/>
                <w:u w:val="none"/>
                <w:vertAlign w:val="baseline"/>
                <w:lang w:val="en-US" w:eastAsia="zh-CN"/>
              </w:rPr>
              <w:t>30</w:t>
            </w:r>
            <w:r>
              <w:rPr>
                <w:rFonts w:hint="eastAsia" w:ascii="宋体" w:hAnsi="宋体" w:eastAsia="宋体" w:cs="宋体"/>
                <w:b w:val="0"/>
                <w:bCs w:val="0"/>
                <w:snapToGrid w:val="0"/>
                <w:color w:val="auto"/>
                <w:kern w:val="0"/>
                <w:sz w:val="21"/>
                <w:szCs w:val="21"/>
                <w:highlight w:val="none"/>
                <w:u w:val="none"/>
                <w:vertAlign w:val="baseline"/>
                <w:lang w:val="en-US" w:eastAsia="zh-CN"/>
              </w:rPr>
              <w:t>日</w:t>
            </w:r>
          </w:p>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val="0"/>
              <w:spacing w:line="400" w:lineRule="atLeast"/>
              <w:jc w:val="left"/>
              <w:textAlignment w:val="auto"/>
              <w:rPr>
                <w:rFonts w:hint="eastAsia" w:ascii="宋体" w:hAnsi="宋体" w:eastAsia="宋体" w:cs="宋体"/>
                <w:b w:val="0"/>
                <w:bCs w:val="0"/>
                <w:i w:val="0"/>
                <w:iCs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计划竣工日期：20</w:t>
            </w:r>
            <w:r>
              <w:rPr>
                <w:rFonts w:hint="eastAsia" w:hAnsi="宋体" w:cs="宋体"/>
                <w:b w:val="0"/>
                <w:bCs w:val="0"/>
                <w:snapToGrid w:val="0"/>
                <w:color w:val="auto"/>
                <w:kern w:val="0"/>
                <w:sz w:val="21"/>
                <w:szCs w:val="21"/>
                <w:highlight w:val="none"/>
                <w:u w:val="none"/>
                <w:vertAlign w:val="baseline"/>
                <w:lang w:val="en-US" w:eastAsia="zh-CN"/>
              </w:rPr>
              <w:t>26</w:t>
            </w:r>
            <w:r>
              <w:rPr>
                <w:rFonts w:hint="eastAsia" w:ascii="宋体" w:hAnsi="宋体" w:eastAsia="宋体" w:cs="宋体"/>
                <w:b w:val="0"/>
                <w:bCs w:val="0"/>
                <w:snapToGrid w:val="0"/>
                <w:color w:val="auto"/>
                <w:kern w:val="0"/>
                <w:sz w:val="21"/>
                <w:szCs w:val="21"/>
                <w:highlight w:val="none"/>
                <w:u w:val="none"/>
                <w:vertAlign w:val="baseline"/>
                <w:lang w:val="en-US" w:eastAsia="zh-CN"/>
              </w:rPr>
              <w:t>年</w:t>
            </w:r>
            <w:r>
              <w:rPr>
                <w:rFonts w:hint="eastAsia" w:hAnsi="宋体" w:cs="宋体"/>
                <w:b w:val="0"/>
                <w:bCs w:val="0"/>
                <w:snapToGrid w:val="0"/>
                <w:color w:val="auto"/>
                <w:kern w:val="0"/>
                <w:sz w:val="21"/>
                <w:szCs w:val="21"/>
                <w:highlight w:val="none"/>
                <w:u w:val="none"/>
                <w:vertAlign w:val="baseline"/>
                <w:lang w:val="en-US" w:eastAsia="zh-CN"/>
              </w:rPr>
              <w:t>12</w:t>
            </w:r>
            <w:r>
              <w:rPr>
                <w:rFonts w:hint="eastAsia" w:ascii="宋体" w:hAnsi="宋体" w:eastAsia="宋体" w:cs="宋体"/>
                <w:b w:val="0"/>
                <w:bCs w:val="0"/>
                <w:snapToGrid w:val="0"/>
                <w:color w:val="auto"/>
                <w:kern w:val="0"/>
                <w:sz w:val="21"/>
                <w:szCs w:val="21"/>
                <w:highlight w:val="none"/>
                <w:u w:val="none"/>
                <w:vertAlign w:val="baseline"/>
                <w:lang w:val="en-US" w:eastAsia="zh-CN"/>
              </w:rPr>
              <w:t>月</w:t>
            </w:r>
            <w:r>
              <w:rPr>
                <w:rFonts w:hint="eastAsia" w:hAnsi="宋体" w:cs="宋体"/>
                <w:b w:val="0"/>
                <w:bCs w:val="0"/>
                <w:snapToGrid w:val="0"/>
                <w:color w:val="auto"/>
                <w:kern w:val="0"/>
                <w:sz w:val="21"/>
                <w:szCs w:val="21"/>
                <w:highlight w:val="none"/>
                <w:u w:val="none"/>
                <w:vertAlign w:val="baseline"/>
                <w:lang w:val="en-US" w:eastAsia="zh-CN"/>
              </w:rPr>
              <w:t>30</w:t>
            </w:r>
            <w:r>
              <w:rPr>
                <w:rFonts w:hint="eastAsia" w:ascii="宋体" w:hAnsi="宋体" w:eastAsia="宋体" w:cs="宋体"/>
                <w:b w:val="0"/>
                <w:bCs w:val="0"/>
                <w:snapToGrid w:val="0"/>
                <w:color w:val="auto"/>
                <w:kern w:val="0"/>
                <w:sz w:val="21"/>
                <w:szCs w:val="21"/>
                <w:highlight w:val="none"/>
                <w:u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11</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t>项目可研单位</w:t>
            </w:r>
          </w:p>
        </w:tc>
        <w:tc>
          <w:tcPr>
            <w:tcW w:w="2736" w:type="pc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广东省建筑设计研究院集团股份有限公司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12</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t>项目勘察设计单位</w:t>
            </w:r>
          </w:p>
        </w:tc>
        <w:tc>
          <w:tcPr>
            <w:tcW w:w="2736" w:type="pc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i w:val="0"/>
                <w:iCs w:val="0"/>
                <w:color w:val="auto"/>
                <w:kern w:val="0"/>
                <w:sz w:val="21"/>
                <w:szCs w:val="21"/>
                <w:highlight w:val="none"/>
                <w:u w:val="none"/>
                <w:vertAlign w:val="baseline"/>
                <w:lang w:val="en-US" w:eastAsia="zh-CN" w:bidi="ar-SA"/>
              </w:rPr>
            </w:pPr>
            <w:r>
              <w:rPr>
                <w:rFonts w:hint="eastAsia" w:ascii="宋体" w:hAnsi="宋体" w:eastAsia="宋体" w:cs="宋体"/>
                <w:b w:val="0"/>
                <w:bCs w:val="0"/>
                <w:snapToGrid w:val="0"/>
                <w:color w:val="auto"/>
                <w:kern w:val="0"/>
                <w:sz w:val="21"/>
                <w:szCs w:val="21"/>
                <w:highlight w:val="none"/>
                <w:u w:val="none"/>
                <w:vertAlign w:val="baseline"/>
                <w:lang w:val="en-US" w:eastAsia="zh-CN"/>
              </w:rPr>
              <w:t>广东省建筑设计研究院集团股份有限公司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8"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13</w:t>
            </w:r>
          </w:p>
        </w:tc>
        <w:tc>
          <w:tcPr>
            <w:tcW w:w="1805" w:type="pct"/>
            <w:vAlign w:val="center"/>
          </w:tcPr>
          <w:p>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i w:val="0"/>
                <w:iCs w:val="0"/>
                <w:snapToGrid w:val="0"/>
                <w:color w:val="auto"/>
                <w:kern w:val="0"/>
                <w:sz w:val="21"/>
                <w:szCs w:val="21"/>
                <w:highlight w:val="none"/>
                <w:u w:val="none"/>
                <w:vertAlign w:val="baseline"/>
                <w:lang w:val="en-US" w:eastAsia="zh-CN"/>
              </w:rPr>
            </w:pPr>
            <w:r>
              <w:rPr>
                <w:rFonts w:hint="eastAsia" w:ascii="宋体" w:hAnsi="宋体" w:eastAsia="宋体" w:cs="宋体"/>
                <w:b w:val="0"/>
                <w:bCs w:val="0"/>
                <w:snapToGrid w:val="0"/>
                <w:color w:val="auto"/>
                <w:kern w:val="0"/>
                <w:sz w:val="21"/>
                <w:szCs w:val="21"/>
                <w:highlight w:val="none"/>
                <w:u w:val="none"/>
                <w:vertAlign w:val="baseline"/>
                <w:lang w:val="en-US" w:eastAsia="zh-CN"/>
              </w:rPr>
              <w:t>项目监理单位</w:t>
            </w:r>
          </w:p>
        </w:tc>
        <w:tc>
          <w:tcPr>
            <w:tcW w:w="2736" w:type="pc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snapToGrid w:val="0"/>
                <w:color w:val="auto"/>
                <w:kern w:val="0"/>
                <w:sz w:val="21"/>
                <w:szCs w:val="21"/>
                <w:highlight w:val="none"/>
                <w:u w:val="none"/>
                <w:vertAlign w:val="baseline"/>
                <w:lang w:val="en-US" w:eastAsia="zh-CN"/>
              </w:rPr>
            </w:pPr>
            <w:r>
              <w:rPr>
                <w:rFonts w:hint="eastAsia" w:ascii="宋体" w:hAnsi="宋体" w:cs="宋体"/>
                <w:b w:val="0"/>
                <w:bCs w:val="0"/>
                <w:snapToGrid w:val="0"/>
                <w:color w:val="auto"/>
                <w:kern w:val="0"/>
                <w:sz w:val="21"/>
                <w:szCs w:val="21"/>
                <w:highlight w:val="none"/>
                <w:u w:val="none"/>
                <w:vertAlign w:val="baseline"/>
                <w:lang w:val="en-US" w:eastAsia="zh-CN"/>
              </w:rPr>
              <w:t>暂无</w:t>
            </w:r>
          </w:p>
        </w:tc>
      </w:tr>
    </w:tbl>
    <w:p>
      <w:pPr>
        <w:pStyle w:val="9"/>
        <w:keepNext w:val="0"/>
        <w:keepLines w:val="0"/>
        <w:pageBreakBefore w:val="0"/>
        <w:widowControl w:val="0"/>
        <w:shd w:val="clear" w:color="auto" w:fill="auto"/>
        <w:kinsoku/>
        <w:wordWrap/>
        <w:overflowPunct/>
        <w:topLinePunct w:val="0"/>
        <w:autoSpaceDE/>
        <w:autoSpaceDN/>
        <w:bidi w:val="0"/>
        <w:adjustRightInd/>
        <w:snapToGrid/>
        <w:spacing w:line="480" w:lineRule="exact"/>
        <w:jc w:val="left"/>
        <w:textAlignment w:val="auto"/>
        <w:outlineLvl w:val="0"/>
        <w:rPr>
          <w:rFonts w:hint="eastAsia" w:ascii="宋体" w:hAnsi="宋体" w:eastAsia="宋体" w:cs="宋体"/>
          <w:b/>
          <w:bCs/>
          <w:snapToGrid w:val="0"/>
          <w:color w:val="auto"/>
          <w:kern w:val="0"/>
          <w:sz w:val="28"/>
          <w:szCs w:val="28"/>
          <w:highlight w:val="none"/>
          <w:u w:val="none"/>
          <w:lang w:val="en-US" w:eastAsia="zh-CN"/>
        </w:rPr>
        <w:sectPr>
          <w:pgSz w:w="16838" w:h="11906" w:orient="landscape"/>
          <w:pgMar w:top="2098" w:right="1474" w:bottom="1984" w:left="1587" w:header="851" w:footer="992" w:gutter="0"/>
          <w:cols w:space="425" w:num="1"/>
          <w:rtlGutter w:val="0"/>
          <w:docGrid w:type="lines" w:linePitch="312" w:charSpace="0"/>
        </w:sectPr>
      </w:pPr>
    </w:p>
    <w:p>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b/>
          <w:bCs/>
          <w:snapToGrid w:val="0"/>
          <w:color w:val="auto"/>
          <w:kern w:val="0"/>
          <w:sz w:val="28"/>
          <w:szCs w:val="28"/>
          <w:highlight w:val="none"/>
          <w:u w:val="none"/>
          <w:lang w:val="en-US" w:eastAsia="zh-CN"/>
        </w:rPr>
      </w:pPr>
      <w:r>
        <w:rPr>
          <w:rFonts w:hint="eastAsia" w:ascii="宋体" w:hAnsi="宋体" w:eastAsia="宋体" w:cs="宋体"/>
          <w:b/>
          <w:bCs/>
          <w:snapToGrid w:val="0"/>
          <w:color w:val="auto"/>
          <w:kern w:val="0"/>
          <w:sz w:val="28"/>
          <w:szCs w:val="28"/>
          <w:highlight w:val="none"/>
          <w:u w:val="none"/>
          <w:lang w:val="en-US" w:eastAsia="zh-CN"/>
        </w:rPr>
        <w:t>（一）项目概况：</w:t>
      </w:r>
      <w:bookmarkEnd w:id="0"/>
      <w:bookmarkStart w:id="1" w:name="_Toc4755"/>
      <w:bookmarkStart w:id="2" w:name="_Toc13498"/>
      <w:bookmarkStart w:id="3" w:name="_Toc28718"/>
    </w:p>
    <w:bookmarkEnd w:id="1"/>
    <w:bookmarkEnd w:id="2"/>
    <w:bookmarkEnd w:id="3"/>
    <w:p>
      <w:pPr>
        <w:pStyle w:val="9"/>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w:t>
      </w:r>
      <w:r>
        <w:rPr>
          <w:rFonts w:hint="eastAsia" w:hAnsi="宋体" w:cs="宋体"/>
          <w:b/>
          <w:color w:val="auto"/>
          <w:sz w:val="28"/>
          <w:szCs w:val="28"/>
          <w:highlight w:val="none"/>
          <w:lang w:eastAsia="zh-CN"/>
        </w:rPr>
        <w:t>广东电网有限责任公司佛山供电局南海供电局职工周转房建设项目施工</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bCs/>
          <w:color w:val="auto"/>
          <w:sz w:val="28"/>
          <w:szCs w:val="28"/>
          <w:highlight w:val="none"/>
        </w:rPr>
        <w:t>广东电网有限责任公司佛山供电局南海供电局职工周转房建设项目施工由广东电网有限责任公司佛山供电局建设，建设地址：广东省佛山市。本项目位于佛山市南海区桂澜路桂海花园内，用地面积1327.71平方米，拟建建筑总建筑面积2035.58平方米，为4栋多层住宅建筑，建筑高度14.9米，地上4层，不设地下室。其中1#住宅、2#住宅建筑面积均为572.22平方米，3#住宅471.36平方米，4#住宅419.78平方米，建筑基地面积605.41平方米，建筑密度46%。</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u w:val="single"/>
        </w:rPr>
        <w:t>注：具体建设规模以施工图纸为准。</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
          <w:color w:val="auto"/>
          <w:sz w:val="28"/>
          <w:szCs w:val="28"/>
          <w:highlight w:val="none"/>
          <w:u w:val="single"/>
        </w:rPr>
      </w:pPr>
    </w:p>
    <w:p>
      <w:pPr>
        <w:pStyle w:val="9"/>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0"/>
        <w:rPr>
          <w:rFonts w:hint="eastAsia" w:ascii="宋体" w:hAnsi="宋体" w:eastAsia="宋体" w:cs="宋体"/>
          <w:snapToGrid w:val="0"/>
          <w:color w:val="auto"/>
          <w:kern w:val="0"/>
          <w:sz w:val="28"/>
          <w:szCs w:val="28"/>
          <w:highlight w:val="none"/>
          <w:u w:val="single"/>
        </w:rPr>
      </w:pPr>
      <w:r>
        <w:rPr>
          <w:rFonts w:hint="eastAsia" w:ascii="宋体" w:hAnsi="宋体" w:eastAsia="宋体" w:cs="宋体"/>
          <w:b/>
          <w:bCs/>
          <w:snapToGrid w:val="0"/>
          <w:color w:val="auto"/>
          <w:kern w:val="0"/>
          <w:sz w:val="28"/>
          <w:szCs w:val="28"/>
          <w:highlight w:val="none"/>
          <w:u w:val="none"/>
          <w:lang w:val="en-US" w:eastAsia="zh-CN"/>
        </w:rPr>
        <w:t>（二）采购范围：</w:t>
      </w:r>
      <w:bookmarkStart w:id="4" w:name="施工招标范围综合"/>
      <w:r>
        <w:rPr>
          <w:rFonts w:hint="eastAsia" w:ascii="宋体" w:hAnsi="宋体" w:eastAsia="宋体" w:cs="宋体"/>
          <w:b/>
          <w:bCs/>
          <w:snapToGrid w:val="0"/>
          <w:color w:val="auto"/>
          <w:kern w:val="0"/>
          <w:sz w:val="28"/>
          <w:szCs w:val="28"/>
          <w:highlight w:val="none"/>
          <w:u w:val="single"/>
        </w:rPr>
        <w:t>包括施工图范围内的建筑、安装及调试工程。施工图范围内的下列工作内容，无□及</w:t>
      </w:r>
      <w:r>
        <w:rPr>
          <w:rFonts w:hint="eastAsia" w:ascii="宋体" w:hAnsi="宋体" w:eastAsia="宋体" w:cs="宋体"/>
          <w:b/>
          <w:bCs/>
          <w:snapToGrid w:val="0"/>
          <w:color w:val="auto"/>
          <w:kern w:val="0"/>
          <w:sz w:val="28"/>
          <w:szCs w:val="28"/>
          <w:highlight w:val="none"/>
          <w:u w:val="single"/>
        </w:rPr>
        <w:fldChar w:fldCharType="begin"/>
      </w:r>
      <w:r>
        <w:rPr>
          <w:rFonts w:hint="eastAsia" w:ascii="宋体" w:hAnsi="宋体" w:eastAsia="宋体" w:cs="宋体"/>
          <w:b/>
          <w:bCs/>
          <w:snapToGrid w:val="0"/>
          <w:color w:val="auto"/>
          <w:kern w:val="0"/>
          <w:sz w:val="28"/>
          <w:szCs w:val="28"/>
          <w:highlight w:val="none"/>
          <w:u w:val="single"/>
        </w:rPr>
        <w:instrText xml:space="preserve"> EQ \o\ac(</w:instrText>
      </w:r>
      <w:r>
        <w:rPr>
          <w:rFonts w:hint="eastAsia" w:ascii="宋体" w:hAnsi="宋体" w:eastAsia="宋体" w:cs="宋体"/>
          <w:b/>
          <w:bCs/>
          <w:snapToGrid w:val="0"/>
          <w:color w:val="auto"/>
          <w:kern w:val="0"/>
          <w:position w:val="-5"/>
          <w:sz w:val="42"/>
          <w:szCs w:val="28"/>
          <w:highlight w:val="none"/>
          <w:u w:val="single"/>
        </w:rPr>
        <w:instrText xml:space="preserve">□</w:instrText>
      </w:r>
      <w:r>
        <w:rPr>
          <w:rFonts w:hint="eastAsia" w:ascii="宋体" w:hAnsi="宋体" w:eastAsia="宋体" w:cs="宋体"/>
          <w:b/>
          <w:bCs/>
          <w:snapToGrid w:val="0"/>
          <w:color w:val="auto"/>
          <w:kern w:val="0"/>
          <w:position w:val="0"/>
          <w:sz w:val="28"/>
          <w:szCs w:val="28"/>
          <w:highlight w:val="none"/>
          <w:u w:val="single"/>
        </w:rPr>
        <w:instrText xml:space="preserve">,√)</w:instrText>
      </w:r>
      <w:r>
        <w:rPr>
          <w:rFonts w:hint="eastAsia" w:ascii="宋体" w:hAnsi="宋体" w:eastAsia="宋体" w:cs="宋体"/>
          <w:b/>
          <w:bCs/>
          <w:snapToGrid w:val="0"/>
          <w:color w:val="auto"/>
          <w:kern w:val="0"/>
          <w:sz w:val="28"/>
          <w:szCs w:val="28"/>
          <w:highlight w:val="none"/>
          <w:u w:val="single"/>
        </w:rPr>
        <w:fldChar w:fldCharType="end"/>
      </w:r>
      <w:r>
        <w:rPr>
          <w:rFonts w:hint="eastAsia" w:ascii="宋体" w:hAnsi="宋体" w:eastAsia="宋体" w:cs="宋体"/>
          <w:b/>
          <w:bCs/>
          <w:snapToGrid w:val="0"/>
          <w:color w:val="auto"/>
          <w:kern w:val="0"/>
          <w:sz w:val="28"/>
          <w:szCs w:val="28"/>
          <w:highlight w:val="none"/>
          <w:u w:val="single"/>
        </w:rPr>
        <w:t>的为本次报价范围；□未打√的，不在本次报价范围内</w:t>
      </w:r>
      <w:bookmarkEnd w:id="4"/>
      <w:r>
        <w:rPr>
          <w:rFonts w:hint="eastAsia" w:ascii="宋体" w:hAnsi="宋体" w:eastAsia="宋体" w:cs="宋体"/>
          <w:b/>
          <w:bCs/>
          <w:snapToGrid w:val="0"/>
          <w:color w:val="auto"/>
          <w:kern w:val="0"/>
          <w:sz w:val="28"/>
          <w:szCs w:val="28"/>
          <w:highlight w:val="none"/>
          <w:u w:val="single"/>
        </w:rPr>
        <w:t>，特殊情况在“其他”中说明。</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1.</w:t>
      </w:r>
      <w:r>
        <w:rPr>
          <w:rFonts w:hint="eastAsia" w:hAnsi="宋体" w:cs="宋体"/>
          <w:b/>
          <w:color w:val="auto"/>
          <w:sz w:val="28"/>
          <w:szCs w:val="28"/>
          <w:highlight w:val="none"/>
          <w:lang w:eastAsia="zh-CN"/>
        </w:rPr>
        <w:t>广东电网有限责任公司佛山供电局南海供电局职工周转房建设项目施工</w:t>
      </w:r>
    </w:p>
    <w:p>
      <w:pPr>
        <w:pStyle w:val="9"/>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施工图纸范围内的建筑、安装工程，包括土石方工程、桩基工程、结构建筑工程、室内装修工程、外立面装修工程、室内给排水工程、通风工程、电气工程（含防雷接地）、智能化工程、电梯工程、道路及场地工程、围墙工程（含大门）、室外给排水工程、室外电气工程、室外管道切割及旁路管件安装工程、临水临电接入，工程配套的措施项目等。具体内容以施工图纸及招标工程量清单为准</w:t>
      </w:r>
      <w:r>
        <w:rPr>
          <w:rFonts w:hint="eastAsia" w:hAnsi="宋体" w:cs="宋体"/>
          <w:bCs/>
          <w:color w:val="auto"/>
          <w:sz w:val="28"/>
          <w:szCs w:val="28"/>
          <w:highlight w:val="none"/>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
          <w:bCs/>
          <w:snapToGrid w:val="0"/>
          <w:color w:val="auto"/>
          <w:kern w:val="0"/>
          <w:sz w:val="28"/>
          <w:szCs w:val="28"/>
          <w:highlight w:val="none"/>
          <w:lang w:eastAsia="zh-CN"/>
        </w:rPr>
        <w:t>（</w:t>
      </w:r>
      <w:r>
        <w:rPr>
          <w:rFonts w:hint="eastAsia" w:ascii="宋体" w:hAnsi="宋体" w:eastAsia="宋体" w:cs="宋体"/>
          <w:b/>
          <w:bCs/>
          <w:snapToGrid w:val="0"/>
          <w:color w:val="auto"/>
          <w:kern w:val="0"/>
          <w:sz w:val="28"/>
          <w:szCs w:val="28"/>
          <w:highlight w:val="none"/>
          <w:lang w:val="en-US" w:eastAsia="zh-CN"/>
        </w:rPr>
        <w:t>三</w:t>
      </w:r>
      <w:r>
        <w:rPr>
          <w:rFonts w:hint="eastAsia" w:ascii="宋体" w:hAnsi="宋体" w:eastAsia="宋体" w:cs="宋体"/>
          <w:b/>
          <w:bCs/>
          <w:snapToGrid w:val="0"/>
          <w:color w:val="auto"/>
          <w:kern w:val="0"/>
          <w:sz w:val="28"/>
          <w:szCs w:val="28"/>
          <w:highlight w:val="none"/>
          <w:lang w:eastAsia="zh-CN"/>
        </w:rPr>
        <w:t>）</w:t>
      </w:r>
      <w:r>
        <w:rPr>
          <w:rFonts w:hint="eastAsia" w:ascii="宋体" w:hAnsi="宋体" w:eastAsia="宋体" w:cs="宋体"/>
          <w:b/>
          <w:bCs/>
          <w:snapToGrid w:val="0"/>
          <w:color w:val="auto"/>
          <w:kern w:val="0"/>
          <w:sz w:val="28"/>
          <w:szCs w:val="28"/>
          <w:highlight w:val="none"/>
        </w:rPr>
        <w:t>承包方式：</w:t>
      </w:r>
      <w:r>
        <w:rPr>
          <w:rFonts w:hint="eastAsia" w:ascii="宋体" w:hAnsi="宋体" w:eastAsia="宋体" w:cs="宋体"/>
          <w:b/>
          <w:bCs/>
          <w:snapToGrid w:val="0"/>
          <w:color w:val="auto"/>
          <w:kern w:val="0"/>
          <w:sz w:val="28"/>
          <w:szCs w:val="28"/>
          <w:highlight w:val="none"/>
          <w:u w:val="single"/>
        </w:rPr>
        <w:t>包工包料</w:t>
      </w:r>
      <w:r>
        <w:rPr>
          <w:rFonts w:hint="eastAsia" w:hAnsi="宋体" w:cs="宋体"/>
          <w:b/>
          <w:bCs/>
          <w:snapToGrid w:val="0"/>
          <w:color w:val="auto"/>
          <w:kern w:val="0"/>
          <w:sz w:val="28"/>
          <w:szCs w:val="28"/>
          <w:highlight w:val="none"/>
          <w:u w:val="single"/>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val="0"/>
        <w:snapToGrid w:val="0"/>
        <w:spacing w:line="560" w:lineRule="exact"/>
        <w:textAlignment w:val="auto"/>
        <w:rPr>
          <w:rFonts w:hint="eastAsia" w:ascii="宋体" w:hAnsi="宋体" w:eastAsia="宋体" w:cs="宋体"/>
          <w:b/>
          <w:bCs/>
          <w:snapToGrid w:val="0"/>
          <w:color w:val="auto"/>
          <w:kern w:val="0"/>
          <w:sz w:val="28"/>
          <w:szCs w:val="28"/>
          <w:highlight w:val="none"/>
          <w:lang w:val="en-US" w:eastAsia="zh-CN"/>
        </w:rPr>
      </w:pPr>
      <w:r>
        <w:rPr>
          <w:rFonts w:hint="eastAsia" w:ascii="宋体" w:hAnsi="宋体" w:eastAsia="宋体" w:cs="宋体"/>
          <w:b/>
          <w:bCs/>
          <w:snapToGrid w:val="0"/>
          <w:color w:val="auto"/>
          <w:kern w:val="0"/>
          <w:sz w:val="28"/>
          <w:szCs w:val="28"/>
          <w:highlight w:val="none"/>
          <w:lang w:val="en-US" w:eastAsia="zh-CN"/>
        </w:rPr>
        <w:t>（四）</w:t>
      </w:r>
      <w:r>
        <w:rPr>
          <w:rFonts w:hint="eastAsia" w:hAnsi="宋体" w:cs="宋体"/>
          <w:b/>
          <w:bCs/>
          <w:snapToGrid w:val="0"/>
          <w:color w:val="auto"/>
          <w:kern w:val="0"/>
          <w:sz w:val="28"/>
          <w:szCs w:val="28"/>
          <w:highlight w:val="none"/>
          <w:lang w:val="en-US" w:eastAsia="zh-CN"/>
        </w:rPr>
        <w:t>施工最高投标限价</w:t>
      </w:r>
      <w:r>
        <w:rPr>
          <w:rFonts w:hint="eastAsia" w:ascii="宋体" w:hAnsi="宋体" w:eastAsia="宋体" w:cs="宋体"/>
          <w:b/>
          <w:bCs/>
          <w:snapToGrid w:val="0"/>
          <w:color w:val="auto"/>
          <w:kern w:val="0"/>
          <w:sz w:val="28"/>
          <w:szCs w:val="28"/>
          <w:highlight w:val="none"/>
          <w:lang w:val="en-US" w:eastAsia="zh-CN"/>
        </w:rPr>
        <w:t>编制依据及原则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1、依据</w:t>
      </w:r>
      <w:r>
        <w:rPr>
          <w:rFonts w:hint="eastAsia" w:hAnsi="宋体" w:cs="宋体"/>
          <w:b w:val="0"/>
          <w:bCs w:val="0"/>
          <w:snapToGrid w:val="0"/>
          <w:color w:val="auto"/>
          <w:kern w:val="0"/>
          <w:sz w:val="28"/>
          <w:szCs w:val="28"/>
          <w:highlight w:val="none"/>
          <w:lang w:val="en-US" w:eastAsia="zh-CN"/>
        </w:rPr>
        <w:t>：</w:t>
      </w:r>
      <w:r>
        <w:rPr>
          <w:rFonts w:hint="eastAsia" w:ascii="宋体" w:hAnsi="宋体" w:eastAsia="宋体" w:cs="宋体"/>
          <w:b w:val="0"/>
          <w:bCs w:val="0"/>
          <w:snapToGrid w:val="0"/>
          <w:color w:val="auto"/>
          <w:kern w:val="0"/>
          <w:sz w:val="28"/>
          <w:szCs w:val="28"/>
          <w:highlight w:val="none"/>
          <w:lang w:val="en-US" w:eastAsia="zh-CN"/>
        </w:rPr>
        <w:t>本工程施工招标文件及招标图纸。</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2、引用标准</w:t>
      </w:r>
      <w:r>
        <w:rPr>
          <w:rFonts w:hint="eastAsia" w:hAnsi="宋体" w:cs="宋体"/>
          <w:b w:val="0"/>
          <w:bCs w:val="0"/>
          <w:snapToGrid w:val="0"/>
          <w:color w:val="auto"/>
          <w:kern w:val="0"/>
          <w:sz w:val="28"/>
          <w:szCs w:val="28"/>
          <w:highlight w:val="none"/>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1）、取费项目及标准：《建设工程工程量清单计价标准GBT50500-2024》及其配套的工程量计算规范。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2）、《广东省房屋建筑与装饰工程综合定额（2018）》、《广东省通用安装工程综合定额（2018）》、《广东省园林绿化工程综合定额（2018）》、《广东省市政工程综合定额（2018）》及国家、省、市行政主管部门最新发布的有关计价文件规定；《南方电网公司小型基建项目概预算编制标准（试行）》，不足部分参考其他行业相应定额（指标）和取费标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3）、依据粤建标函〔2019〕819号“广东省住房和城乡建设厅关于调整广东省建设工程计价依据增值税税率的通知”，增值税税率为9%。</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3、工程量</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根据广东省建筑设计研究院集团股份有限公司设计出版的施工图计算。</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4、价格</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人工、材料、机械费按照佛山市2025年第三季度信息价，不足部分参考周边城市同期信息价或市场价。</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5、其他及取费计算标准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pPr>
      <w:r>
        <w:rPr>
          <w:rFonts w:hint="eastAsia" w:ascii="宋体" w:hAnsi="宋体" w:eastAsia="宋体" w:cs="宋体"/>
          <w:b w:val="0"/>
          <w:bCs w:val="0"/>
          <w:snapToGrid w:val="0"/>
          <w:color w:val="auto"/>
          <w:kern w:val="0"/>
          <w:sz w:val="28"/>
          <w:szCs w:val="28"/>
          <w:highlight w:val="none"/>
          <w:lang w:val="en-US" w:eastAsia="zh-CN"/>
        </w:rPr>
        <w:t>1）本工程最高限价已含泵送混凝土增加费、脚手架搭拆费、预算包干费、临水临电接入工程费用、室外管道切割及旁路管件安装工程费用，其中临水临电接入工程、室外管道切割及旁路管件安装工程的费用按照单项总价包干；最高限价未含工程优质费、文明工地增加费，依据招标文件约定结算。</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napToGrid w:val="0"/>
          <w:color w:val="auto"/>
          <w:kern w:val="0"/>
          <w:sz w:val="28"/>
          <w:szCs w:val="28"/>
          <w:highlight w:val="none"/>
          <w:lang w:val="en-US" w:eastAsia="zh-CN"/>
        </w:rPr>
        <w:sectPr>
          <w:pgSz w:w="11906" w:h="16838"/>
          <w:pgMar w:top="2098" w:right="1474" w:bottom="1984" w:left="1587" w:header="851" w:footer="992" w:gutter="0"/>
          <w:cols w:space="425" w:num="1"/>
          <w:rtlGutter w:val="0"/>
          <w:docGrid w:type="lines" w:linePitch="312" w:charSpace="0"/>
        </w:sectPr>
      </w:pPr>
      <w:r>
        <w:rPr>
          <w:rFonts w:hint="eastAsia" w:ascii="宋体" w:hAnsi="宋体" w:eastAsia="宋体" w:cs="宋体"/>
          <w:b w:val="0"/>
          <w:bCs w:val="0"/>
          <w:snapToGrid w:val="0"/>
          <w:color w:val="auto"/>
          <w:kern w:val="0"/>
          <w:sz w:val="28"/>
          <w:szCs w:val="28"/>
          <w:highlight w:val="none"/>
          <w:lang w:val="en-US" w:eastAsia="zh-CN"/>
        </w:rPr>
        <w:t>2）本工程运距参施工图预算按10km考虑。</w:t>
      </w:r>
    </w:p>
    <w:p>
      <w:pPr>
        <w:pStyle w:val="9"/>
        <w:keepNext w:val="0"/>
        <w:keepLines w:val="0"/>
        <w:pageBreakBefore w:val="0"/>
        <w:widowControl w:val="0"/>
        <w:numPr>
          <w:ilvl w:val="0"/>
          <w:numId w:val="0"/>
        </w:numPr>
        <w:shd w:val="clear" w:color="auto" w:fill="auto"/>
        <w:kinsoku/>
        <w:wordWrap/>
        <w:overflowPunct/>
        <w:topLinePunct w:val="0"/>
        <w:autoSpaceDE/>
        <w:autoSpaceDN/>
        <w:bidi w:val="0"/>
        <w:spacing w:line="560" w:lineRule="exact"/>
        <w:textAlignment w:val="auto"/>
        <w:rPr>
          <w:rFonts w:hint="eastAsia" w:ascii="宋体" w:hAnsi="宋体" w:eastAsia="宋体" w:cs="宋体"/>
          <w:b/>
          <w:bCs/>
          <w:snapToGrid w:val="0"/>
          <w:color w:val="auto"/>
          <w:kern w:val="0"/>
          <w:sz w:val="28"/>
          <w:szCs w:val="28"/>
          <w:highlight w:val="none"/>
          <w:lang w:val="en-US" w:eastAsia="zh-CN"/>
        </w:rPr>
      </w:pPr>
      <w:r>
        <w:rPr>
          <w:rFonts w:hint="eastAsia" w:ascii="宋体" w:hAnsi="宋体" w:eastAsia="宋体" w:cs="宋体"/>
          <w:b/>
          <w:bCs/>
          <w:snapToGrid w:val="0"/>
          <w:color w:val="auto"/>
          <w:kern w:val="0"/>
          <w:sz w:val="28"/>
          <w:szCs w:val="28"/>
          <w:highlight w:val="none"/>
          <w:lang w:val="en-US" w:eastAsia="zh-CN"/>
        </w:rPr>
        <w:t>（</w:t>
      </w:r>
      <w:r>
        <w:rPr>
          <w:rFonts w:hint="eastAsia" w:hAnsi="宋体" w:cs="宋体"/>
          <w:b/>
          <w:bCs/>
          <w:snapToGrid w:val="0"/>
          <w:color w:val="auto"/>
          <w:kern w:val="0"/>
          <w:sz w:val="28"/>
          <w:szCs w:val="28"/>
          <w:highlight w:val="none"/>
          <w:lang w:val="en-US" w:eastAsia="zh-CN"/>
        </w:rPr>
        <w:t>五</w:t>
      </w:r>
      <w:r>
        <w:rPr>
          <w:rFonts w:hint="eastAsia" w:ascii="宋体" w:hAnsi="宋体" w:eastAsia="宋体" w:cs="宋体"/>
          <w:b/>
          <w:bCs/>
          <w:snapToGrid w:val="0"/>
          <w:color w:val="auto"/>
          <w:kern w:val="0"/>
          <w:sz w:val="28"/>
          <w:szCs w:val="28"/>
          <w:highlight w:val="none"/>
          <w:lang w:val="en-US" w:eastAsia="zh-CN"/>
        </w:rPr>
        <w:t>）报价表</w:t>
      </w:r>
    </w:p>
    <w:tbl>
      <w:tblPr>
        <w:tblStyle w:val="12"/>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7"/>
        <w:gridCol w:w="1417"/>
        <w:gridCol w:w="1417"/>
        <w:gridCol w:w="1417"/>
        <w:gridCol w:w="1417"/>
        <w:gridCol w:w="1417"/>
        <w:gridCol w:w="1417"/>
        <w:gridCol w:w="1418"/>
        <w:gridCol w:w="1418"/>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　号</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工程或费用名称</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最高投标限价（万元）</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（不含税价）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w:t>
            </w:r>
            <w:r>
              <w:rPr>
                <w:rFonts w:hint="eastAsia" w:ascii="宋体" w:hAnsi="宋体" w:cs="宋体"/>
                <w:b/>
                <w:bCs/>
                <w:i w:val="0"/>
                <w:iCs w:val="0"/>
                <w:color w:val="auto"/>
                <w:kern w:val="0"/>
                <w:sz w:val="21"/>
                <w:szCs w:val="21"/>
                <w:highlight w:val="none"/>
                <w:u w:val="none"/>
                <w:lang w:val="en-US" w:eastAsia="zh-CN" w:bidi="ar"/>
              </w:rPr>
              <w:t>下浮</w:t>
            </w:r>
            <w:r>
              <w:rPr>
                <w:rFonts w:hint="eastAsia" w:ascii="宋体" w:hAnsi="宋体" w:eastAsia="宋体" w:cs="宋体"/>
                <w:b/>
                <w:bCs/>
                <w:i w:val="0"/>
                <w:iCs w:val="0"/>
                <w:color w:val="auto"/>
                <w:kern w:val="0"/>
                <w:sz w:val="21"/>
                <w:szCs w:val="21"/>
                <w:highlight w:val="none"/>
                <w:u w:val="none"/>
                <w:lang w:val="en-US" w:eastAsia="zh-CN" w:bidi="ar"/>
              </w:rPr>
              <w:t>率（%）</w:t>
            </w:r>
          </w:p>
        </w:tc>
        <w:tc>
          <w:tcPr>
            <w:tcW w:w="108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投标报价（万元）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（不含税价）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备 </w:t>
            </w:r>
            <w:r>
              <w:rPr>
                <w:rStyle w:val="18"/>
                <w:color w:val="auto"/>
                <w:highlight w:val="none"/>
                <w:lang w:val="en-US" w:eastAsia="zh-CN" w:bidi="ar"/>
              </w:rPr>
              <w:t xml:space="preserve">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广东电网有限责任公司佛山供电局南海供电局职工周转房建设项目施工</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789.98</w:t>
            </w:r>
          </w:p>
        </w:tc>
        <w:tc>
          <w:tcPr>
            <w:tcW w:w="1080" w:type="dxa"/>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25.97</w:t>
            </w:r>
          </w:p>
        </w:tc>
        <w:tc>
          <w:tcPr>
            <w:tcW w:w="108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28.31</w:t>
            </w:r>
          </w:p>
        </w:tc>
        <w:tc>
          <w:tcPr>
            <w:tcW w:w="1080"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bookmarkStart w:id="5" w:name="_GoBack"/>
            <w:bookmarkEnd w:id="5"/>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安全生产措施费25.97万元为不含税价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合计（小写）：</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789.98</w:t>
            </w:r>
          </w:p>
        </w:tc>
        <w:tc>
          <w:tcPr>
            <w:tcW w:w="1080"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25.97</w:t>
            </w:r>
          </w:p>
        </w:tc>
        <w:tc>
          <w:tcPr>
            <w:tcW w:w="108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28.31</w:t>
            </w:r>
          </w:p>
        </w:tc>
        <w:tc>
          <w:tcPr>
            <w:tcW w:w="108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0" w:type="dxa"/>
            <w:gridSpan w:val="10"/>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1、金额报价（保留两位小数），同时填报投标下浮率。投标下浮率=[</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投标报价-安全生产措施费（含税价）-暂估价）/（最高投标限价-安全生产措施费（含税价）-暂估价)]×100%（保留两位小数，如：8.88%）。当投标金额报价与投标下浮率计算结果不一致时，以投标金额报价为准，按公式修订投标下浮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2、安全生产措施费（如有）、暂估价（如有）需按照公布的金额固定报价，不得自行变更，否则视为原则性不响应招标文件要求，作否决投标处理。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0" w:type="dxa"/>
            <w:gridSpan w:val="10"/>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0" w:type="dxa"/>
            <w:gridSpan w:val="10"/>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800" w:type="dxa"/>
            <w:gridSpan w:val="10"/>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rPr>
          <w:rFonts w:hint="eastAsia" w:ascii="宋体" w:hAnsi="宋体" w:eastAsia="宋体" w:cs="宋体"/>
          <w:color w:val="auto"/>
          <w:sz w:val="28"/>
          <w:szCs w:val="28"/>
          <w:highlight w:val="none"/>
          <w:lang w:val="en-US" w:eastAsia="zh-CN"/>
        </w:rPr>
      </w:pPr>
    </w:p>
    <w:sectPr>
      <w:pgSz w:w="16838" w:h="11906" w:orient="landscape"/>
      <w:pgMar w:top="2098" w:right="1474" w:bottom="198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737D8"/>
    <w:rsid w:val="00032C5E"/>
    <w:rsid w:val="00675492"/>
    <w:rsid w:val="00B87EA2"/>
    <w:rsid w:val="00C073B0"/>
    <w:rsid w:val="01000F1F"/>
    <w:rsid w:val="01CA5480"/>
    <w:rsid w:val="0256248D"/>
    <w:rsid w:val="0270337E"/>
    <w:rsid w:val="02B415D2"/>
    <w:rsid w:val="02D45932"/>
    <w:rsid w:val="050E07AE"/>
    <w:rsid w:val="05176FD6"/>
    <w:rsid w:val="05AF7E47"/>
    <w:rsid w:val="05B87515"/>
    <w:rsid w:val="06033F60"/>
    <w:rsid w:val="068D71D9"/>
    <w:rsid w:val="06A05184"/>
    <w:rsid w:val="06C35AB3"/>
    <w:rsid w:val="07E04BDF"/>
    <w:rsid w:val="08F700C6"/>
    <w:rsid w:val="0BC07002"/>
    <w:rsid w:val="0CB91C03"/>
    <w:rsid w:val="0D0758F3"/>
    <w:rsid w:val="0E490E7C"/>
    <w:rsid w:val="10430334"/>
    <w:rsid w:val="10A919C2"/>
    <w:rsid w:val="10C30F9C"/>
    <w:rsid w:val="116419AD"/>
    <w:rsid w:val="11DF6CFE"/>
    <w:rsid w:val="11FC1228"/>
    <w:rsid w:val="1221206F"/>
    <w:rsid w:val="12617BA5"/>
    <w:rsid w:val="133F6E67"/>
    <w:rsid w:val="1352362B"/>
    <w:rsid w:val="13C71878"/>
    <w:rsid w:val="14440D4B"/>
    <w:rsid w:val="15056A61"/>
    <w:rsid w:val="15701FEA"/>
    <w:rsid w:val="15D02783"/>
    <w:rsid w:val="17241016"/>
    <w:rsid w:val="17311749"/>
    <w:rsid w:val="18633210"/>
    <w:rsid w:val="18E57496"/>
    <w:rsid w:val="193066EB"/>
    <w:rsid w:val="196B23E3"/>
    <w:rsid w:val="1A2F2F81"/>
    <w:rsid w:val="1A3776A7"/>
    <w:rsid w:val="1B062CAF"/>
    <w:rsid w:val="1B1435D1"/>
    <w:rsid w:val="1B663F82"/>
    <w:rsid w:val="1BA9108A"/>
    <w:rsid w:val="1CC004AB"/>
    <w:rsid w:val="1D615A5F"/>
    <w:rsid w:val="1DA71931"/>
    <w:rsid w:val="1EA379B5"/>
    <w:rsid w:val="1FB642D9"/>
    <w:rsid w:val="20957CD4"/>
    <w:rsid w:val="216F4D5B"/>
    <w:rsid w:val="22D01CE9"/>
    <w:rsid w:val="24E46BF4"/>
    <w:rsid w:val="24F232DC"/>
    <w:rsid w:val="24F737D8"/>
    <w:rsid w:val="25260286"/>
    <w:rsid w:val="26F863F9"/>
    <w:rsid w:val="274170EE"/>
    <w:rsid w:val="276160EC"/>
    <w:rsid w:val="2785030E"/>
    <w:rsid w:val="278F57AD"/>
    <w:rsid w:val="279C43FE"/>
    <w:rsid w:val="27E47C4B"/>
    <w:rsid w:val="28F46A2A"/>
    <w:rsid w:val="296555D1"/>
    <w:rsid w:val="2B604039"/>
    <w:rsid w:val="2BED7EC0"/>
    <w:rsid w:val="2D8E3667"/>
    <w:rsid w:val="2DCE3DB2"/>
    <w:rsid w:val="2DF47953"/>
    <w:rsid w:val="2DFE6AFA"/>
    <w:rsid w:val="2E9A5E18"/>
    <w:rsid w:val="2F362DFB"/>
    <w:rsid w:val="2F773C23"/>
    <w:rsid w:val="2FF65FF8"/>
    <w:rsid w:val="300D195C"/>
    <w:rsid w:val="30337CC8"/>
    <w:rsid w:val="3044134F"/>
    <w:rsid w:val="306C7E8C"/>
    <w:rsid w:val="308E6ECB"/>
    <w:rsid w:val="30BF37B5"/>
    <w:rsid w:val="31F44502"/>
    <w:rsid w:val="33431B08"/>
    <w:rsid w:val="342B476D"/>
    <w:rsid w:val="361736AD"/>
    <w:rsid w:val="36905D28"/>
    <w:rsid w:val="36D200CF"/>
    <w:rsid w:val="37B26847"/>
    <w:rsid w:val="37FF59C4"/>
    <w:rsid w:val="38382DC3"/>
    <w:rsid w:val="39995B0D"/>
    <w:rsid w:val="3AAA73EE"/>
    <w:rsid w:val="3B260034"/>
    <w:rsid w:val="3B2A0F67"/>
    <w:rsid w:val="3BCA27B8"/>
    <w:rsid w:val="3BE757AE"/>
    <w:rsid w:val="3C1E17EA"/>
    <w:rsid w:val="3C4A35F1"/>
    <w:rsid w:val="3D483D27"/>
    <w:rsid w:val="3D6C6E26"/>
    <w:rsid w:val="3E6671E3"/>
    <w:rsid w:val="3F773980"/>
    <w:rsid w:val="3F9B7EF1"/>
    <w:rsid w:val="4047281E"/>
    <w:rsid w:val="415A7E63"/>
    <w:rsid w:val="42D86F5E"/>
    <w:rsid w:val="42E701E3"/>
    <w:rsid w:val="44D414C9"/>
    <w:rsid w:val="44F22C57"/>
    <w:rsid w:val="45E177CC"/>
    <w:rsid w:val="460D1423"/>
    <w:rsid w:val="46383F13"/>
    <w:rsid w:val="46472D5E"/>
    <w:rsid w:val="469B4709"/>
    <w:rsid w:val="46A85B41"/>
    <w:rsid w:val="474422FB"/>
    <w:rsid w:val="47CB2C71"/>
    <w:rsid w:val="48EC6B0B"/>
    <w:rsid w:val="49332FB5"/>
    <w:rsid w:val="4B3A1BDA"/>
    <w:rsid w:val="4D0B2DF1"/>
    <w:rsid w:val="4D392B7F"/>
    <w:rsid w:val="4DC759F3"/>
    <w:rsid w:val="4E040B17"/>
    <w:rsid w:val="4E8925E8"/>
    <w:rsid w:val="4EA560D6"/>
    <w:rsid w:val="4F6A7BA3"/>
    <w:rsid w:val="50667F11"/>
    <w:rsid w:val="510C438D"/>
    <w:rsid w:val="546F308A"/>
    <w:rsid w:val="552E444C"/>
    <w:rsid w:val="55734D49"/>
    <w:rsid w:val="55C3156A"/>
    <w:rsid w:val="55C814C7"/>
    <w:rsid w:val="56677483"/>
    <w:rsid w:val="57092F8E"/>
    <w:rsid w:val="599017B7"/>
    <w:rsid w:val="5A4935A4"/>
    <w:rsid w:val="5BDB5D08"/>
    <w:rsid w:val="5BF73AAD"/>
    <w:rsid w:val="5CB42BA8"/>
    <w:rsid w:val="5EF953A6"/>
    <w:rsid w:val="5F8E0C51"/>
    <w:rsid w:val="5FC82CA1"/>
    <w:rsid w:val="5FE724D4"/>
    <w:rsid w:val="608606DE"/>
    <w:rsid w:val="62D41677"/>
    <w:rsid w:val="63E602AB"/>
    <w:rsid w:val="644D1809"/>
    <w:rsid w:val="66714535"/>
    <w:rsid w:val="66C35559"/>
    <w:rsid w:val="66D91A76"/>
    <w:rsid w:val="67180132"/>
    <w:rsid w:val="67FA59CD"/>
    <w:rsid w:val="68B337CC"/>
    <w:rsid w:val="69311D38"/>
    <w:rsid w:val="69CB4A9F"/>
    <w:rsid w:val="6A287B5E"/>
    <w:rsid w:val="6A6B37FA"/>
    <w:rsid w:val="6B303A1A"/>
    <w:rsid w:val="6D897695"/>
    <w:rsid w:val="6DAA2FDF"/>
    <w:rsid w:val="6E121228"/>
    <w:rsid w:val="6FF808C2"/>
    <w:rsid w:val="70873960"/>
    <w:rsid w:val="70B81233"/>
    <w:rsid w:val="70D1495F"/>
    <w:rsid w:val="71AE4710"/>
    <w:rsid w:val="71FE7D99"/>
    <w:rsid w:val="7247722C"/>
    <w:rsid w:val="73641402"/>
    <w:rsid w:val="7472484C"/>
    <w:rsid w:val="74E73186"/>
    <w:rsid w:val="76015DEA"/>
    <w:rsid w:val="763B2CF0"/>
    <w:rsid w:val="764E470D"/>
    <w:rsid w:val="76850D49"/>
    <w:rsid w:val="779B4AAB"/>
    <w:rsid w:val="7842124A"/>
    <w:rsid w:val="792B4B56"/>
    <w:rsid w:val="79435213"/>
    <w:rsid w:val="796F764D"/>
    <w:rsid w:val="79B364D2"/>
    <w:rsid w:val="7AAF7CE8"/>
    <w:rsid w:val="7C6A3EAA"/>
    <w:rsid w:val="7C766170"/>
    <w:rsid w:val="7D26550D"/>
    <w:rsid w:val="7D2D6A7C"/>
    <w:rsid w:val="7D3B0B84"/>
    <w:rsid w:val="7E326E8C"/>
    <w:rsid w:val="7E3420E0"/>
    <w:rsid w:val="7E40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paragraph" w:styleId="2">
    <w:name w:val="heading 1"/>
    <w:basedOn w:val="1"/>
    <w:next w:val="1"/>
    <w:unhideWhenUsed/>
    <w:qFormat/>
    <w:uiPriority w:val="99"/>
    <w:pPr>
      <w:widowControl w:val="0"/>
      <w:autoSpaceDE w:val="0"/>
      <w:autoSpaceDN w:val="0"/>
      <w:adjustRightInd w:val="0"/>
      <w:spacing w:beforeLines="0" w:afterLines="0"/>
    </w:pPr>
    <w:rPr>
      <w:rFonts w:hint="default" w:ascii="Arial" w:hAnsi="Arial" w:eastAsia="宋体" w:cs="Times New Roman"/>
      <w:b/>
      <w:color w:val="000000"/>
      <w:sz w:val="32"/>
    </w:rPr>
  </w:style>
  <w:style w:type="paragraph" w:styleId="3">
    <w:name w:val="heading 2"/>
    <w:basedOn w:val="1"/>
    <w:next w:val="1"/>
    <w:unhideWhenUsed/>
    <w:qFormat/>
    <w:uiPriority w:val="99"/>
    <w:pPr>
      <w:widowControl w:val="0"/>
      <w:autoSpaceDE w:val="0"/>
      <w:autoSpaceDN w:val="0"/>
      <w:adjustRightInd w:val="0"/>
      <w:spacing w:beforeLines="0" w:afterLines="0"/>
    </w:pPr>
    <w:rPr>
      <w:rFonts w:hint="default" w:ascii="Arial" w:hAnsi="Arial" w:eastAsia="宋体" w:cs="Times New Roman"/>
      <w:b/>
      <w:i/>
      <w:color w:val="000000"/>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cs="Times New Roman"/>
      <w:kern w:val="0"/>
      <w:sz w:val="20"/>
      <w:szCs w:val="20"/>
    </w:rPr>
  </w:style>
  <w:style w:type="paragraph" w:styleId="5">
    <w:name w:val="annotation text"/>
    <w:basedOn w:val="1"/>
    <w:qFormat/>
    <w:uiPriority w:val="0"/>
    <w:pPr>
      <w:jc w:val="left"/>
    </w:pPr>
  </w:style>
  <w:style w:type="paragraph" w:styleId="6">
    <w:name w:val="Body Text"/>
    <w:basedOn w:val="7"/>
    <w:next w:val="7"/>
    <w:unhideWhenUsed/>
    <w:qFormat/>
    <w:uiPriority w:val="99"/>
    <w:pPr>
      <w:spacing w:after="120"/>
    </w:pPr>
  </w:style>
  <w:style w:type="paragraph" w:styleId="7">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宋体" w:hAnsi="Courier New"/>
      <w:kern w:val="0"/>
      <w:sz w:val="20"/>
      <w:szCs w:val="20"/>
      <w:lang w:val="en-US" w:eastAsia="zh-C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200" w:firstLineChars="200"/>
      <w:jc w:val="both"/>
    </w:pPr>
    <w:rPr>
      <w:kern w:val="0"/>
      <w:sz w:val="24"/>
      <w:lang w:val="en-US" w:eastAsia="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目录 21"/>
    <w:basedOn w:val="1"/>
    <w:next w:val="1"/>
    <w:qFormat/>
    <w:uiPriority w:val="0"/>
    <w:pPr>
      <w:spacing w:before="100" w:beforeAutospacing="1" w:after="100" w:afterAutospacing="1"/>
      <w:ind w:left="420" w:leftChars="200"/>
    </w:pPr>
  </w:style>
  <w:style w:type="paragraph" w:customStyle="1" w:styleId="16">
    <w:name w:val="_Style 5"/>
    <w:basedOn w:val="1"/>
    <w:qFormat/>
    <w:uiPriority w:val="0"/>
    <w:pPr>
      <w:adjustRightInd/>
      <w:spacing w:line="240" w:lineRule="auto"/>
      <w:ind w:firstLine="420" w:firstLineChars="200"/>
      <w:textAlignment w:val="auto"/>
    </w:pPr>
    <w:rPr>
      <w:rFonts w:ascii="Calibri" w:hAnsi="Calibri" w:eastAsia="宋体" w:cs="Times New Roman"/>
      <w:kern w:val="2"/>
      <w:sz w:val="21"/>
      <w:szCs w:val="22"/>
    </w:rPr>
  </w:style>
  <w:style w:type="paragraph" w:customStyle="1" w:styleId="17">
    <w:name w:val="正文首行缩进1"/>
    <w:basedOn w:val="1"/>
    <w:qFormat/>
    <w:uiPriority w:val="0"/>
    <w:pPr>
      <w:spacing w:line="360" w:lineRule="auto"/>
      <w:ind w:firstLine="200" w:firstLineChars="200"/>
    </w:pPr>
    <w:rPr>
      <w:kern w:val="2"/>
      <w:sz w:val="24"/>
      <w:szCs w:val="24"/>
    </w:rPr>
  </w:style>
  <w:style w:type="character" w:customStyle="1" w:styleId="18">
    <w:name w:val="font11"/>
    <w:basedOn w:val="14"/>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1764</Words>
  <Characters>1940</Characters>
  <Lines>0</Lines>
  <Paragraphs>0</Paragraphs>
  <TotalTime>3</TotalTime>
  <ScaleCrop>false</ScaleCrop>
  <LinksUpToDate>false</LinksUpToDate>
  <CharactersWithSpaces>1960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2021-02-24T07:45:00Z</dcterms:created>
  <dc:creator>maja</dc:creator>
  <cp:lastModifiedBy>02919399.fs_gd</cp:lastModifiedBy>
  <cp:lastPrinted>2022-02-11T02:00:00Z</cp:lastPrinted>
  <dcterms:modified xsi:type="dcterms:W3CDTF">2025-11-28T08:49:54Z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7C3CE12BB8954E25B60328968434832A</vt:lpwstr>
  </property>
  <property fmtid="{D5CDD505-2E9C-101B-9397-08002B2CF9AE}" pid="4" name="KSOTemplateDocerSaveRecord">
    <vt:lpwstr>eyJoZGlkIjoiZmNkMDFmZmJmYjk5ZDhmYzcxMzA3N2U1NzAyOWRjYTYiLCJ1c2VySWQiOiI3NjMzMTEwMTkifQ==</vt:lpwstr>
  </property>
</Properties>
</file>